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6A49F" w14:textId="29ECBC62" w:rsidR="00437775" w:rsidRDefault="00437775" w:rsidP="00437775">
      <w:pPr>
        <w:spacing w:after="120" w:line="480" w:lineRule="auto"/>
        <w:rPr>
          <w:rFonts w:ascii="Times New Roman" w:eastAsiaTheme="minorEastAsia" w:hAnsi="Times New Roman" w:cs="Times New Roman"/>
          <w:sz w:val="24"/>
          <w:szCs w:val="24"/>
        </w:rPr>
      </w:pPr>
      <w:r w:rsidRPr="009D2421">
        <w:rPr>
          <w:rFonts w:ascii="Times New Roman" w:eastAsiaTheme="minorEastAsia" w:hAnsi="Times New Roman" w:cs="Times New Roman"/>
          <w:sz w:val="24"/>
          <w:szCs w:val="24"/>
        </w:rPr>
        <w:t xml:space="preserve">Table </w:t>
      </w:r>
      <w:proofErr w:type="spellStart"/>
      <w:r w:rsidR="009D633C">
        <w:rPr>
          <w:rFonts w:ascii="Times New Roman" w:eastAsiaTheme="minorEastAsia" w:hAnsi="Times New Roman" w:cs="Times New Roman"/>
          <w:sz w:val="24"/>
          <w:szCs w:val="24"/>
        </w:rPr>
        <w:t>S1</w:t>
      </w:r>
      <w:proofErr w:type="spellEnd"/>
      <w:r w:rsidRPr="009D2421">
        <w:rPr>
          <w:rFonts w:ascii="Times New Roman" w:eastAsiaTheme="minorEastAsia" w:hAnsi="Times New Roman" w:cs="Times New Roman"/>
          <w:sz w:val="24"/>
          <w:szCs w:val="24"/>
        </w:rPr>
        <w:t xml:space="preserve">. Probability of a </w:t>
      </w:r>
      <w:r>
        <w:rPr>
          <w:rFonts w:ascii="Times New Roman" w:eastAsiaTheme="minorEastAsia" w:hAnsi="Times New Roman" w:cs="Times New Roman"/>
          <w:sz w:val="24"/>
          <w:szCs w:val="24"/>
        </w:rPr>
        <w:t xml:space="preserve">RT-QuIC </w:t>
      </w:r>
      <w:r w:rsidRPr="009D2421">
        <w:rPr>
          <w:rFonts w:ascii="Times New Roman" w:eastAsiaTheme="minorEastAsia" w:hAnsi="Times New Roman" w:cs="Times New Roman"/>
          <w:sz w:val="24"/>
          <w:szCs w:val="24"/>
        </w:rPr>
        <w:t>positive detection of Chronic Wasting Disease (CWD) in at least one, two, and three of three runs under four experimental conditions, including two salts (NaCl, NaI) and two assays (with or without ASR1).</w:t>
      </w:r>
    </w:p>
    <w:tbl>
      <w:tblPr>
        <w:tblW w:w="9129" w:type="dxa"/>
        <w:tblLook w:val="04A0" w:firstRow="1" w:lastRow="0" w:firstColumn="1" w:lastColumn="0" w:noHBand="0" w:noVBand="1"/>
      </w:tblPr>
      <w:tblGrid>
        <w:gridCol w:w="1260"/>
        <w:gridCol w:w="2536"/>
        <w:gridCol w:w="306"/>
        <w:gridCol w:w="2462"/>
        <w:gridCol w:w="2565"/>
      </w:tblGrid>
      <w:tr w:rsidR="00437775" w:rsidRPr="006E6752" w14:paraId="50E4DDB5" w14:textId="77777777" w:rsidTr="006140A2">
        <w:trPr>
          <w:trHeight w:val="599"/>
        </w:trPr>
        <w:tc>
          <w:tcPr>
            <w:tcW w:w="1260" w:type="dxa"/>
            <w:tcBorders>
              <w:top w:val="single" w:sz="4" w:space="0" w:color="auto"/>
              <w:left w:val="nil"/>
              <w:bottom w:val="single" w:sz="4" w:space="0" w:color="auto"/>
              <w:right w:val="nil"/>
            </w:tcBorders>
            <w:shd w:val="clear" w:color="auto" w:fill="auto"/>
            <w:noWrap/>
            <w:vAlign w:val="bottom"/>
            <w:hideMark/>
          </w:tcPr>
          <w:p w14:paraId="73263768" w14:textId="77777777" w:rsidR="00437775" w:rsidRPr="006E6752" w:rsidRDefault="00437775" w:rsidP="006140A2">
            <w:pPr>
              <w:spacing w:after="120" w:line="240" w:lineRule="auto"/>
              <w:rPr>
                <w:rFonts w:ascii="Times New Roman" w:eastAsia="Times New Roman" w:hAnsi="Times New Roman" w:cs="Times New Roman"/>
                <w:sz w:val="24"/>
                <w:szCs w:val="24"/>
              </w:rPr>
            </w:pPr>
          </w:p>
        </w:tc>
        <w:tc>
          <w:tcPr>
            <w:tcW w:w="2536" w:type="dxa"/>
            <w:tcBorders>
              <w:top w:val="single" w:sz="4" w:space="0" w:color="auto"/>
              <w:left w:val="nil"/>
              <w:bottom w:val="single" w:sz="4" w:space="0" w:color="auto"/>
              <w:right w:val="nil"/>
            </w:tcBorders>
            <w:shd w:val="clear" w:color="auto" w:fill="auto"/>
            <w:noWrap/>
            <w:vAlign w:val="bottom"/>
            <w:hideMark/>
          </w:tcPr>
          <w:p w14:paraId="1C289435" w14:textId="77777777" w:rsidR="00437775" w:rsidRPr="006E6752" w:rsidRDefault="00437775" w:rsidP="006140A2">
            <w:pPr>
              <w:spacing w:after="120" w:line="240" w:lineRule="auto"/>
              <w:jc w:val="center"/>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1-run</w:t>
            </w:r>
          </w:p>
        </w:tc>
        <w:tc>
          <w:tcPr>
            <w:tcW w:w="306" w:type="dxa"/>
            <w:tcBorders>
              <w:top w:val="single" w:sz="4" w:space="0" w:color="auto"/>
              <w:left w:val="nil"/>
              <w:bottom w:val="single" w:sz="4" w:space="0" w:color="auto"/>
              <w:right w:val="nil"/>
            </w:tcBorders>
          </w:tcPr>
          <w:p w14:paraId="5BCA7FCE" w14:textId="77777777" w:rsidR="00437775" w:rsidRPr="006E6752" w:rsidRDefault="00437775" w:rsidP="006140A2">
            <w:pPr>
              <w:spacing w:after="120" w:line="240" w:lineRule="auto"/>
              <w:jc w:val="center"/>
              <w:rPr>
                <w:rFonts w:ascii="Times New Roman" w:eastAsia="Times New Roman" w:hAnsi="Times New Roman" w:cs="Times New Roman"/>
                <w:color w:val="000000"/>
                <w:sz w:val="24"/>
                <w:szCs w:val="24"/>
              </w:rPr>
            </w:pPr>
          </w:p>
        </w:tc>
        <w:tc>
          <w:tcPr>
            <w:tcW w:w="2462" w:type="dxa"/>
            <w:tcBorders>
              <w:top w:val="single" w:sz="4" w:space="0" w:color="auto"/>
              <w:left w:val="nil"/>
              <w:bottom w:val="single" w:sz="4" w:space="0" w:color="auto"/>
              <w:right w:val="nil"/>
            </w:tcBorders>
            <w:shd w:val="clear" w:color="auto" w:fill="auto"/>
            <w:noWrap/>
            <w:vAlign w:val="bottom"/>
            <w:hideMark/>
          </w:tcPr>
          <w:p w14:paraId="0295F7C7" w14:textId="77777777" w:rsidR="00437775" w:rsidRPr="006E6752" w:rsidRDefault="00437775" w:rsidP="006140A2">
            <w:pPr>
              <w:spacing w:after="120" w:line="240" w:lineRule="auto"/>
              <w:jc w:val="center"/>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2-runs</w:t>
            </w:r>
          </w:p>
        </w:tc>
        <w:tc>
          <w:tcPr>
            <w:tcW w:w="2565" w:type="dxa"/>
            <w:tcBorders>
              <w:top w:val="single" w:sz="4" w:space="0" w:color="auto"/>
              <w:left w:val="nil"/>
              <w:bottom w:val="single" w:sz="4" w:space="0" w:color="auto"/>
              <w:right w:val="nil"/>
            </w:tcBorders>
            <w:shd w:val="clear" w:color="auto" w:fill="auto"/>
            <w:noWrap/>
            <w:vAlign w:val="bottom"/>
            <w:hideMark/>
          </w:tcPr>
          <w:p w14:paraId="4E4F3D06" w14:textId="77777777" w:rsidR="00437775" w:rsidRPr="006E6752" w:rsidRDefault="00437775" w:rsidP="006140A2">
            <w:pPr>
              <w:spacing w:after="120" w:line="240" w:lineRule="auto"/>
              <w:jc w:val="center"/>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3-runs</w:t>
            </w:r>
          </w:p>
        </w:tc>
      </w:tr>
      <w:tr w:rsidR="00437775" w:rsidRPr="006E6752" w14:paraId="57CC0EF7" w14:textId="77777777" w:rsidTr="006140A2">
        <w:trPr>
          <w:trHeight w:val="599"/>
        </w:trPr>
        <w:tc>
          <w:tcPr>
            <w:tcW w:w="1260" w:type="dxa"/>
            <w:tcBorders>
              <w:top w:val="single" w:sz="4" w:space="0" w:color="auto"/>
              <w:left w:val="nil"/>
              <w:bottom w:val="nil"/>
              <w:right w:val="nil"/>
            </w:tcBorders>
            <w:shd w:val="clear" w:color="auto" w:fill="auto"/>
            <w:noWrap/>
            <w:vAlign w:val="bottom"/>
            <w:hideMark/>
          </w:tcPr>
          <w:p w14:paraId="771A4104"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NaCl</w:t>
            </w:r>
          </w:p>
        </w:tc>
        <w:tc>
          <w:tcPr>
            <w:tcW w:w="2536" w:type="dxa"/>
            <w:tcBorders>
              <w:top w:val="single" w:sz="4" w:space="0" w:color="auto"/>
              <w:left w:val="nil"/>
              <w:bottom w:val="nil"/>
              <w:right w:val="nil"/>
            </w:tcBorders>
            <w:shd w:val="clear" w:color="auto" w:fill="auto"/>
            <w:noWrap/>
            <w:vAlign w:val="bottom"/>
            <w:hideMark/>
          </w:tcPr>
          <w:p w14:paraId="453D359B"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0.993 (0.902, 1.000)</w:t>
            </w:r>
          </w:p>
        </w:tc>
        <w:tc>
          <w:tcPr>
            <w:tcW w:w="306" w:type="dxa"/>
            <w:tcBorders>
              <w:top w:val="single" w:sz="4" w:space="0" w:color="auto"/>
              <w:left w:val="nil"/>
              <w:bottom w:val="nil"/>
              <w:right w:val="nil"/>
            </w:tcBorders>
          </w:tcPr>
          <w:p w14:paraId="583E5E96"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p>
        </w:tc>
        <w:tc>
          <w:tcPr>
            <w:tcW w:w="2462" w:type="dxa"/>
            <w:tcBorders>
              <w:top w:val="single" w:sz="4" w:space="0" w:color="auto"/>
              <w:left w:val="nil"/>
              <w:bottom w:val="nil"/>
              <w:right w:val="nil"/>
            </w:tcBorders>
            <w:shd w:val="clear" w:color="auto" w:fill="auto"/>
            <w:noWrap/>
            <w:hideMark/>
          </w:tcPr>
          <w:p w14:paraId="6BBF942E"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0.905 (0.558, 0.996)</w:t>
            </w:r>
          </w:p>
        </w:tc>
        <w:tc>
          <w:tcPr>
            <w:tcW w:w="2565" w:type="dxa"/>
            <w:tcBorders>
              <w:top w:val="single" w:sz="4" w:space="0" w:color="auto"/>
              <w:left w:val="nil"/>
              <w:bottom w:val="nil"/>
              <w:right w:val="nil"/>
            </w:tcBorders>
            <w:shd w:val="clear" w:color="auto" w:fill="auto"/>
            <w:noWrap/>
            <w:vAlign w:val="bottom"/>
            <w:hideMark/>
          </w:tcPr>
          <w:p w14:paraId="2FA493EF"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0.530 (0.156, 0.890)</w:t>
            </w:r>
          </w:p>
        </w:tc>
      </w:tr>
      <w:tr w:rsidR="00437775" w:rsidRPr="006E6752" w14:paraId="6381DC6F" w14:textId="77777777" w:rsidTr="006140A2">
        <w:trPr>
          <w:trHeight w:val="599"/>
        </w:trPr>
        <w:tc>
          <w:tcPr>
            <w:tcW w:w="1260" w:type="dxa"/>
            <w:tcBorders>
              <w:top w:val="nil"/>
              <w:left w:val="nil"/>
              <w:bottom w:val="nil"/>
              <w:right w:val="nil"/>
            </w:tcBorders>
            <w:shd w:val="clear" w:color="auto" w:fill="auto"/>
            <w:noWrap/>
            <w:vAlign w:val="bottom"/>
            <w:hideMark/>
          </w:tcPr>
          <w:p w14:paraId="4A66FD16"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NaI</w:t>
            </w:r>
          </w:p>
        </w:tc>
        <w:tc>
          <w:tcPr>
            <w:tcW w:w="2536" w:type="dxa"/>
            <w:tcBorders>
              <w:top w:val="nil"/>
              <w:left w:val="nil"/>
              <w:bottom w:val="nil"/>
              <w:right w:val="nil"/>
            </w:tcBorders>
            <w:shd w:val="clear" w:color="auto" w:fill="auto"/>
            <w:noWrap/>
            <w:vAlign w:val="bottom"/>
            <w:hideMark/>
          </w:tcPr>
          <w:p w14:paraId="6C080949"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0.999 (0.974, 1.000)</w:t>
            </w:r>
          </w:p>
        </w:tc>
        <w:tc>
          <w:tcPr>
            <w:tcW w:w="306" w:type="dxa"/>
            <w:tcBorders>
              <w:top w:val="nil"/>
              <w:left w:val="nil"/>
              <w:bottom w:val="nil"/>
              <w:right w:val="nil"/>
            </w:tcBorders>
          </w:tcPr>
          <w:p w14:paraId="0B591CA0"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p>
        </w:tc>
        <w:tc>
          <w:tcPr>
            <w:tcW w:w="2462" w:type="dxa"/>
            <w:tcBorders>
              <w:top w:val="nil"/>
              <w:left w:val="nil"/>
              <w:bottom w:val="nil"/>
              <w:right w:val="nil"/>
            </w:tcBorders>
            <w:shd w:val="clear" w:color="auto" w:fill="auto"/>
            <w:noWrap/>
            <w:vAlign w:val="bottom"/>
            <w:hideMark/>
          </w:tcPr>
          <w:p w14:paraId="74ABD733"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0.972 (0.787, 0.999)</w:t>
            </w:r>
          </w:p>
        </w:tc>
        <w:tc>
          <w:tcPr>
            <w:tcW w:w="2565" w:type="dxa"/>
            <w:tcBorders>
              <w:top w:val="nil"/>
              <w:left w:val="nil"/>
              <w:bottom w:val="nil"/>
              <w:right w:val="nil"/>
            </w:tcBorders>
            <w:shd w:val="clear" w:color="auto" w:fill="auto"/>
            <w:noWrap/>
            <w:vAlign w:val="bottom"/>
            <w:hideMark/>
          </w:tcPr>
          <w:p w14:paraId="7F6BBEC1"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0.728 (0.347, 0.948)</w:t>
            </w:r>
          </w:p>
        </w:tc>
      </w:tr>
      <w:tr w:rsidR="00437775" w:rsidRPr="006E6752" w14:paraId="3B7EE1B9" w14:textId="77777777" w:rsidTr="006140A2">
        <w:trPr>
          <w:trHeight w:val="599"/>
        </w:trPr>
        <w:tc>
          <w:tcPr>
            <w:tcW w:w="1260" w:type="dxa"/>
            <w:tcBorders>
              <w:top w:val="nil"/>
              <w:left w:val="nil"/>
              <w:right w:val="nil"/>
            </w:tcBorders>
            <w:shd w:val="clear" w:color="auto" w:fill="auto"/>
            <w:noWrap/>
            <w:vAlign w:val="bottom"/>
            <w:hideMark/>
          </w:tcPr>
          <w:p w14:paraId="07F284F0"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NaCl-ASR1</w:t>
            </w:r>
          </w:p>
        </w:tc>
        <w:tc>
          <w:tcPr>
            <w:tcW w:w="2536" w:type="dxa"/>
            <w:tcBorders>
              <w:top w:val="nil"/>
              <w:left w:val="nil"/>
              <w:right w:val="nil"/>
            </w:tcBorders>
            <w:shd w:val="clear" w:color="auto" w:fill="auto"/>
            <w:noWrap/>
            <w:vAlign w:val="bottom"/>
            <w:hideMark/>
          </w:tcPr>
          <w:p w14:paraId="7DE2B344"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0.999 (0.972, 1.000)</w:t>
            </w:r>
          </w:p>
        </w:tc>
        <w:tc>
          <w:tcPr>
            <w:tcW w:w="306" w:type="dxa"/>
            <w:tcBorders>
              <w:top w:val="nil"/>
              <w:left w:val="nil"/>
              <w:right w:val="nil"/>
            </w:tcBorders>
          </w:tcPr>
          <w:p w14:paraId="7D042DDD"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p>
        </w:tc>
        <w:tc>
          <w:tcPr>
            <w:tcW w:w="2462" w:type="dxa"/>
            <w:tcBorders>
              <w:top w:val="nil"/>
              <w:left w:val="nil"/>
              <w:right w:val="nil"/>
            </w:tcBorders>
            <w:shd w:val="clear" w:color="auto" w:fill="auto"/>
            <w:noWrap/>
            <w:vAlign w:val="bottom"/>
            <w:hideMark/>
          </w:tcPr>
          <w:p w14:paraId="2460625C"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0.972 (0.779, 0.999)</w:t>
            </w:r>
          </w:p>
        </w:tc>
        <w:tc>
          <w:tcPr>
            <w:tcW w:w="2565" w:type="dxa"/>
            <w:tcBorders>
              <w:top w:val="nil"/>
              <w:left w:val="nil"/>
              <w:right w:val="nil"/>
            </w:tcBorders>
            <w:shd w:val="clear" w:color="auto" w:fill="auto"/>
            <w:noWrap/>
            <w:vAlign w:val="bottom"/>
            <w:hideMark/>
          </w:tcPr>
          <w:p w14:paraId="20AA2CA1"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0.729 (0.337, 0.950)</w:t>
            </w:r>
          </w:p>
        </w:tc>
      </w:tr>
      <w:tr w:rsidR="00437775" w:rsidRPr="006E6752" w14:paraId="55B6EC0C" w14:textId="77777777" w:rsidTr="006140A2">
        <w:trPr>
          <w:trHeight w:val="599"/>
        </w:trPr>
        <w:tc>
          <w:tcPr>
            <w:tcW w:w="1260" w:type="dxa"/>
            <w:tcBorders>
              <w:top w:val="nil"/>
              <w:left w:val="nil"/>
              <w:bottom w:val="single" w:sz="4" w:space="0" w:color="auto"/>
              <w:right w:val="nil"/>
            </w:tcBorders>
            <w:shd w:val="clear" w:color="auto" w:fill="auto"/>
            <w:noWrap/>
            <w:vAlign w:val="bottom"/>
            <w:hideMark/>
          </w:tcPr>
          <w:p w14:paraId="0DA649C1"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NaI-ASR1</w:t>
            </w:r>
          </w:p>
        </w:tc>
        <w:tc>
          <w:tcPr>
            <w:tcW w:w="2536" w:type="dxa"/>
            <w:tcBorders>
              <w:top w:val="nil"/>
              <w:left w:val="nil"/>
              <w:bottom w:val="single" w:sz="4" w:space="0" w:color="auto"/>
              <w:right w:val="nil"/>
            </w:tcBorders>
            <w:shd w:val="clear" w:color="auto" w:fill="auto"/>
            <w:noWrap/>
            <w:vAlign w:val="bottom"/>
            <w:hideMark/>
          </w:tcPr>
          <w:p w14:paraId="3F6838E5"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1.000 (0.999, 1.000)</w:t>
            </w:r>
          </w:p>
        </w:tc>
        <w:tc>
          <w:tcPr>
            <w:tcW w:w="306" w:type="dxa"/>
            <w:tcBorders>
              <w:top w:val="nil"/>
              <w:left w:val="nil"/>
              <w:bottom w:val="single" w:sz="4" w:space="0" w:color="auto"/>
              <w:right w:val="nil"/>
            </w:tcBorders>
          </w:tcPr>
          <w:p w14:paraId="1C5B837C"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p>
        </w:tc>
        <w:tc>
          <w:tcPr>
            <w:tcW w:w="2462" w:type="dxa"/>
            <w:tcBorders>
              <w:top w:val="nil"/>
              <w:left w:val="nil"/>
              <w:bottom w:val="single" w:sz="4" w:space="0" w:color="auto"/>
              <w:right w:val="nil"/>
            </w:tcBorders>
            <w:shd w:val="clear" w:color="auto" w:fill="auto"/>
            <w:noWrap/>
            <w:vAlign w:val="bottom"/>
            <w:hideMark/>
          </w:tcPr>
          <w:p w14:paraId="7DCFDACC"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0.998 (0.968, 1.000)</w:t>
            </w:r>
          </w:p>
        </w:tc>
        <w:tc>
          <w:tcPr>
            <w:tcW w:w="2565" w:type="dxa"/>
            <w:tcBorders>
              <w:top w:val="nil"/>
              <w:left w:val="nil"/>
              <w:bottom w:val="single" w:sz="4" w:space="0" w:color="auto"/>
              <w:right w:val="nil"/>
            </w:tcBorders>
            <w:shd w:val="clear" w:color="auto" w:fill="auto"/>
            <w:noWrap/>
            <w:vAlign w:val="bottom"/>
            <w:hideMark/>
          </w:tcPr>
          <w:p w14:paraId="2A09D180" w14:textId="77777777" w:rsidR="00437775" w:rsidRPr="006E6752" w:rsidRDefault="00437775" w:rsidP="006140A2">
            <w:pPr>
              <w:spacing w:after="120" w:line="240" w:lineRule="auto"/>
              <w:rPr>
                <w:rFonts w:ascii="Times New Roman" w:eastAsia="Times New Roman" w:hAnsi="Times New Roman" w:cs="Times New Roman"/>
                <w:color w:val="000000"/>
                <w:sz w:val="24"/>
                <w:szCs w:val="24"/>
              </w:rPr>
            </w:pPr>
            <w:r w:rsidRPr="006E6752">
              <w:rPr>
                <w:rFonts w:ascii="Times New Roman" w:eastAsia="Times New Roman" w:hAnsi="Times New Roman" w:cs="Times New Roman"/>
                <w:color w:val="000000"/>
                <w:sz w:val="24"/>
                <w:szCs w:val="24"/>
              </w:rPr>
              <w:t>0.924 (0.714, 0.989)</w:t>
            </w:r>
          </w:p>
        </w:tc>
      </w:tr>
    </w:tbl>
    <w:p w14:paraId="658A6C50" w14:textId="77777777" w:rsidR="00437775" w:rsidRPr="009D2421" w:rsidRDefault="00437775" w:rsidP="00437775">
      <w:pPr>
        <w:spacing w:after="120" w:line="240" w:lineRule="auto"/>
        <w:rPr>
          <w:rFonts w:ascii="Times New Roman" w:eastAsiaTheme="minorEastAsia" w:hAnsi="Times New Roman" w:cs="Times New Roman"/>
          <w:sz w:val="24"/>
          <w:szCs w:val="24"/>
        </w:rPr>
      </w:pPr>
    </w:p>
    <w:p w14:paraId="6EF11A1D" w14:textId="7FE049F7" w:rsidR="00086B10" w:rsidRDefault="00086B10"/>
    <w:sectPr w:rsidR="00086B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75"/>
    <w:rsid w:val="00086B10"/>
    <w:rsid w:val="003210D9"/>
    <w:rsid w:val="00437775"/>
    <w:rsid w:val="009D633C"/>
    <w:rsid w:val="00A01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DB61"/>
  <w15:chartTrackingRefBased/>
  <w15:docId w15:val="{7D6F3622-17F9-40AE-95D9-A2BFF3D5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77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Shuping</dc:creator>
  <cp:keywords/>
  <dc:description/>
  <cp:lastModifiedBy>Zhang, Shuping</cp:lastModifiedBy>
  <cp:revision>2</cp:revision>
  <dcterms:created xsi:type="dcterms:W3CDTF">2023-12-11T19:34:00Z</dcterms:created>
  <dcterms:modified xsi:type="dcterms:W3CDTF">2023-12-11T19:40:00Z</dcterms:modified>
</cp:coreProperties>
</file>