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BA2AB3" w14:textId="18E2DF26" w:rsidR="00507777" w:rsidRPr="004F2021" w:rsidRDefault="00507777" w:rsidP="00892FE6">
      <w:pPr>
        <w:spacing w:after="0" w:line="480" w:lineRule="auto"/>
        <w:jc w:val="both"/>
        <w:rPr>
          <w:b/>
          <w:sz w:val="24"/>
          <w:szCs w:val="24"/>
          <w:lang w:val="en-GB"/>
        </w:rPr>
      </w:pPr>
      <w:r w:rsidRPr="004F2021">
        <w:rPr>
          <w:b/>
          <w:sz w:val="24"/>
          <w:szCs w:val="24"/>
          <w:lang w:val="en-GB"/>
        </w:rPr>
        <w:t>Additional File 1</w:t>
      </w:r>
    </w:p>
    <w:p w14:paraId="36B1B9DF" w14:textId="6DA6E394" w:rsidR="0082126F" w:rsidRPr="004F2021" w:rsidRDefault="006E31D9" w:rsidP="00892FE6">
      <w:pPr>
        <w:spacing w:after="0" w:line="480" w:lineRule="auto"/>
        <w:jc w:val="both"/>
        <w:rPr>
          <w:b/>
          <w:sz w:val="24"/>
          <w:szCs w:val="24"/>
          <w:lang w:val="en-GB"/>
        </w:rPr>
      </w:pPr>
      <w:r w:rsidRPr="004F2021">
        <w:rPr>
          <w:b/>
          <w:sz w:val="24"/>
          <w:szCs w:val="24"/>
          <w:lang w:val="en-GB"/>
        </w:rPr>
        <w:t>Methodology</w:t>
      </w:r>
    </w:p>
    <w:p w14:paraId="7FC34F99" w14:textId="46863CB7" w:rsidR="00FF22BC" w:rsidRPr="004F2021" w:rsidRDefault="0082126F" w:rsidP="56324007">
      <w:pPr>
        <w:spacing w:after="0" w:line="480" w:lineRule="auto"/>
        <w:jc w:val="both"/>
        <w:rPr>
          <w:sz w:val="24"/>
          <w:szCs w:val="24"/>
          <w:lang w:val="en-GB"/>
        </w:rPr>
      </w:pPr>
      <w:proofErr w:type="spellStart"/>
      <w:r w:rsidRPr="004F2021">
        <w:rPr>
          <w:b/>
          <w:bCs/>
          <w:sz w:val="24"/>
          <w:szCs w:val="24"/>
          <w:lang w:val="en-GB"/>
        </w:rPr>
        <w:t>Immunocyto</w:t>
      </w:r>
      <w:proofErr w:type="spellEnd"/>
      <w:r w:rsidR="00E93A71" w:rsidRPr="004F2021">
        <w:rPr>
          <w:b/>
          <w:bCs/>
          <w:sz w:val="24"/>
          <w:szCs w:val="24"/>
          <w:lang w:val="en-GB"/>
        </w:rPr>
        <w:t>-</w:t>
      </w:r>
      <w:r w:rsidRPr="004F2021">
        <w:rPr>
          <w:b/>
          <w:bCs/>
          <w:sz w:val="24"/>
          <w:szCs w:val="24"/>
          <w:lang w:val="en-GB"/>
        </w:rPr>
        <w:t xml:space="preserve">chemical analysis of </w:t>
      </w:r>
      <w:r w:rsidR="75C8BBBB" w:rsidRPr="00986BF9">
        <w:rPr>
          <w:b/>
          <w:bCs/>
          <w:sz w:val="24"/>
          <w:szCs w:val="24"/>
          <w:lang w:val="en-GB"/>
        </w:rPr>
        <w:t>tropomyosin receptor kinase A</w:t>
      </w:r>
      <w:r w:rsidR="75C8BBBB" w:rsidRPr="004F2021">
        <w:rPr>
          <w:b/>
          <w:bCs/>
          <w:sz w:val="24"/>
          <w:szCs w:val="24"/>
          <w:lang w:val="en-GB"/>
        </w:rPr>
        <w:t xml:space="preserve"> (</w:t>
      </w:r>
      <w:r w:rsidR="00FF22BC" w:rsidRPr="004F2021">
        <w:rPr>
          <w:b/>
          <w:bCs/>
          <w:sz w:val="24"/>
          <w:szCs w:val="24"/>
          <w:lang w:val="en-GB"/>
        </w:rPr>
        <w:t>TRKA</w:t>
      </w:r>
      <w:r w:rsidR="6B145174" w:rsidRPr="004F2021">
        <w:rPr>
          <w:b/>
          <w:bCs/>
          <w:sz w:val="24"/>
          <w:szCs w:val="24"/>
          <w:lang w:val="en-GB"/>
        </w:rPr>
        <w:t>)</w:t>
      </w:r>
      <w:r w:rsidR="00C64BB1" w:rsidRPr="004F2021">
        <w:rPr>
          <w:b/>
          <w:bCs/>
          <w:sz w:val="24"/>
          <w:szCs w:val="24"/>
          <w:lang w:val="en-GB"/>
        </w:rPr>
        <w:t xml:space="preserve"> </w:t>
      </w:r>
      <w:r w:rsidR="00FF22BC" w:rsidRPr="004F2021">
        <w:rPr>
          <w:b/>
          <w:bCs/>
          <w:sz w:val="24"/>
          <w:szCs w:val="24"/>
          <w:lang w:val="en-GB"/>
        </w:rPr>
        <w:t xml:space="preserve">and P75 </w:t>
      </w:r>
      <w:r w:rsidRPr="004F2021">
        <w:rPr>
          <w:b/>
          <w:bCs/>
          <w:sz w:val="24"/>
          <w:szCs w:val="24"/>
          <w:lang w:val="en-GB"/>
        </w:rPr>
        <w:t xml:space="preserve">receptors </w:t>
      </w:r>
    </w:p>
    <w:p w14:paraId="02D1992A" w14:textId="477BB429" w:rsidR="00FF22BC" w:rsidRPr="004F2021" w:rsidRDefault="001B627D" w:rsidP="5431E310">
      <w:pPr>
        <w:spacing w:after="0" w:line="480" w:lineRule="auto"/>
        <w:jc w:val="both"/>
        <w:rPr>
          <w:sz w:val="24"/>
          <w:szCs w:val="24"/>
          <w:lang w:val="en-GB"/>
        </w:rPr>
      </w:pPr>
      <w:r w:rsidRPr="004F2021">
        <w:rPr>
          <w:sz w:val="24"/>
          <w:szCs w:val="24"/>
          <w:lang w:val="en-GB"/>
        </w:rPr>
        <w:t>To</w:t>
      </w:r>
      <w:r w:rsidR="00FF22BC" w:rsidRPr="004F2021">
        <w:rPr>
          <w:sz w:val="24"/>
          <w:szCs w:val="24"/>
          <w:lang w:val="en-GB"/>
        </w:rPr>
        <w:t xml:space="preserve"> determine </w:t>
      </w:r>
      <w:r w:rsidRPr="004F2021">
        <w:rPr>
          <w:sz w:val="24"/>
          <w:szCs w:val="24"/>
          <w:lang w:val="en-GB"/>
        </w:rPr>
        <w:t xml:space="preserve">if </w:t>
      </w:r>
      <w:r w:rsidR="116AD538" w:rsidRPr="004F2021">
        <w:rPr>
          <w:sz w:val="24"/>
          <w:szCs w:val="24"/>
          <w:lang w:val="en-GB"/>
        </w:rPr>
        <w:t xml:space="preserve">recombinant </w:t>
      </w:r>
      <w:r w:rsidR="00B765F7" w:rsidRPr="004F2021">
        <w:rPr>
          <w:sz w:val="24"/>
          <w:szCs w:val="24"/>
          <w:lang w:val="en-GB"/>
        </w:rPr>
        <w:t xml:space="preserve">rabbit </w:t>
      </w:r>
      <w:r w:rsidR="116AD538" w:rsidRPr="004F2021">
        <w:rPr>
          <w:sz w:val="24"/>
          <w:szCs w:val="24"/>
          <w:lang w:val="en-GB"/>
        </w:rPr>
        <w:t>beta</w:t>
      </w:r>
      <w:r w:rsidR="424B2BF2" w:rsidRPr="004F2021">
        <w:rPr>
          <w:sz w:val="24"/>
          <w:szCs w:val="24"/>
          <w:lang w:val="en-GB"/>
        </w:rPr>
        <w:t xml:space="preserve"> </w:t>
      </w:r>
      <w:r w:rsidR="116AD538" w:rsidRPr="004F2021">
        <w:rPr>
          <w:sz w:val="24"/>
          <w:szCs w:val="24"/>
          <w:lang w:val="en-GB"/>
        </w:rPr>
        <w:t>NGF (</w:t>
      </w:r>
      <w:proofErr w:type="spellStart"/>
      <w:r w:rsidR="00FF22BC" w:rsidRPr="004F2021">
        <w:rPr>
          <w:sz w:val="24"/>
          <w:szCs w:val="24"/>
          <w:lang w:val="en-GB"/>
        </w:rPr>
        <w:t>rrBNGF</w:t>
      </w:r>
      <w:proofErr w:type="spellEnd"/>
      <w:r w:rsidR="7953B14F" w:rsidRPr="004F2021">
        <w:rPr>
          <w:sz w:val="24"/>
          <w:szCs w:val="24"/>
          <w:lang w:val="en-GB"/>
        </w:rPr>
        <w:t>)</w:t>
      </w:r>
      <w:r w:rsidR="00FF22BC" w:rsidRPr="004F2021">
        <w:rPr>
          <w:sz w:val="24"/>
          <w:szCs w:val="24"/>
          <w:lang w:val="en-GB"/>
        </w:rPr>
        <w:t xml:space="preserve"> activity in </w:t>
      </w:r>
      <w:r w:rsidR="244F8E4C" w:rsidRPr="004F2021">
        <w:rPr>
          <w:sz w:val="24"/>
          <w:szCs w:val="24"/>
          <w:lang w:val="en-GB"/>
        </w:rPr>
        <w:t>pheochromocytoma of the rat adrenal medulla (</w:t>
      </w:r>
      <w:r w:rsidR="00FF22BC" w:rsidRPr="004F2021">
        <w:rPr>
          <w:sz w:val="24"/>
          <w:szCs w:val="24"/>
          <w:lang w:val="en-GB"/>
        </w:rPr>
        <w:t>PC12</w:t>
      </w:r>
      <w:r w:rsidR="66E8DC12" w:rsidRPr="004F2021">
        <w:rPr>
          <w:sz w:val="24"/>
          <w:szCs w:val="24"/>
          <w:lang w:val="en-GB"/>
        </w:rPr>
        <w:t>)</w:t>
      </w:r>
      <w:r w:rsidR="00FF22BC" w:rsidRPr="004F2021">
        <w:rPr>
          <w:sz w:val="24"/>
          <w:szCs w:val="24"/>
          <w:lang w:val="en-GB"/>
        </w:rPr>
        <w:t xml:space="preserve"> cells was mediated by its classic receptors, immunostaining was performed to detect </w:t>
      </w:r>
      <w:r w:rsidR="00986BF9" w:rsidRPr="00986BF9">
        <w:rPr>
          <w:sz w:val="24"/>
          <w:szCs w:val="24"/>
          <w:lang w:val="en-GB"/>
        </w:rPr>
        <w:t>tropomyosin receptor kinase</w:t>
      </w:r>
      <w:r w:rsidR="00986BF9" w:rsidRPr="00986BF9">
        <w:rPr>
          <w:b/>
          <w:bCs/>
          <w:sz w:val="24"/>
          <w:szCs w:val="24"/>
          <w:lang w:val="en-GB"/>
        </w:rPr>
        <w:t xml:space="preserve"> </w:t>
      </w:r>
      <w:r w:rsidR="00986BF9" w:rsidRPr="00986BF9">
        <w:rPr>
          <w:sz w:val="24"/>
          <w:szCs w:val="24"/>
          <w:lang w:val="en-GB"/>
        </w:rPr>
        <w:t>A</w:t>
      </w:r>
      <w:r w:rsidR="00986BF9" w:rsidRPr="004F2021">
        <w:rPr>
          <w:b/>
          <w:bCs/>
          <w:sz w:val="24"/>
          <w:szCs w:val="24"/>
          <w:lang w:val="en-GB"/>
        </w:rPr>
        <w:t xml:space="preserve"> </w:t>
      </w:r>
      <w:r w:rsidR="00986BF9">
        <w:rPr>
          <w:b/>
          <w:bCs/>
          <w:sz w:val="24"/>
          <w:szCs w:val="24"/>
          <w:lang w:val="en-GB"/>
        </w:rPr>
        <w:t>(</w:t>
      </w:r>
      <w:r w:rsidR="00FF22BC" w:rsidRPr="004F2021">
        <w:rPr>
          <w:sz w:val="24"/>
          <w:szCs w:val="24"/>
          <w:lang w:val="en-GB"/>
        </w:rPr>
        <w:t>TRKA</w:t>
      </w:r>
      <w:r w:rsidR="00986BF9">
        <w:rPr>
          <w:sz w:val="24"/>
          <w:szCs w:val="24"/>
          <w:lang w:val="en-GB"/>
        </w:rPr>
        <w:t>)</w:t>
      </w:r>
      <w:r w:rsidR="00FF22BC" w:rsidRPr="004F2021">
        <w:rPr>
          <w:sz w:val="24"/>
          <w:szCs w:val="24"/>
          <w:lang w:val="en-GB"/>
        </w:rPr>
        <w:t xml:space="preserve"> and p75 expression in the cells. PC12 cells were grown on Poly-L-Lysine (Sigma Aldrich) coated coverslips in </w:t>
      </w:r>
      <w:r w:rsidR="1554A3E5" w:rsidRPr="004F2021">
        <w:rPr>
          <w:sz w:val="24"/>
          <w:szCs w:val="24"/>
          <w:lang w:val="en-GB"/>
        </w:rPr>
        <w:t>Roswell Park Memorial Institute (</w:t>
      </w:r>
      <w:r w:rsidR="00FF22BC" w:rsidRPr="004F2021">
        <w:rPr>
          <w:sz w:val="24"/>
          <w:szCs w:val="24"/>
          <w:lang w:val="en-GB"/>
        </w:rPr>
        <w:t>RPMI</w:t>
      </w:r>
      <w:r w:rsidR="79013538" w:rsidRPr="004F2021">
        <w:rPr>
          <w:sz w:val="24"/>
          <w:szCs w:val="24"/>
          <w:lang w:val="en-GB"/>
        </w:rPr>
        <w:t xml:space="preserve">, </w:t>
      </w:r>
      <w:r w:rsidR="72EEE410" w:rsidRPr="004F2021">
        <w:rPr>
          <w:color w:val="000000" w:themeColor="text1"/>
          <w:sz w:val="24"/>
          <w:szCs w:val="24"/>
          <w:lang w:val="en-GB"/>
        </w:rPr>
        <w:t xml:space="preserve">GIBCO, </w:t>
      </w:r>
      <w:proofErr w:type="spellStart"/>
      <w:r w:rsidR="72EEE410" w:rsidRPr="004F2021">
        <w:rPr>
          <w:color w:val="000000" w:themeColor="text1"/>
          <w:sz w:val="24"/>
          <w:szCs w:val="24"/>
          <w:lang w:val="en-GB"/>
        </w:rPr>
        <w:t>Thermo</w:t>
      </w:r>
      <w:proofErr w:type="spellEnd"/>
      <w:r w:rsidR="72EEE410" w:rsidRPr="004F2021">
        <w:rPr>
          <w:color w:val="000000" w:themeColor="text1"/>
          <w:sz w:val="24"/>
          <w:szCs w:val="24"/>
          <w:lang w:val="en-GB"/>
        </w:rPr>
        <w:t xml:space="preserve"> Fisher, Washington, US)-160A</w:t>
      </w:r>
      <w:r w:rsidR="72EEE410" w:rsidRPr="004F2021">
        <w:rPr>
          <w:b/>
          <w:bCs/>
          <w:sz w:val="24"/>
          <w:szCs w:val="24"/>
          <w:lang w:val="en-GB"/>
        </w:rPr>
        <w:t xml:space="preserve"> </w:t>
      </w:r>
      <w:r w:rsidR="00FF22BC" w:rsidRPr="004F2021">
        <w:rPr>
          <w:sz w:val="24"/>
          <w:szCs w:val="24"/>
          <w:lang w:val="en-GB"/>
        </w:rPr>
        <w:t xml:space="preserve">complete medium. After 7 days, </w:t>
      </w:r>
      <w:r w:rsidRPr="004F2021">
        <w:rPr>
          <w:sz w:val="24"/>
          <w:szCs w:val="24"/>
          <w:lang w:val="en-GB"/>
        </w:rPr>
        <w:t xml:space="preserve">the </w:t>
      </w:r>
      <w:r w:rsidR="00FF22BC" w:rsidRPr="004F2021">
        <w:rPr>
          <w:sz w:val="24"/>
          <w:szCs w:val="24"/>
          <w:lang w:val="en-GB"/>
        </w:rPr>
        <w:t xml:space="preserve">medium was discarded, and cells </w:t>
      </w:r>
      <w:r w:rsidRPr="004F2021">
        <w:rPr>
          <w:sz w:val="24"/>
          <w:szCs w:val="24"/>
          <w:lang w:val="en-GB"/>
        </w:rPr>
        <w:t xml:space="preserve">were </w:t>
      </w:r>
      <w:r w:rsidR="00FF22BC" w:rsidRPr="004F2021">
        <w:rPr>
          <w:sz w:val="24"/>
          <w:szCs w:val="24"/>
          <w:lang w:val="en-GB"/>
        </w:rPr>
        <w:t>fixed using 4% paraformaldehyde (</w:t>
      </w:r>
      <w:proofErr w:type="spellStart"/>
      <w:r w:rsidR="00FF22BC" w:rsidRPr="004F2021">
        <w:rPr>
          <w:sz w:val="24"/>
          <w:szCs w:val="24"/>
          <w:lang w:val="en-GB"/>
        </w:rPr>
        <w:t>PanReac</w:t>
      </w:r>
      <w:proofErr w:type="spellEnd"/>
      <w:r w:rsidR="00FF22BC" w:rsidRPr="004F2021">
        <w:rPr>
          <w:sz w:val="24"/>
          <w:szCs w:val="24"/>
          <w:lang w:val="en-GB"/>
        </w:rPr>
        <w:t xml:space="preserve">, Barcelona, Spain) for 15 min at room temperature (RT). According to </w:t>
      </w:r>
      <w:r w:rsidR="00554E3A" w:rsidRPr="004F2021">
        <w:rPr>
          <w:sz w:val="24"/>
          <w:szCs w:val="24"/>
          <w:lang w:val="en-GB"/>
        </w:rPr>
        <w:t xml:space="preserve">Quiroga et al. </w:t>
      </w:r>
      <w:r w:rsidRPr="004F2021">
        <w:rPr>
          <w:sz w:val="24"/>
          <w:szCs w:val="24"/>
          <w:lang w:val="en-GB"/>
        </w:rPr>
        <w:fldChar w:fldCharType="begin"/>
      </w:r>
      <w:r w:rsidRPr="004F2021">
        <w:rPr>
          <w:sz w:val="24"/>
          <w:szCs w:val="24"/>
          <w:lang w:val="en-GB"/>
        </w:rPr>
        <w:instrText xml:space="preserve"> ADDIN EN.CITE &lt;EndNote&gt;&lt;Cite&gt;&lt;Author&gt;Quiroga&lt;/Author&gt;&lt;Year&gt;2015&lt;/Year&gt;&lt;RecNum&gt;69&lt;/RecNum&gt;&lt;DisplayText&gt;[1]&lt;/DisplayText&gt;&lt;record&gt;&lt;rec-number&gt;69&lt;/rec-number&gt;&lt;foreign-keys&gt;&lt;key app="EN" db-id="axzs9a5ei22wpue9pahv9tdir95fpwaxsdvv" timestamp="1715538531"&gt;69&lt;/key&gt;&lt;/foreign-keys&gt;&lt;ref-type name="Journal Article"&gt;17&lt;/ref-type&gt;&lt;contributors&gt;&lt;authors&gt;&lt;author&gt;Quiroga, A.C.&lt;/author&gt;&lt;author&gt;Stolt, C.C.&lt;/author&gt;&lt;author&gt;del Corral, R.D.&lt;/author&gt;&lt;author&gt;Dimitrov, S.&lt;/author&gt;&lt;author&gt;Pérez‐Alcalá, S.&lt;/author&gt;&lt;author&gt;Sock, E.&lt;/author&gt;&lt;author&gt;Barbas, J.A.&lt;/author&gt;&lt;author&gt;Wegner, M.&lt;/author&gt;&lt;author&gt;Morales, A.V.&lt;/author&gt;&lt;/authors&gt;&lt;/contributors&gt;&lt;titles&gt;&lt;title&gt;Sox5 controls dorsal progenitor and interneuron specification in the spinal cord&lt;/title&gt;&lt;secondary-title&gt;Developmental Neurobiology&lt;/secondary-title&gt;&lt;/titles&gt;&lt;periodical&gt;&lt;full-title&gt;Developmental Neurobiology&lt;/full-title&gt;&lt;abbr-1&gt;Dev. Neurobiol.&lt;/abbr-1&gt;&lt;/periodical&gt;&lt;pages&gt;522-538&lt;/pages&gt;&lt;volume&gt;75&lt;/volume&gt;&lt;number&gt;5&lt;/number&gt;&lt;dates&gt;&lt;year&gt;2015&lt;/year&gt;&lt;/dates&gt;&lt;isbn&gt;1932-8451&lt;/isbn&gt;&lt;urls&gt;&lt;/urls&gt;&lt;/record&gt;&lt;/Cite&gt;&lt;/EndNote&gt;</w:instrText>
      </w:r>
      <w:r w:rsidRPr="004F2021">
        <w:rPr>
          <w:sz w:val="24"/>
          <w:szCs w:val="24"/>
          <w:lang w:val="en-GB"/>
        </w:rPr>
        <w:fldChar w:fldCharType="separate"/>
      </w:r>
      <w:r w:rsidR="00554E3A" w:rsidRPr="004F2021">
        <w:rPr>
          <w:noProof/>
          <w:sz w:val="24"/>
          <w:szCs w:val="24"/>
          <w:lang w:val="en-GB"/>
        </w:rPr>
        <w:t>[1]</w:t>
      </w:r>
      <w:r w:rsidRPr="004F2021">
        <w:rPr>
          <w:sz w:val="24"/>
          <w:szCs w:val="24"/>
          <w:lang w:val="en-GB"/>
        </w:rPr>
        <w:fldChar w:fldCharType="end"/>
      </w:r>
      <w:r w:rsidR="071C5807" w:rsidRPr="004F2021">
        <w:rPr>
          <w:sz w:val="24"/>
          <w:szCs w:val="24"/>
          <w:lang w:val="en-GB"/>
        </w:rPr>
        <w:t>,</w:t>
      </w:r>
      <w:r w:rsidR="00FF22BC" w:rsidRPr="004F2021">
        <w:rPr>
          <w:sz w:val="24"/>
          <w:szCs w:val="24"/>
          <w:lang w:val="en-GB"/>
        </w:rPr>
        <w:t xml:space="preserve"> cells were then rinsed in 1</w:t>
      </w:r>
      <w:r w:rsidR="7571A9B6" w:rsidRPr="004F2021">
        <w:rPr>
          <w:sz w:val="24"/>
          <w:szCs w:val="24"/>
          <w:lang w:val="en-GB"/>
        </w:rPr>
        <w:t>x phosphate-buffered saline (PBS)</w:t>
      </w:r>
      <w:r w:rsidR="00FF22BC" w:rsidRPr="004F2021">
        <w:rPr>
          <w:sz w:val="24"/>
          <w:szCs w:val="24"/>
          <w:lang w:val="en-GB"/>
        </w:rPr>
        <w:t xml:space="preserve"> and permeated with 1% Triton-X 100 (Sigma Aldrich) in 1</w:t>
      </w:r>
      <w:r w:rsidR="7AE5E26C" w:rsidRPr="004F2021">
        <w:rPr>
          <w:sz w:val="24"/>
          <w:szCs w:val="24"/>
          <w:lang w:val="en-GB"/>
        </w:rPr>
        <w:t>x</w:t>
      </w:r>
      <w:r w:rsidR="00FF22BC" w:rsidRPr="004F2021">
        <w:rPr>
          <w:sz w:val="24"/>
          <w:szCs w:val="24"/>
          <w:lang w:val="en-GB"/>
        </w:rPr>
        <w:t>PBS. Without washing, PC12 cells were blocked with PBS</w:t>
      </w:r>
      <w:r w:rsidR="00C64BB1" w:rsidRPr="004F2021">
        <w:rPr>
          <w:sz w:val="24"/>
          <w:szCs w:val="24"/>
          <w:lang w:val="en-GB"/>
        </w:rPr>
        <w:t xml:space="preserve"> </w:t>
      </w:r>
      <w:r w:rsidR="00FF22BC" w:rsidRPr="004F2021">
        <w:rPr>
          <w:sz w:val="24"/>
          <w:szCs w:val="24"/>
          <w:lang w:val="en-GB"/>
        </w:rPr>
        <w:t xml:space="preserve">containing 10% (v/v) </w:t>
      </w:r>
      <w:r w:rsidR="08C7F2AD" w:rsidRPr="004F2021">
        <w:rPr>
          <w:sz w:val="24"/>
          <w:szCs w:val="24"/>
          <w:lang w:val="en-GB"/>
        </w:rPr>
        <w:t>foetal bovine serum (</w:t>
      </w:r>
      <w:r w:rsidR="00FF22BC" w:rsidRPr="004F2021">
        <w:rPr>
          <w:sz w:val="24"/>
          <w:szCs w:val="24"/>
          <w:lang w:val="en-GB"/>
        </w:rPr>
        <w:t>FBS</w:t>
      </w:r>
      <w:r w:rsidR="68CCE481" w:rsidRPr="004F2021">
        <w:rPr>
          <w:sz w:val="24"/>
          <w:szCs w:val="24"/>
          <w:lang w:val="en-GB"/>
        </w:rPr>
        <w:t>)</w:t>
      </w:r>
      <w:r w:rsidR="00C64BB1" w:rsidRPr="004F2021">
        <w:rPr>
          <w:sz w:val="24"/>
          <w:szCs w:val="24"/>
          <w:lang w:val="en-GB"/>
        </w:rPr>
        <w:t xml:space="preserve"> </w:t>
      </w:r>
      <w:r w:rsidR="00FF22BC" w:rsidRPr="004F2021">
        <w:rPr>
          <w:sz w:val="24"/>
          <w:szCs w:val="24"/>
          <w:lang w:val="en-GB"/>
        </w:rPr>
        <w:t>and 0.2% (v/v) Tween-20 (Sigma Aldrich) for 2 h at 20–25</w:t>
      </w:r>
      <w:r w:rsidR="004A434F" w:rsidRPr="004F2021">
        <w:rPr>
          <w:sz w:val="24"/>
          <w:szCs w:val="24"/>
          <w:lang w:val="en-GB"/>
        </w:rPr>
        <w:t>◦</w:t>
      </w:r>
      <w:r w:rsidR="00FF22BC" w:rsidRPr="004F2021">
        <w:rPr>
          <w:sz w:val="24"/>
          <w:szCs w:val="24"/>
          <w:lang w:val="en-GB"/>
        </w:rPr>
        <w:t>C, and then incubated with primary antibody anti-TRKA1 (AF175; R&amp;D Systems, Minneapolis, USA) diluted 1/100 in PBS with 5% FBS and 0.1% Tween-20 at 4</w:t>
      </w:r>
      <w:r w:rsidR="004A434F" w:rsidRPr="004F2021">
        <w:rPr>
          <w:sz w:val="24"/>
          <w:szCs w:val="24"/>
          <w:lang w:val="en-GB"/>
        </w:rPr>
        <w:t>◦</w:t>
      </w:r>
      <w:r w:rsidR="00FF22BC" w:rsidRPr="004F2021">
        <w:rPr>
          <w:sz w:val="24"/>
          <w:szCs w:val="24"/>
          <w:lang w:val="en-GB"/>
        </w:rPr>
        <w:t xml:space="preserve">C overnight (o/n). The next day, cells were incubated with secondary antibodies (Alexa Fluor-488, </w:t>
      </w:r>
      <w:proofErr w:type="spellStart"/>
      <w:r w:rsidR="00FF22BC" w:rsidRPr="004F2021">
        <w:rPr>
          <w:sz w:val="24"/>
          <w:szCs w:val="24"/>
          <w:lang w:val="en-GB"/>
        </w:rPr>
        <w:t>Thermo</w:t>
      </w:r>
      <w:proofErr w:type="spellEnd"/>
      <w:r w:rsidR="00FF22BC" w:rsidRPr="004F2021">
        <w:rPr>
          <w:sz w:val="24"/>
          <w:szCs w:val="24"/>
          <w:lang w:val="en-GB"/>
        </w:rPr>
        <w:t xml:space="preserve"> Fisher) </w:t>
      </w:r>
      <w:r w:rsidR="004A434F" w:rsidRPr="004F2021">
        <w:rPr>
          <w:sz w:val="24"/>
          <w:szCs w:val="24"/>
          <w:lang w:val="en-GB"/>
        </w:rPr>
        <w:t xml:space="preserve">diluted 1/1000 </w:t>
      </w:r>
      <w:r w:rsidR="00FF22BC" w:rsidRPr="004F2021">
        <w:rPr>
          <w:sz w:val="24"/>
          <w:szCs w:val="24"/>
          <w:lang w:val="en-GB"/>
        </w:rPr>
        <w:t>for 2 h at 20–25</w:t>
      </w:r>
      <w:r w:rsidR="004A434F" w:rsidRPr="004F2021">
        <w:rPr>
          <w:sz w:val="24"/>
          <w:szCs w:val="24"/>
          <w:lang w:val="en-GB"/>
        </w:rPr>
        <w:t>◦</w:t>
      </w:r>
      <w:r w:rsidR="00FF22BC" w:rsidRPr="004F2021">
        <w:rPr>
          <w:sz w:val="24"/>
          <w:szCs w:val="24"/>
          <w:lang w:val="en-GB"/>
        </w:rPr>
        <w:t xml:space="preserve">C. Nuclei were stained with Hoechst 33258 (Sigma Aldrich), and sections were mounted using </w:t>
      </w:r>
      <w:proofErr w:type="spellStart"/>
      <w:r w:rsidR="00FF22BC" w:rsidRPr="004F2021">
        <w:rPr>
          <w:sz w:val="24"/>
          <w:szCs w:val="24"/>
          <w:lang w:val="en-GB"/>
        </w:rPr>
        <w:t>Vectashield</w:t>
      </w:r>
      <w:proofErr w:type="spellEnd"/>
      <w:r w:rsidR="00FF22BC" w:rsidRPr="004F2021">
        <w:rPr>
          <w:sz w:val="24"/>
          <w:szCs w:val="24"/>
          <w:lang w:val="en-GB"/>
        </w:rPr>
        <w:t xml:space="preserve"> (Vector Laboratories, Newark, USA) fluorescence medium. For P75 antibody detection, samples were incubated with anti-P75 (ab3125; </w:t>
      </w:r>
      <w:proofErr w:type="spellStart"/>
      <w:r w:rsidR="00FF22BC" w:rsidRPr="004F2021">
        <w:rPr>
          <w:sz w:val="24"/>
          <w:szCs w:val="24"/>
          <w:lang w:val="en-GB"/>
        </w:rPr>
        <w:t>AbCam</w:t>
      </w:r>
      <w:proofErr w:type="spellEnd"/>
      <w:r w:rsidR="00FF22BC" w:rsidRPr="004F2021">
        <w:rPr>
          <w:sz w:val="24"/>
          <w:szCs w:val="24"/>
          <w:lang w:val="en-GB"/>
        </w:rPr>
        <w:t>, Cambridge, UK) diluted 1/200 and incubated overnight at 37</w:t>
      </w:r>
      <w:r w:rsidR="004A434F" w:rsidRPr="004F2021">
        <w:rPr>
          <w:sz w:val="24"/>
          <w:szCs w:val="24"/>
          <w:lang w:val="en-GB"/>
        </w:rPr>
        <w:t>◦</w:t>
      </w:r>
      <w:r w:rsidR="00FF22BC" w:rsidRPr="004F2021">
        <w:rPr>
          <w:sz w:val="24"/>
          <w:szCs w:val="24"/>
          <w:lang w:val="en-GB"/>
        </w:rPr>
        <w:t>C. Then, donkey anti-mouse antibody conjugated to biotin (</w:t>
      </w:r>
      <w:r w:rsidR="00F25EE2" w:rsidRPr="004F2021">
        <w:rPr>
          <w:sz w:val="24"/>
          <w:szCs w:val="24"/>
          <w:lang w:val="en-GB"/>
        </w:rPr>
        <w:t xml:space="preserve">M32315; </w:t>
      </w:r>
      <w:proofErr w:type="spellStart"/>
      <w:r w:rsidR="00F25EE2" w:rsidRPr="004F2021">
        <w:rPr>
          <w:sz w:val="24"/>
          <w:szCs w:val="24"/>
          <w:lang w:val="en-GB"/>
        </w:rPr>
        <w:t>Ther</w:t>
      </w:r>
      <w:r w:rsidR="004D6BD9" w:rsidRPr="004F2021">
        <w:rPr>
          <w:sz w:val="24"/>
          <w:szCs w:val="24"/>
          <w:lang w:val="en-GB"/>
        </w:rPr>
        <w:t>mo</w:t>
      </w:r>
      <w:proofErr w:type="spellEnd"/>
      <w:r w:rsidR="004D6BD9" w:rsidRPr="004F2021">
        <w:rPr>
          <w:sz w:val="24"/>
          <w:szCs w:val="24"/>
          <w:lang w:val="en-GB"/>
        </w:rPr>
        <w:t xml:space="preserve"> Fisher</w:t>
      </w:r>
      <w:r w:rsidR="00477475" w:rsidRPr="004F2021">
        <w:rPr>
          <w:sz w:val="24"/>
          <w:szCs w:val="24"/>
          <w:lang w:val="en-GB"/>
        </w:rPr>
        <w:t xml:space="preserve"> Scientific</w:t>
      </w:r>
      <w:r w:rsidR="004D6BD9" w:rsidRPr="004F2021">
        <w:rPr>
          <w:sz w:val="24"/>
          <w:szCs w:val="24"/>
          <w:lang w:val="en-GB"/>
        </w:rPr>
        <w:t xml:space="preserve">) diluted </w:t>
      </w:r>
      <w:r w:rsidR="00FF22BC" w:rsidRPr="004F2021">
        <w:rPr>
          <w:sz w:val="24"/>
          <w:szCs w:val="24"/>
          <w:lang w:val="en-GB"/>
        </w:rPr>
        <w:t xml:space="preserve">1:200 was added for 1 h at RT. For signal </w:t>
      </w:r>
      <w:r w:rsidR="00FF22BC" w:rsidRPr="004F2021">
        <w:rPr>
          <w:sz w:val="24"/>
          <w:szCs w:val="24"/>
          <w:lang w:val="en-GB"/>
        </w:rPr>
        <w:lastRenderedPageBreak/>
        <w:t xml:space="preserve">amplification, the </w:t>
      </w:r>
      <w:proofErr w:type="spellStart"/>
      <w:r w:rsidR="00FF22BC" w:rsidRPr="004F2021">
        <w:rPr>
          <w:sz w:val="24"/>
          <w:szCs w:val="24"/>
          <w:lang w:val="en-GB"/>
        </w:rPr>
        <w:t>Vectastain</w:t>
      </w:r>
      <w:proofErr w:type="spellEnd"/>
      <w:r w:rsidR="00FF22BC" w:rsidRPr="004F2021">
        <w:rPr>
          <w:sz w:val="24"/>
          <w:szCs w:val="24"/>
          <w:lang w:val="en-GB"/>
        </w:rPr>
        <w:t xml:space="preserve"> ABC kit (Vector Laboratories) with </w:t>
      </w:r>
      <w:proofErr w:type="spellStart"/>
      <w:r w:rsidR="00FF22BC" w:rsidRPr="004F2021">
        <w:rPr>
          <w:sz w:val="24"/>
          <w:szCs w:val="24"/>
          <w:lang w:val="en-GB"/>
        </w:rPr>
        <w:t>NovaRED</w:t>
      </w:r>
      <w:proofErr w:type="spellEnd"/>
      <w:r w:rsidR="00FF22BC" w:rsidRPr="004F2021">
        <w:rPr>
          <w:sz w:val="24"/>
          <w:szCs w:val="24"/>
          <w:lang w:val="en-GB"/>
        </w:rPr>
        <w:t xml:space="preserve"> (Vector Laboratories) </w:t>
      </w:r>
      <w:r w:rsidR="00494B5F" w:rsidRPr="004F2021">
        <w:rPr>
          <w:sz w:val="24"/>
          <w:szCs w:val="24"/>
          <w:lang w:val="en-GB"/>
        </w:rPr>
        <w:t xml:space="preserve">was </w:t>
      </w:r>
      <w:r w:rsidR="00FF22BC" w:rsidRPr="004F2021">
        <w:rPr>
          <w:sz w:val="24"/>
          <w:szCs w:val="24"/>
          <w:lang w:val="en-GB"/>
        </w:rPr>
        <w:t>used.</w:t>
      </w:r>
    </w:p>
    <w:p w14:paraId="4B692CAF" w14:textId="77777777" w:rsidR="00892FE6" w:rsidRPr="004F2021" w:rsidRDefault="00892FE6" w:rsidP="00892FE6">
      <w:pPr>
        <w:spacing w:after="0" w:line="480" w:lineRule="auto"/>
        <w:jc w:val="both"/>
        <w:rPr>
          <w:sz w:val="24"/>
          <w:szCs w:val="24"/>
          <w:lang w:val="en-GB"/>
        </w:rPr>
      </w:pPr>
    </w:p>
    <w:p w14:paraId="295F8896" w14:textId="7F5F92F5" w:rsidR="00E3292D" w:rsidRPr="004F2021" w:rsidRDefault="00E3292D" w:rsidP="00892FE6">
      <w:pPr>
        <w:spacing w:after="0" w:line="480" w:lineRule="auto"/>
        <w:jc w:val="both"/>
        <w:rPr>
          <w:b/>
          <w:sz w:val="24"/>
          <w:szCs w:val="24"/>
          <w:shd w:val="clear" w:color="auto" w:fill="FFFF00"/>
          <w:lang w:val="en-GB"/>
        </w:rPr>
      </w:pPr>
      <w:r w:rsidRPr="004F2021">
        <w:rPr>
          <w:b/>
          <w:sz w:val="24"/>
          <w:szCs w:val="24"/>
          <w:lang w:val="en-GB"/>
        </w:rPr>
        <w:t xml:space="preserve">Assessment of </w:t>
      </w:r>
      <w:r w:rsidR="00BA1C9E" w:rsidRPr="004F2021">
        <w:rPr>
          <w:b/>
          <w:sz w:val="24"/>
          <w:szCs w:val="24"/>
          <w:lang w:val="en-GB"/>
        </w:rPr>
        <w:t xml:space="preserve">potency of </w:t>
      </w:r>
      <w:r w:rsidRPr="004F2021">
        <w:rPr>
          <w:b/>
          <w:sz w:val="24"/>
          <w:szCs w:val="24"/>
          <w:lang w:val="en-GB"/>
        </w:rPr>
        <w:t xml:space="preserve">in vitro </w:t>
      </w:r>
      <w:proofErr w:type="spellStart"/>
      <w:r w:rsidRPr="004F2021">
        <w:rPr>
          <w:b/>
          <w:sz w:val="24"/>
          <w:szCs w:val="24"/>
          <w:lang w:val="en-GB"/>
        </w:rPr>
        <w:t>r</w:t>
      </w:r>
      <w:r w:rsidR="009606CE" w:rsidRPr="004F2021">
        <w:rPr>
          <w:b/>
          <w:sz w:val="24"/>
          <w:szCs w:val="24"/>
          <w:lang w:val="en-GB"/>
        </w:rPr>
        <w:t>rB</w:t>
      </w:r>
      <w:r w:rsidRPr="004F2021">
        <w:rPr>
          <w:b/>
          <w:sz w:val="24"/>
          <w:szCs w:val="24"/>
          <w:lang w:val="en-GB"/>
        </w:rPr>
        <w:t>NGF</w:t>
      </w:r>
      <w:proofErr w:type="spellEnd"/>
      <w:r w:rsidRPr="004F2021">
        <w:rPr>
          <w:b/>
          <w:sz w:val="24"/>
          <w:szCs w:val="24"/>
          <w:shd w:val="clear" w:color="auto" w:fill="FFFF00"/>
          <w:lang w:val="en-GB"/>
        </w:rPr>
        <w:t xml:space="preserve"> </w:t>
      </w:r>
    </w:p>
    <w:p w14:paraId="5107BD3B" w14:textId="5FEC0DAD" w:rsidR="00E3292D" w:rsidRPr="004F2021" w:rsidRDefault="00BA1C9E" w:rsidP="00892FE6">
      <w:pPr>
        <w:spacing w:after="0" w:line="480" w:lineRule="auto"/>
        <w:jc w:val="both"/>
        <w:rPr>
          <w:sz w:val="24"/>
          <w:szCs w:val="24"/>
          <w:lang w:val="en-GB"/>
        </w:rPr>
      </w:pPr>
      <w:r w:rsidRPr="004F2021">
        <w:rPr>
          <w:sz w:val="24"/>
          <w:szCs w:val="24"/>
          <w:lang w:val="en-GB"/>
        </w:rPr>
        <w:t xml:space="preserve">Comparison of potency of </w:t>
      </w:r>
      <w:proofErr w:type="spellStart"/>
      <w:r w:rsidRPr="004F2021">
        <w:rPr>
          <w:sz w:val="24"/>
          <w:szCs w:val="24"/>
          <w:lang w:val="en-GB"/>
        </w:rPr>
        <w:t>rr</w:t>
      </w:r>
      <w:r w:rsidR="009606CE" w:rsidRPr="004F2021">
        <w:rPr>
          <w:sz w:val="24"/>
          <w:szCs w:val="24"/>
          <w:lang w:val="en-GB"/>
        </w:rPr>
        <w:t>B</w:t>
      </w:r>
      <w:r w:rsidRPr="004F2021">
        <w:rPr>
          <w:sz w:val="24"/>
          <w:szCs w:val="24"/>
          <w:lang w:val="en-GB"/>
        </w:rPr>
        <w:t>NGF</w:t>
      </w:r>
      <w:proofErr w:type="spellEnd"/>
      <w:r w:rsidRPr="004F2021">
        <w:rPr>
          <w:sz w:val="24"/>
          <w:szCs w:val="24"/>
          <w:lang w:val="en-GB"/>
        </w:rPr>
        <w:t xml:space="preserve"> </w:t>
      </w:r>
      <w:r w:rsidR="001B627D" w:rsidRPr="004F2021">
        <w:rPr>
          <w:sz w:val="24"/>
          <w:szCs w:val="24"/>
          <w:lang w:val="en-GB"/>
        </w:rPr>
        <w:t>synthesized</w:t>
      </w:r>
      <w:r w:rsidRPr="004F2021">
        <w:rPr>
          <w:sz w:val="24"/>
          <w:szCs w:val="24"/>
          <w:lang w:val="en-GB"/>
        </w:rPr>
        <w:t xml:space="preserve"> by </w:t>
      </w:r>
      <w:proofErr w:type="spellStart"/>
      <w:r w:rsidRPr="004F2021">
        <w:rPr>
          <w:sz w:val="24"/>
          <w:szCs w:val="24"/>
          <w:lang w:val="en-GB"/>
        </w:rPr>
        <w:t>Genescript</w:t>
      </w:r>
      <w:proofErr w:type="spellEnd"/>
      <w:r w:rsidR="00554E3A" w:rsidRPr="004F2021">
        <w:rPr>
          <w:sz w:val="24"/>
          <w:szCs w:val="24"/>
          <w:lang w:val="en-GB"/>
        </w:rPr>
        <w:t xml:space="preserve"> (GenBank KX528686; </w:t>
      </w:r>
      <w:proofErr w:type="spellStart"/>
      <w:r w:rsidRPr="004F2021">
        <w:rPr>
          <w:sz w:val="24"/>
          <w:szCs w:val="24"/>
          <w:lang w:val="en-GB"/>
        </w:rPr>
        <w:t>Genscript</w:t>
      </w:r>
      <w:proofErr w:type="spellEnd"/>
      <w:r w:rsidRPr="004F2021">
        <w:rPr>
          <w:sz w:val="24"/>
          <w:szCs w:val="24"/>
          <w:lang w:val="en-GB"/>
        </w:rPr>
        <w:t xml:space="preserve"> Biotech, New Jersey, USA) </w:t>
      </w:r>
      <w:r w:rsidRPr="004F2021">
        <w:rPr>
          <w:sz w:val="24"/>
          <w:szCs w:val="24"/>
          <w:lang w:val="en-GB"/>
        </w:rPr>
        <w:fldChar w:fldCharType="begin"/>
      </w:r>
      <w:r w:rsidRPr="004F2021">
        <w:rPr>
          <w:sz w:val="24"/>
          <w:szCs w:val="24"/>
          <w:lang w:val="en-GB"/>
        </w:rPr>
        <w:instrText xml:space="preserve"> ADDIN EN.CITE &lt;EndNote&gt;&lt;Cite&gt;&lt;Author&gt;Sanchez-Rodriguez&lt;/Author&gt;&lt;Year&gt;2019&lt;/Year&gt;&lt;RecNum&gt;20&lt;/RecNum&gt;&lt;DisplayText&gt;[2]&lt;/DisplayText&gt;&lt;record&gt;&lt;rec-number&gt;20&lt;/rec-number&gt;&lt;foreign-keys&gt;&lt;key app="EN" db-id="axzs9a5ei22wpue9pahv9tdir95fpwaxsdvv" timestamp="1685274053"&gt;20&lt;/key&gt;&lt;/foreign-keys&gt;&lt;ref-type name="Journal Article"&gt;17&lt;/ref-type&gt;&lt;contributors&gt;&lt;authors&gt;&lt;author&gt;Sanchez-Rodriguez, A.&lt;/author&gt;&lt;author&gt;Abad, P.&lt;/author&gt;&lt;author&gt;Arias-Alvarez, M.&lt;/author&gt;&lt;author&gt;Rebollar, P.G.&lt;/author&gt;&lt;author&gt;Bautista, J.M.&lt;/author&gt;&lt;author&gt;Lorenzo, P.L.&lt;/author&gt;&lt;author&gt;Garcia-Garcia, R.M.&lt;/author&gt;&lt;/authors&gt;&lt;/contributors&gt;&lt;titles&gt;&lt;title&gt;Recombinant rabbit beta nerve growth factor production and its biological effects on sperm and ovulation in rabbits&lt;/title&gt;&lt;secondary-title&gt;PloS One&lt;/secondary-title&gt;&lt;/titles&gt;&lt;periodical&gt;&lt;full-title&gt;PloS one&lt;/full-title&gt;&lt;abbr-1&gt;PLoS One&lt;/abbr-1&gt;&lt;/periodical&gt;&lt;pages&gt;e0219780&lt;/pages&gt;&lt;volume&gt;14&lt;/volume&gt;&lt;number&gt;7&lt;/number&gt;&lt;dates&gt;&lt;year&gt;2019&lt;/year&gt;&lt;/dates&gt;&lt;isbn&gt;1932-6203&lt;/isbn&gt;&lt;urls&gt;&lt;/urls&gt;&lt;/record&gt;&lt;/Cite&gt;&lt;/EndNote&gt;</w:instrText>
      </w:r>
      <w:r w:rsidRPr="004F2021">
        <w:rPr>
          <w:sz w:val="24"/>
          <w:szCs w:val="24"/>
          <w:lang w:val="en-GB"/>
        </w:rPr>
        <w:fldChar w:fldCharType="separate"/>
      </w:r>
      <w:r w:rsidR="00554E3A" w:rsidRPr="004F2021">
        <w:rPr>
          <w:noProof/>
          <w:sz w:val="24"/>
          <w:szCs w:val="24"/>
          <w:lang w:val="en-GB"/>
        </w:rPr>
        <w:t>[2]</w:t>
      </w:r>
      <w:r w:rsidRPr="004F2021">
        <w:rPr>
          <w:sz w:val="24"/>
          <w:szCs w:val="24"/>
          <w:lang w:val="en-GB"/>
        </w:rPr>
        <w:fldChar w:fldCharType="end"/>
      </w:r>
      <w:r w:rsidR="00554E3A" w:rsidRPr="004F2021">
        <w:rPr>
          <w:sz w:val="24"/>
          <w:szCs w:val="24"/>
          <w:lang w:val="en-GB"/>
        </w:rPr>
        <w:t xml:space="preserve"> </w:t>
      </w:r>
      <w:r w:rsidRPr="004F2021">
        <w:rPr>
          <w:sz w:val="24"/>
          <w:szCs w:val="24"/>
          <w:lang w:val="en-GB"/>
        </w:rPr>
        <w:t xml:space="preserve">to commercial murine </w:t>
      </w:r>
      <w:r w:rsidR="00B765F7" w:rsidRPr="004F2021">
        <w:rPr>
          <w:sz w:val="24"/>
          <w:szCs w:val="24"/>
          <w:lang w:val="en-GB"/>
        </w:rPr>
        <w:t>B</w:t>
      </w:r>
      <w:r w:rsidRPr="004F2021">
        <w:rPr>
          <w:sz w:val="24"/>
          <w:szCs w:val="24"/>
          <w:lang w:val="en-GB"/>
        </w:rPr>
        <w:t>NGF (</w:t>
      </w:r>
      <w:proofErr w:type="spellStart"/>
      <w:r w:rsidR="00B765F7" w:rsidRPr="004F2021">
        <w:rPr>
          <w:sz w:val="24"/>
          <w:szCs w:val="24"/>
          <w:lang w:val="en-GB"/>
        </w:rPr>
        <w:t>mrBNGF</w:t>
      </w:r>
      <w:proofErr w:type="spellEnd"/>
      <w:r w:rsidR="00B765F7" w:rsidRPr="004F2021">
        <w:rPr>
          <w:sz w:val="24"/>
          <w:szCs w:val="24"/>
          <w:lang w:val="en-GB"/>
        </w:rPr>
        <w:t xml:space="preserve">; </w:t>
      </w:r>
      <w:r w:rsidRPr="004F2021">
        <w:rPr>
          <w:sz w:val="24"/>
          <w:szCs w:val="24"/>
          <w:lang w:val="en-GB"/>
        </w:rPr>
        <w:t xml:space="preserve">R&amp;D Systems, Minneapolis, USA) was first </w:t>
      </w:r>
      <w:r w:rsidR="001B627D" w:rsidRPr="004F2021">
        <w:rPr>
          <w:sz w:val="24"/>
          <w:szCs w:val="24"/>
          <w:lang w:val="en-GB"/>
        </w:rPr>
        <w:t>established</w:t>
      </w:r>
      <w:r w:rsidRPr="004F2021">
        <w:rPr>
          <w:sz w:val="24"/>
          <w:szCs w:val="24"/>
          <w:lang w:val="en-GB"/>
        </w:rPr>
        <w:t xml:space="preserve">.  </w:t>
      </w:r>
      <w:r w:rsidR="00E3292D" w:rsidRPr="004F2021">
        <w:rPr>
          <w:sz w:val="24"/>
          <w:szCs w:val="24"/>
          <w:lang w:val="en-GB"/>
        </w:rPr>
        <w:t xml:space="preserve">The following experimental groups were: </w:t>
      </w:r>
      <w:proofErr w:type="spellStart"/>
      <w:r w:rsidR="00E3292D" w:rsidRPr="004F2021">
        <w:rPr>
          <w:sz w:val="24"/>
          <w:szCs w:val="24"/>
          <w:lang w:val="en-GB"/>
        </w:rPr>
        <w:t>i</w:t>
      </w:r>
      <w:proofErr w:type="spellEnd"/>
      <w:r w:rsidR="00E3292D" w:rsidRPr="004F2021">
        <w:rPr>
          <w:sz w:val="24"/>
          <w:szCs w:val="24"/>
          <w:lang w:val="en-GB"/>
        </w:rPr>
        <w:t xml:space="preserve">) Control, complete RPMI medium; ii) rNGF25, RPMI medium + 25 ng/ml </w:t>
      </w:r>
      <w:proofErr w:type="spellStart"/>
      <w:r w:rsidR="00E3292D" w:rsidRPr="004F2021">
        <w:rPr>
          <w:sz w:val="24"/>
          <w:szCs w:val="24"/>
          <w:lang w:val="en-GB"/>
        </w:rPr>
        <w:t>rrBNGF</w:t>
      </w:r>
      <w:proofErr w:type="spellEnd"/>
      <w:r w:rsidR="001B627D" w:rsidRPr="004F2021">
        <w:rPr>
          <w:sz w:val="24"/>
          <w:szCs w:val="24"/>
          <w:lang w:val="en-GB"/>
        </w:rPr>
        <w:t>;</w:t>
      </w:r>
      <w:r w:rsidR="00E3292D" w:rsidRPr="004F2021">
        <w:rPr>
          <w:sz w:val="24"/>
          <w:szCs w:val="24"/>
          <w:lang w:val="en-GB"/>
        </w:rPr>
        <w:t xml:space="preserve"> iii) rNGF50, medium + 50 ng/ml </w:t>
      </w:r>
      <w:proofErr w:type="spellStart"/>
      <w:r w:rsidR="00E3292D" w:rsidRPr="004F2021">
        <w:rPr>
          <w:sz w:val="24"/>
          <w:szCs w:val="24"/>
          <w:lang w:val="en-GB"/>
        </w:rPr>
        <w:t>rrBNGF</w:t>
      </w:r>
      <w:proofErr w:type="spellEnd"/>
      <w:r w:rsidR="00E3292D" w:rsidRPr="004F2021">
        <w:rPr>
          <w:sz w:val="24"/>
          <w:szCs w:val="24"/>
          <w:lang w:val="en-GB"/>
        </w:rPr>
        <w:t xml:space="preserve">; iv) mNGF50, medium + 50 ng/ml </w:t>
      </w:r>
      <w:proofErr w:type="spellStart"/>
      <w:r w:rsidR="00E3292D" w:rsidRPr="004F2021">
        <w:rPr>
          <w:sz w:val="24"/>
          <w:szCs w:val="24"/>
          <w:lang w:val="en-GB"/>
        </w:rPr>
        <w:t>mrBNGF</w:t>
      </w:r>
      <w:proofErr w:type="spellEnd"/>
      <w:r w:rsidR="001B627D" w:rsidRPr="004F2021">
        <w:rPr>
          <w:sz w:val="24"/>
          <w:szCs w:val="24"/>
          <w:lang w:val="en-GB"/>
        </w:rPr>
        <w:t>;</w:t>
      </w:r>
      <w:r w:rsidR="00E3292D" w:rsidRPr="004F2021">
        <w:rPr>
          <w:sz w:val="24"/>
          <w:szCs w:val="24"/>
          <w:lang w:val="en-GB"/>
        </w:rPr>
        <w:t xml:space="preserve"> and v) mNGF100, medium + 100 ng/ml </w:t>
      </w:r>
      <w:proofErr w:type="spellStart"/>
      <w:r w:rsidR="00E3292D" w:rsidRPr="004F2021">
        <w:rPr>
          <w:sz w:val="24"/>
          <w:szCs w:val="24"/>
          <w:lang w:val="en-GB"/>
        </w:rPr>
        <w:t>mrBNGF</w:t>
      </w:r>
      <w:proofErr w:type="spellEnd"/>
      <w:r w:rsidR="00E3292D" w:rsidRPr="004F2021">
        <w:rPr>
          <w:sz w:val="24"/>
          <w:szCs w:val="24"/>
          <w:lang w:val="en-GB"/>
        </w:rPr>
        <w:t xml:space="preserve">. Differentiation medium was refreshed every 48 h. Morphological cell features (rounded, fusiform or star-like cells; cells with </w:t>
      </w:r>
      <w:r w:rsidR="0080541B" w:rsidRPr="004F2021">
        <w:rPr>
          <w:sz w:val="24"/>
          <w:szCs w:val="24"/>
          <w:lang w:val="en-GB"/>
        </w:rPr>
        <w:t>1, 2-3 or more than 3</w:t>
      </w:r>
      <w:r w:rsidR="00E3292D" w:rsidRPr="004F2021">
        <w:rPr>
          <w:sz w:val="24"/>
          <w:szCs w:val="24"/>
          <w:lang w:val="en-GB"/>
        </w:rPr>
        <w:t xml:space="preserve"> neurites</w:t>
      </w:r>
      <w:r w:rsidR="0080541B" w:rsidRPr="004F2021">
        <w:rPr>
          <w:sz w:val="24"/>
          <w:szCs w:val="24"/>
          <w:lang w:val="en-GB"/>
        </w:rPr>
        <w:t>;</w:t>
      </w:r>
      <w:r w:rsidR="00E3292D" w:rsidRPr="004F2021">
        <w:rPr>
          <w:sz w:val="24"/>
          <w:szCs w:val="24"/>
          <w:lang w:val="en-GB"/>
        </w:rPr>
        <w:t xml:space="preserve"> cells with </w:t>
      </w:r>
      <w:r w:rsidR="0080541B" w:rsidRPr="004F2021">
        <w:rPr>
          <w:sz w:val="24"/>
          <w:szCs w:val="24"/>
          <w:lang w:val="en-GB"/>
        </w:rPr>
        <w:t xml:space="preserve">ramified </w:t>
      </w:r>
      <w:r w:rsidR="00E3292D" w:rsidRPr="004F2021">
        <w:rPr>
          <w:sz w:val="24"/>
          <w:szCs w:val="24"/>
          <w:lang w:val="en-GB"/>
        </w:rPr>
        <w:t>neurites</w:t>
      </w:r>
      <w:r w:rsidR="0080541B" w:rsidRPr="004F2021">
        <w:rPr>
          <w:sz w:val="24"/>
          <w:szCs w:val="24"/>
          <w:lang w:val="en-GB"/>
        </w:rPr>
        <w:t>; and cells with neurites</w:t>
      </w:r>
      <w:r w:rsidR="00E3292D" w:rsidRPr="004F2021">
        <w:rPr>
          <w:sz w:val="24"/>
          <w:szCs w:val="24"/>
          <w:lang w:val="en-GB"/>
        </w:rPr>
        <w:t xml:space="preserve"> shorter or longer than one cell diameter and neurite density) were evaluated based on microscopic images taken on days 3, 5 and 7 after BNGF addition. All these parameters were determined in 5 fields with cells in 3 different wells</w:t>
      </w:r>
      <w:r w:rsidR="001B627D" w:rsidRPr="004F2021">
        <w:rPr>
          <w:sz w:val="24"/>
          <w:szCs w:val="24"/>
          <w:lang w:val="en-GB"/>
        </w:rPr>
        <w:t>,</w:t>
      </w:r>
      <w:r w:rsidR="00E3292D" w:rsidRPr="004F2021">
        <w:rPr>
          <w:sz w:val="24"/>
          <w:szCs w:val="24"/>
          <w:lang w:val="en-GB"/>
        </w:rPr>
        <w:t xml:space="preserve"> and 3 independent replicates were done. </w:t>
      </w:r>
      <w:r w:rsidR="001B627D" w:rsidRPr="004F2021">
        <w:rPr>
          <w:sz w:val="24"/>
          <w:szCs w:val="24"/>
          <w:lang w:val="en-GB"/>
        </w:rPr>
        <w:t>According to Sanchez Rodriguez et al.</w:t>
      </w:r>
      <w:r w:rsidR="00F97FD1" w:rsidRPr="004F2021">
        <w:rPr>
          <w:sz w:val="24"/>
          <w:szCs w:val="24"/>
          <w:lang w:val="en-GB"/>
        </w:rPr>
        <w:t xml:space="preserve"> </w:t>
      </w:r>
      <w:r w:rsidRPr="004F2021">
        <w:rPr>
          <w:sz w:val="24"/>
          <w:szCs w:val="24"/>
          <w:lang w:val="en-GB"/>
        </w:rPr>
        <w:fldChar w:fldCharType="begin"/>
      </w:r>
      <w:r w:rsidRPr="004F2021">
        <w:rPr>
          <w:sz w:val="24"/>
          <w:szCs w:val="24"/>
          <w:lang w:val="en-GB"/>
        </w:rPr>
        <w:instrText xml:space="preserve"> ADDIN EN.CITE &lt;EndNote&gt;&lt;Cite&gt;&lt;Author&gt;Sanchez-Rodriguez&lt;/Author&gt;&lt;Year&gt;2019&lt;/Year&gt;&lt;RecNum&gt;20&lt;/RecNum&gt;&lt;DisplayText&gt;[2]&lt;/DisplayText&gt;&lt;record&gt;&lt;rec-number&gt;20&lt;/rec-number&gt;&lt;foreign-keys&gt;&lt;key app="EN" db-id="axzs9a5ei22wpue9pahv9tdir95fpwaxsdvv" timestamp="1685274053"&gt;20&lt;/key&gt;&lt;/foreign-keys&gt;&lt;ref-type name="Journal Article"&gt;17&lt;/ref-type&gt;&lt;contributors&gt;&lt;authors&gt;&lt;author&gt;Sanchez-Rodriguez, A.&lt;/author&gt;&lt;author&gt;Abad, P.&lt;/author&gt;&lt;author&gt;Arias-Alvarez, M.&lt;/author&gt;&lt;author&gt;Rebollar, P.G.&lt;/author&gt;&lt;author&gt;Bautista, J.M.&lt;/author&gt;&lt;author&gt;Lorenzo, P.L.&lt;/author&gt;&lt;author&gt;Garcia-Garcia, R.M.&lt;/author&gt;&lt;/authors&gt;&lt;/contributors&gt;&lt;titles&gt;&lt;title&gt;Recombinant rabbit beta nerve growth factor production and its biological effects on sperm and ovulation in rabbits&lt;/title&gt;&lt;secondary-title&gt;PloS One&lt;/secondary-title&gt;&lt;/titles&gt;&lt;periodical&gt;&lt;full-title&gt;PloS one&lt;/full-title&gt;&lt;abbr-1&gt;PLoS One&lt;/abbr-1&gt;&lt;/periodical&gt;&lt;pages&gt;e0219780&lt;/pages&gt;&lt;volume&gt;14&lt;/volume&gt;&lt;number&gt;7&lt;/number&gt;&lt;dates&gt;&lt;year&gt;2019&lt;/year&gt;&lt;/dates&gt;&lt;isbn&gt;1932-6203&lt;/isbn&gt;&lt;urls&gt;&lt;/urls&gt;&lt;/record&gt;&lt;/Cite&gt;&lt;/EndNote&gt;</w:instrText>
      </w:r>
      <w:r w:rsidRPr="004F2021">
        <w:rPr>
          <w:sz w:val="24"/>
          <w:szCs w:val="24"/>
          <w:lang w:val="en-GB"/>
        </w:rPr>
        <w:fldChar w:fldCharType="separate"/>
      </w:r>
      <w:r w:rsidR="00554E3A" w:rsidRPr="004F2021">
        <w:rPr>
          <w:noProof/>
          <w:sz w:val="24"/>
          <w:szCs w:val="24"/>
          <w:lang w:val="en-GB"/>
        </w:rPr>
        <w:t>[2]</w:t>
      </w:r>
      <w:r w:rsidRPr="004F2021">
        <w:rPr>
          <w:sz w:val="24"/>
          <w:szCs w:val="24"/>
          <w:lang w:val="en-GB"/>
        </w:rPr>
        <w:fldChar w:fldCharType="end"/>
      </w:r>
      <w:r w:rsidR="001B627D" w:rsidRPr="004F2021">
        <w:rPr>
          <w:sz w:val="24"/>
          <w:szCs w:val="24"/>
          <w:lang w:val="en-GB"/>
        </w:rPr>
        <w:t>, ImageJ software was used for image analysis</w:t>
      </w:r>
      <w:r w:rsidR="00E3292D" w:rsidRPr="004F2021">
        <w:rPr>
          <w:sz w:val="24"/>
          <w:szCs w:val="24"/>
          <w:lang w:val="en-GB"/>
        </w:rPr>
        <w:t xml:space="preserve">. </w:t>
      </w:r>
    </w:p>
    <w:p w14:paraId="43E8C8B7" w14:textId="1BC546AF" w:rsidR="00AF5CFA" w:rsidRPr="004F2021" w:rsidRDefault="00AF5CFA" w:rsidP="56324007">
      <w:pPr>
        <w:spacing w:after="0" w:line="480" w:lineRule="auto"/>
        <w:jc w:val="both"/>
        <w:rPr>
          <w:sz w:val="24"/>
          <w:szCs w:val="24"/>
          <w:lang w:val="en-GB"/>
        </w:rPr>
      </w:pPr>
      <w:r w:rsidRPr="004F2021">
        <w:rPr>
          <w:sz w:val="24"/>
          <w:szCs w:val="24"/>
          <w:lang w:val="en-GB"/>
        </w:rPr>
        <w:t xml:space="preserve">Cell viability analysis was performed with </w:t>
      </w:r>
      <w:r w:rsidR="3A4D5794" w:rsidRPr="004F2021">
        <w:rPr>
          <w:sz w:val="24"/>
          <w:szCs w:val="24"/>
          <w:lang w:val="en-GB"/>
        </w:rPr>
        <w:t xml:space="preserve">2H-Tetrazolium, 2-(4,5-dimethyl-2-thiazolyl)-3,5-diphenyl-bromide (MTT, </w:t>
      </w:r>
      <w:proofErr w:type="spellStart"/>
      <w:r w:rsidR="3A4D5794" w:rsidRPr="004F2021">
        <w:rPr>
          <w:sz w:val="24"/>
          <w:szCs w:val="24"/>
          <w:lang w:val="en-GB"/>
        </w:rPr>
        <w:t>Thermo</w:t>
      </w:r>
      <w:proofErr w:type="spellEnd"/>
      <w:r w:rsidR="3A4D5794" w:rsidRPr="004F2021">
        <w:rPr>
          <w:sz w:val="24"/>
          <w:szCs w:val="24"/>
          <w:lang w:val="en-GB"/>
        </w:rPr>
        <w:t xml:space="preserve"> Fisher Scientific)</w:t>
      </w:r>
      <w:r w:rsidR="00C64BB1" w:rsidRPr="004F2021">
        <w:rPr>
          <w:b/>
          <w:bCs/>
          <w:sz w:val="24"/>
          <w:szCs w:val="24"/>
          <w:lang w:val="en-GB"/>
        </w:rPr>
        <w:t xml:space="preserve"> </w:t>
      </w:r>
      <w:r w:rsidRPr="004F2021">
        <w:rPr>
          <w:sz w:val="24"/>
          <w:szCs w:val="24"/>
          <w:lang w:val="en-GB"/>
        </w:rPr>
        <w:t>assay according to manufacturer instructions</w:t>
      </w:r>
      <w:r w:rsidR="0080541B" w:rsidRPr="004F2021">
        <w:rPr>
          <w:sz w:val="24"/>
          <w:szCs w:val="24"/>
          <w:lang w:val="en-GB"/>
        </w:rPr>
        <w:t>.</w:t>
      </w:r>
    </w:p>
    <w:p w14:paraId="564764F3" w14:textId="77777777" w:rsidR="006A1ED7" w:rsidRPr="004F2021" w:rsidRDefault="006A1ED7" w:rsidP="00892FE6">
      <w:pPr>
        <w:spacing w:after="0" w:line="480" w:lineRule="auto"/>
        <w:jc w:val="both"/>
        <w:rPr>
          <w:sz w:val="24"/>
          <w:szCs w:val="24"/>
          <w:lang w:val="en-GB"/>
        </w:rPr>
      </w:pPr>
    </w:p>
    <w:p w14:paraId="0BF8A0F6" w14:textId="4DA2665E" w:rsidR="006A1ED7" w:rsidRPr="004F2021" w:rsidRDefault="006A1ED7" w:rsidP="00892FE6">
      <w:pPr>
        <w:spacing w:after="0" w:line="480" w:lineRule="auto"/>
        <w:jc w:val="both"/>
        <w:rPr>
          <w:b/>
          <w:sz w:val="24"/>
          <w:szCs w:val="24"/>
          <w:lang w:val="en-GB"/>
        </w:rPr>
      </w:pPr>
      <w:r w:rsidRPr="004F2021">
        <w:rPr>
          <w:b/>
          <w:sz w:val="24"/>
          <w:szCs w:val="24"/>
          <w:lang w:val="en-GB"/>
        </w:rPr>
        <w:t>Statistical analysis</w:t>
      </w:r>
    </w:p>
    <w:p w14:paraId="27801B91" w14:textId="061598B0" w:rsidR="00AF5CFA" w:rsidRPr="004F2021" w:rsidRDefault="00755701" w:rsidP="00110D34">
      <w:pPr>
        <w:spacing w:after="0" w:line="480" w:lineRule="auto"/>
        <w:jc w:val="both"/>
        <w:rPr>
          <w:sz w:val="24"/>
          <w:szCs w:val="24"/>
          <w:lang w:val="en-GB"/>
        </w:rPr>
      </w:pPr>
      <w:r w:rsidRPr="004F2021">
        <w:rPr>
          <w:sz w:val="24"/>
          <w:szCs w:val="24"/>
          <w:lang w:val="en-GB"/>
        </w:rPr>
        <w:t xml:space="preserve">For morphometric studies, a two-way ANOVA with repeated measures test was performed. </w:t>
      </w:r>
      <w:proofErr w:type="spellStart"/>
      <w:r w:rsidRPr="004F2021">
        <w:rPr>
          <w:sz w:val="24"/>
          <w:szCs w:val="24"/>
          <w:lang w:val="en-GB"/>
        </w:rPr>
        <w:t>rrBNGF</w:t>
      </w:r>
      <w:proofErr w:type="spellEnd"/>
      <w:r w:rsidRPr="004F2021">
        <w:rPr>
          <w:sz w:val="24"/>
          <w:szCs w:val="24"/>
          <w:lang w:val="en-GB"/>
        </w:rPr>
        <w:t xml:space="preserve"> supplemented medium (control, mNGF50, mNGF100, rNGF25, rNGF50) and analysis examination days (3, 5 and 7) were used as fixed effects. </w:t>
      </w:r>
      <w:r w:rsidRPr="004F2021">
        <w:rPr>
          <w:sz w:val="24"/>
          <w:szCs w:val="24"/>
          <w:lang w:val="en-GB"/>
        </w:rPr>
        <w:lastRenderedPageBreak/>
        <w:t xml:space="preserve">Interaction between fixed effects was also analysed in the statistical test. For </w:t>
      </w:r>
      <w:r w:rsidR="001B627D" w:rsidRPr="004F2021">
        <w:rPr>
          <w:sz w:val="24"/>
          <w:szCs w:val="24"/>
          <w:lang w:val="en-GB"/>
        </w:rPr>
        <w:t>cell viability study</w:t>
      </w:r>
      <w:r w:rsidRPr="004F2021">
        <w:rPr>
          <w:sz w:val="24"/>
          <w:szCs w:val="24"/>
          <w:lang w:val="en-GB"/>
        </w:rPr>
        <w:t>, a one-way ANOVA test was conducted with supplemented medium (control, mNGF50, mNGF100, rNGF25</w:t>
      </w:r>
      <w:r w:rsidR="00986BF9">
        <w:rPr>
          <w:sz w:val="24"/>
          <w:szCs w:val="24"/>
          <w:lang w:val="en-GB"/>
        </w:rPr>
        <w:t xml:space="preserve">, </w:t>
      </w:r>
      <w:r w:rsidR="00986BF9" w:rsidRPr="004F2021">
        <w:rPr>
          <w:sz w:val="24"/>
          <w:szCs w:val="24"/>
          <w:lang w:val="en-GB"/>
        </w:rPr>
        <w:t>rNGF50</w:t>
      </w:r>
      <w:r w:rsidRPr="004F2021">
        <w:rPr>
          <w:sz w:val="24"/>
          <w:szCs w:val="24"/>
          <w:lang w:val="en-GB"/>
        </w:rPr>
        <w:t>) as the fixed effect</w:t>
      </w:r>
      <w:r w:rsidR="371C4AD1" w:rsidRPr="004F2021">
        <w:rPr>
          <w:sz w:val="24"/>
          <w:szCs w:val="24"/>
          <w:lang w:val="en-GB"/>
        </w:rPr>
        <w:t xml:space="preserve"> and treatment as </w:t>
      </w:r>
      <w:r w:rsidR="00986BF9">
        <w:rPr>
          <w:sz w:val="24"/>
          <w:szCs w:val="24"/>
          <w:lang w:val="en-GB"/>
        </w:rPr>
        <w:t>in</w:t>
      </w:r>
      <w:r w:rsidR="371C4AD1" w:rsidRPr="004F2021">
        <w:rPr>
          <w:sz w:val="24"/>
          <w:szCs w:val="24"/>
          <w:lang w:val="en-GB"/>
        </w:rPr>
        <w:t>dependent va</w:t>
      </w:r>
      <w:r w:rsidR="356E4FA5" w:rsidRPr="004F2021">
        <w:rPr>
          <w:sz w:val="24"/>
          <w:szCs w:val="24"/>
          <w:lang w:val="en-GB"/>
        </w:rPr>
        <w:t>r</w:t>
      </w:r>
      <w:r w:rsidR="371C4AD1" w:rsidRPr="004F2021">
        <w:rPr>
          <w:sz w:val="24"/>
          <w:szCs w:val="24"/>
          <w:lang w:val="en-GB"/>
        </w:rPr>
        <w:t>iable</w:t>
      </w:r>
      <w:r w:rsidR="00986BF9">
        <w:rPr>
          <w:sz w:val="24"/>
          <w:szCs w:val="24"/>
          <w:lang w:val="en-GB"/>
        </w:rPr>
        <w:t>. E</w:t>
      </w:r>
      <w:r w:rsidR="371C4AD1" w:rsidRPr="004F2021">
        <w:rPr>
          <w:sz w:val="24"/>
          <w:szCs w:val="24"/>
          <w:lang w:val="en-GB"/>
        </w:rPr>
        <w:t xml:space="preserve">ach of the </w:t>
      </w:r>
      <w:r w:rsidR="00986BF9" w:rsidRPr="004F2021">
        <w:rPr>
          <w:sz w:val="24"/>
          <w:szCs w:val="24"/>
          <w:lang w:val="en-GB"/>
        </w:rPr>
        <w:t>morphological</w:t>
      </w:r>
      <w:r w:rsidR="371C4AD1" w:rsidRPr="004F2021">
        <w:rPr>
          <w:sz w:val="24"/>
          <w:szCs w:val="24"/>
          <w:lang w:val="en-GB"/>
        </w:rPr>
        <w:t xml:space="preserve"> parameters analysed were considered dependent variables.</w:t>
      </w:r>
      <w:r w:rsidRPr="004F2021">
        <w:rPr>
          <w:sz w:val="24"/>
          <w:szCs w:val="24"/>
          <w:lang w:val="en-GB"/>
        </w:rPr>
        <w:t xml:space="preserve"> Results are shown as </w:t>
      </w:r>
      <w:proofErr w:type="spellStart"/>
      <w:r w:rsidRPr="004F2021">
        <w:rPr>
          <w:sz w:val="24"/>
          <w:szCs w:val="24"/>
          <w:lang w:val="en-GB"/>
        </w:rPr>
        <w:t>mean±S.D</w:t>
      </w:r>
      <w:proofErr w:type="spellEnd"/>
      <w:r w:rsidRPr="004F2021">
        <w:rPr>
          <w:sz w:val="24"/>
          <w:szCs w:val="24"/>
          <w:lang w:val="en-GB"/>
        </w:rPr>
        <w:t>.</w:t>
      </w:r>
    </w:p>
    <w:p w14:paraId="0EBBC958" w14:textId="44A3D709" w:rsidR="0082126F" w:rsidRPr="004F2021" w:rsidRDefault="006E31D9" w:rsidP="00892FE6">
      <w:pPr>
        <w:spacing w:after="0" w:line="480" w:lineRule="auto"/>
        <w:jc w:val="both"/>
        <w:rPr>
          <w:b/>
          <w:sz w:val="24"/>
          <w:szCs w:val="24"/>
          <w:lang w:val="en-GB"/>
        </w:rPr>
      </w:pPr>
      <w:r w:rsidRPr="004F2021">
        <w:rPr>
          <w:b/>
          <w:sz w:val="24"/>
          <w:szCs w:val="24"/>
          <w:lang w:val="en-GB"/>
        </w:rPr>
        <w:t>Results</w:t>
      </w:r>
    </w:p>
    <w:p w14:paraId="4BF16631" w14:textId="1A904F05" w:rsidR="00FF22BC" w:rsidRPr="004F2021" w:rsidRDefault="00FF22BC" w:rsidP="00892FE6">
      <w:pPr>
        <w:spacing w:after="0" w:line="480" w:lineRule="auto"/>
        <w:jc w:val="both"/>
        <w:rPr>
          <w:sz w:val="24"/>
          <w:szCs w:val="24"/>
          <w:lang w:val="en-GB"/>
        </w:rPr>
      </w:pPr>
      <w:proofErr w:type="spellStart"/>
      <w:r w:rsidRPr="004F2021">
        <w:rPr>
          <w:b/>
          <w:sz w:val="24"/>
          <w:szCs w:val="24"/>
          <w:lang w:val="en-GB"/>
        </w:rPr>
        <w:t>rrBNGF</w:t>
      </w:r>
      <w:proofErr w:type="spellEnd"/>
      <w:r w:rsidRPr="004F2021">
        <w:rPr>
          <w:b/>
          <w:sz w:val="24"/>
          <w:szCs w:val="24"/>
          <w:lang w:val="en-GB"/>
        </w:rPr>
        <w:t xml:space="preserve"> receptors on PC12 cells</w:t>
      </w:r>
    </w:p>
    <w:p w14:paraId="06EA335B" w14:textId="4E0B56DE" w:rsidR="00FF22BC" w:rsidRPr="004F2021" w:rsidRDefault="00FF22BC" w:rsidP="00892FE6">
      <w:pPr>
        <w:spacing w:after="0" w:line="480" w:lineRule="auto"/>
        <w:jc w:val="both"/>
        <w:rPr>
          <w:sz w:val="24"/>
          <w:szCs w:val="24"/>
          <w:lang w:val="en-GB"/>
        </w:rPr>
      </w:pPr>
      <w:r w:rsidRPr="004F2021">
        <w:rPr>
          <w:sz w:val="24"/>
          <w:szCs w:val="24"/>
          <w:lang w:val="en-GB"/>
        </w:rPr>
        <w:t xml:space="preserve">After </w:t>
      </w:r>
      <w:r w:rsidR="001B627D" w:rsidRPr="004F2021">
        <w:rPr>
          <w:sz w:val="24"/>
          <w:szCs w:val="24"/>
          <w:lang w:val="en-GB"/>
        </w:rPr>
        <w:t>seven</w:t>
      </w:r>
      <w:r w:rsidRPr="004F2021">
        <w:rPr>
          <w:sz w:val="24"/>
          <w:szCs w:val="24"/>
          <w:lang w:val="en-GB"/>
        </w:rPr>
        <w:t xml:space="preserve"> days in culture, PC12 cells showed positive </w:t>
      </w:r>
      <w:r w:rsidR="001B627D" w:rsidRPr="004F2021">
        <w:rPr>
          <w:sz w:val="24"/>
          <w:szCs w:val="24"/>
          <w:lang w:val="en-GB"/>
        </w:rPr>
        <w:t>signals</w:t>
      </w:r>
      <w:r w:rsidRPr="004F2021">
        <w:rPr>
          <w:sz w:val="24"/>
          <w:szCs w:val="24"/>
          <w:lang w:val="en-GB"/>
        </w:rPr>
        <w:t xml:space="preserve"> for T</w:t>
      </w:r>
      <w:r w:rsidR="00924AAE" w:rsidRPr="004F2021">
        <w:rPr>
          <w:sz w:val="24"/>
          <w:szCs w:val="24"/>
          <w:lang w:val="en-GB"/>
        </w:rPr>
        <w:t>R</w:t>
      </w:r>
      <w:r w:rsidR="199FCA2D" w:rsidRPr="004F2021">
        <w:rPr>
          <w:sz w:val="24"/>
          <w:szCs w:val="24"/>
          <w:lang w:val="en-GB"/>
        </w:rPr>
        <w:t>K</w:t>
      </w:r>
      <w:r w:rsidRPr="004F2021">
        <w:rPr>
          <w:sz w:val="24"/>
          <w:szCs w:val="24"/>
          <w:lang w:val="en-GB"/>
        </w:rPr>
        <w:t xml:space="preserve">A (Fig. </w:t>
      </w:r>
      <w:r w:rsidR="00790995" w:rsidRPr="004F2021">
        <w:rPr>
          <w:sz w:val="24"/>
          <w:szCs w:val="24"/>
          <w:lang w:val="en-GB"/>
        </w:rPr>
        <w:t>1</w:t>
      </w:r>
      <w:r w:rsidRPr="004F2021">
        <w:rPr>
          <w:sz w:val="24"/>
          <w:szCs w:val="24"/>
          <w:lang w:val="en-GB"/>
        </w:rPr>
        <w:t>A) and p75</w:t>
      </w:r>
      <w:r w:rsidR="00790995" w:rsidRPr="004F2021">
        <w:rPr>
          <w:sz w:val="24"/>
          <w:szCs w:val="24"/>
          <w:lang w:val="en-GB"/>
        </w:rPr>
        <w:t xml:space="preserve"> (Fig. 1B) </w:t>
      </w:r>
      <w:r w:rsidRPr="004F2021">
        <w:rPr>
          <w:sz w:val="24"/>
          <w:szCs w:val="24"/>
          <w:lang w:val="en-GB"/>
        </w:rPr>
        <w:t xml:space="preserve">staining </w:t>
      </w:r>
      <w:r w:rsidR="00ED600B" w:rsidRPr="004F2021">
        <w:rPr>
          <w:sz w:val="24"/>
          <w:szCs w:val="24"/>
          <w:lang w:val="en-GB"/>
        </w:rPr>
        <w:t xml:space="preserve">in the cell membrane </w:t>
      </w:r>
      <w:r w:rsidRPr="004F2021">
        <w:rPr>
          <w:sz w:val="24"/>
          <w:szCs w:val="24"/>
          <w:lang w:val="en-GB"/>
        </w:rPr>
        <w:t>(</w:t>
      </w:r>
      <w:r w:rsidR="4EAD0C37" w:rsidRPr="004F2021">
        <w:rPr>
          <w:sz w:val="24"/>
          <w:szCs w:val="24"/>
          <w:lang w:val="en-GB"/>
        </w:rPr>
        <w:t>Additional</w:t>
      </w:r>
      <w:r w:rsidR="0018650F" w:rsidRPr="004F2021">
        <w:rPr>
          <w:sz w:val="24"/>
          <w:szCs w:val="24"/>
          <w:lang w:val="en-GB"/>
        </w:rPr>
        <w:t xml:space="preserve"> Figure 1)</w:t>
      </w:r>
      <w:r w:rsidRPr="004F2021">
        <w:rPr>
          <w:sz w:val="24"/>
          <w:szCs w:val="24"/>
          <w:lang w:val="en-GB"/>
        </w:rPr>
        <w:t>.</w:t>
      </w:r>
    </w:p>
    <w:p w14:paraId="4363C93B" w14:textId="5B03BC17" w:rsidR="00F027AB" w:rsidRPr="004F2021" w:rsidRDefault="00F027AB" w:rsidP="00892FE6">
      <w:pPr>
        <w:spacing w:after="0" w:line="480" w:lineRule="auto"/>
        <w:jc w:val="center"/>
        <w:rPr>
          <w:sz w:val="24"/>
          <w:szCs w:val="24"/>
          <w:lang w:val="en-GB"/>
        </w:rPr>
      </w:pPr>
      <w:r w:rsidRPr="004F2021">
        <w:rPr>
          <w:noProof/>
          <w:sz w:val="24"/>
          <w:szCs w:val="24"/>
          <w:lang w:val="es-ES" w:eastAsia="es-ES"/>
        </w:rPr>
        <w:drawing>
          <wp:anchor distT="0" distB="0" distL="114300" distR="114300" simplePos="0" relativeHeight="251658240" behindDoc="0" locked="0" layoutInCell="1" allowOverlap="1" wp14:anchorId="31C6E682" wp14:editId="44EEA3EB">
            <wp:simplePos x="0" y="0"/>
            <wp:positionH relativeFrom="margin">
              <wp:align>center</wp:align>
            </wp:positionH>
            <wp:positionV relativeFrom="paragraph">
              <wp:posOffset>231775</wp:posOffset>
            </wp:positionV>
            <wp:extent cx="3706495" cy="1743710"/>
            <wp:effectExtent l="0" t="0" r="8255" b="8890"/>
            <wp:wrapTopAndBottom/>
            <wp:docPr id="16394731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6495" cy="1743710"/>
                    </a:xfrm>
                    <a:prstGeom prst="rect">
                      <a:avLst/>
                    </a:prstGeom>
                    <a:noFill/>
                  </pic:spPr>
                </pic:pic>
              </a:graphicData>
            </a:graphic>
          </wp:anchor>
        </w:drawing>
      </w:r>
    </w:p>
    <w:p w14:paraId="0C0F0A7B" w14:textId="0CE222E0" w:rsidR="00F027AB" w:rsidRPr="004F2021" w:rsidRDefault="57F3070A" w:rsidP="00892FE6">
      <w:pPr>
        <w:spacing w:after="0" w:line="480" w:lineRule="auto"/>
        <w:jc w:val="both"/>
        <w:rPr>
          <w:sz w:val="24"/>
          <w:szCs w:val="24"/>
          <w:lang w:val="en-GB"/>
        </w:rPr>
      </w:pPr>
      <w:r w:rsidRPr="004F2021">
        <w:rPr>
          <w:b/>
          <w:bCs/>
          <w:sz w:val="24"/>
          <w:szCs w:val="24"/>
          <w:lang w:val="en-GB"/>
        </w:rPr>
        <w:t>Additional</w:t>
      </w:r>
      <w:r w:rsidR="00F027AB" w:rsidRPr="004F2021">
        <w:rPr>
          <w:b/>
          <w:bCs/>
          <w:sz w:val="24"/>
          <w:szCs w:val="24"/>
          <w:lang w:val="en-GB"/>
        </w:rPr>
        <w:t xml:space="preserve"> Figure 1. </w:t>
      </w:r>
      <w:r w:rsidR="00F027AB" w:rsidRPr="004F2021">
        <w:rPr>
          <w:sz w:val="24"/>
          <w:szCs w:val="24"/>
          <w:lang w:val="en-GB"/>
        </w:rPr>
        <w:t xml:space="preserve">Analysis of NGF receptor expression on PC12 cells. Subcellular localization of BNGF receptors by immunocytochemistry analysed with (A) fluorescence for TRKA and (B) </w:t>
      </w:r>
      <w:proofErr w:type="spellStart"/>
      <w:r w:rsidR="00F027AB" w:rsidRPr="004F2021">
        <w:rPr>
          <w:sz w:val="24"/>
          <w:szCs w:val="24"/>
          <w:lang w:val="en-GB"/>
        </w:rPr>
        <w:t>NovaRed</w:t>
      </w:r>
      <w:proofErr w:type="spellEnd"/>
      <w:r w:rsidR="00F027AB" w:rsidRPr="004F2021">
        <w:rPr>
          <w:sz w:val="24"/>
          <w:szCs w:val="24"/>
          <w:lang w:val="en-GB"/>
        </w:rPr>
        <w:t xml:space="preserve"> for p75.</w:t>
      </w:r>
    </w:p>
    <w:p w14:paraId="2AB897C1" w14:textId="0D24E221" w:rsidR="00F027AB" w:rsidRPr="004F2021" w:rsidRDefault="00F027AB" w:rsidP="00892FE6">
      <w:pPr>
        <w:spacing w:after="0" w:line="480" w:lineRule="auto"/>
        <w:jc w:val="center"/>
        <w:rPr>
          <w:sz w:val="24"/>
          <w:szCs w:val="24"/>
          <w:lang w:val="en-GB"/>
        </w:rPr>
      </w:pPr>
    </w:p>
    <w:p w14:paraId="275CAF44" w14:textId="3BE10848" w:rsidR="00DC11C7" w:rsidRPr="004F2021" w:rsidRDefault="00DC11C7" w:rsidP="00892FE6">
      <w:pPr>
        <w:spacing w:after="0" w:line="480" w:lineRule="auto"/>
        <w:jc w:val="both"/>
        <w:rPr>
          <w:b/>
          <w:sz w:val="24"/>
          <w:szCs w:val="24"/>
          <w:lang w:val="en-GB"/>
        </w:rPr>
      </w:pPr>
      <w:proofErr w:type="spellStart"/>
      <w:r w:rsidRPr="004F2021">
        <w:rPr>
          <w:b/>
          <w:sz w:val="24"/>
          <w:szCs w:val="24"/>
          <w:lang w:val="en-GB"/>
        </w:rPr>
        <w:t>rrBNGF</w:t>
      </w:r>
      <w:proofErr w:type="spellEnd"/>
      <w:r w:rsidRPr="004F2021">
        <w:rPr>
          <w:b/>
          <w:sz w:val="24"/>
          <w:szCs w:val="24"/>
          <w:lang w:val="en-GB"/>
        </w:rPr>
        <w:t xml:space="preserve"> potency </w:t>
      </w:r>
    </w:p>
    <w:p w14:paraId="29BC9993" w14:textId="784624EA" w:rsidR="00DC11C7" w:rsidRPr="004F2021" w:rsidRDefault="00DC11C7" w:rsidP="00892FE6">
      <w:pPr>
        <w:spacing w:after="0" w:line="480" w:lineRule="auto"/>
        <w:jc w:val="both"/>
        <w:rPr>
          <w:sz w:val="24"/>
          <w:szCs w:val="24"/>
          <w:lang w:val="en-GB"/>
        </w:rPr>
      </w:pPr>
      <w:r w:rsidRPr="004F2021">
        <w:rPr>
          <w:sz w:val="24"/>
          <w:szCs w:val="24"/>
          <w:lang w:val="en-GB"/>
        </w:rPr>
        <w:t>While 95% of control PC12 cells remained undifferentiated (rounded) at all stages, this percentage was low and decreased over time in all groups treated with BNGF (</w:t>
      </w:r>
      <w:r w:rsidR="615C9D41" w:rsidRPr="004F2021">
        <w:rPr>
          <w:sz w:val="24"/>
          <w:szCs w:val="24"/>
          <w:lang w:val="en-GB"/>
        </w:rPr>
        <w:t>Additional</w:t>
      </w:r>
      <w:r w:rsidR="008A3841" w:rsidRPr="004F2021">
        <w:rPr>
          <w:sz w:val="24"/>
          <w:szCs w:val="24"/>
          <w:lang w:val="en-GB"/>
        </w:rPr>
        <w:t xml:space="preserve"> Figure 2A</w:t>
      </w:r>
      <w:r w:rsidRPr="004F2021">
        <w:rPr>
          <w:sz w:val="24"/>
          <w:szCs w:val="24"/>
          <w:lang w:val="en-GB"/>
        </w:rPr>
        <w:t>). In line with these results, the percentage of differentiated cells showing fusiform (</w:t>
      </w:r>
      <w:r w:rsidR="58847BBD" w:rsidRPr="004F2021">
        <w:rPr>
          <w:sz w:val="24"/>
          <w:szCs w:val="24"/>
          <w:lang w:val="en-GB"/>
        </w:rPr>
        <w:t>Additional</w:t>
      </w:r>
      <w:r w:rsidR="008A3841" w:rsidRPr="004F2021">
        <w:rPr>
          <w:sz w:val="24"/>
          <w:szCs w:val="24"/>
          <w:lang w:val="en-GB"/>
        </w:rPr>
        <w:t xml:space="preserve"> Figure 2B</w:t>
      </w:r>
      <w:proofErr w:type="gramStart"/>
      <w:r w:rsidRPr="004F2021">
        <w:rPr>
          <w:sz w:val="24"/>
          <w:szCs w:val="24"/>
          <w:lang w:val="en-GB"/>
        </w:rPr>
        <w:t>)</w:t>
      </w:r>
      <w:proofErr w:type="gramEnd"/>
      <w:r w:rsidRPr="004F2021">
        <w:rPr>
          <w:sz w:val="24"/>
          <w:szCs w:val="24"/>
          <w:lang w:val="en-GB"/>
        </w:rPr>
        <w:t xml:space="preserve"> and star-like morphologies (</w:t>
      </w:r>
      <w:r w:rsidR="24DC3F04" w:rsidRPr="004F2021">
        <w:rPr>
          <w:sz w:val="24"/>
          <w:szCs w:val="24"/>
          <w:lang w:val="en-GB"/>
        </w:rPr>
        <w:t>Additional</w:t>
      </w:r>
      <w:r w:rsidR="008A3841" w:rsidRPr="004F2021">
        <w:rPr>
          <w:sz w:val="24"/>
          <w:szCs w:val="24"/>
          <w:lang w:val="en-GB"/>
        </w:rPr>
        <w:t xml:space="preserve"> Figure 2C</w:t>
      </w:r>
      <w:r w:rsidRPr="004F2021">
        <w:rPr>
          <w:sz w:val="24"/>
          <w:szCs w:val="24"/>
          <w:lang w:val="en-GB"/>
        </w:rPr>
        <w:t xml:space="preserve">) was higher in cells grown with NGF-supplemented medium than in control medium cells and increased over time. In the case of star-like shaped cells, groups mNGF50 and rNGF50 </w:t>
      </w:r>
      <w:r w:rsidRPr="004F2021">
        <w:rPr>
          <w:sz w:val="24"/>
          <w:szCs w:val="24"/>
          <w:lang w:val="en-GB"/>
        </w:rPr>
        <w:lastRenderedPageBreak/>
        <w:t>showed the highest increase (</w:t>
      </w:r>
      <w:r w:rsidR="7286C843" w:rsidRPr="004F2021">
        <w:rPr>
          <w:sz w:val="24"/>
          <w:szCs w:val="24"/>
          <w:lang w:val="en-GB"/>
        </w:rPr>
        <w:t>Additional</w:t>
      </w:r>
      <w:r w:rsidR="008A3841" w:rsidRPr="004F2021">
        <w:rPr>
          <w:sz w:val="24"/>
          <w:szCs w:val="24"/>
          <w:lang w:val="en-GB"/>
        </w:rPr>
        <w:t xml:space="preserve"> Figure 2C</w:t>
      </w:r>
      <w:r w:rsidRPr="004F2021">
        <w:rPr>
          <w:sz w:val="24"/>
          <w:szCs w:val="24"/>
          <w:lang w:val="en-GB"/>
        </w:rPr>
        <w:t>), indicating that these two concentrations elicit similar effects on PC12 differentiation. When cells with 1, 2-3, and more than 3 neurites were analysed (</w:t>
      </w:r>
      <w:r w:rsidR="4A1564B1" w:rsidRPr="004F2021">
        <w:rPr>
          <w:sz w:val="24"/>
          <w:szCs w:val="24"/>
          <w:lang w:val="en-GB"/>
        </w:rPr>
        <w:t>Additional</w:t>
      </w:r>
      <w:r w:rsidR="008A3841" w:rsidRPr="004F2021">
        <w:rPr>
          <w:sz w:val="24"/>
          <w:szCs w:val="24"/>
          <w:lang w:val="en-GB"/>
        </w:rPr>
        <w:t xml:space="preserve"> Figure 2D</w:t>
      </w:r>
      <w:r w:rsidRPr="004F2021">
        <w:rPr>
          <w:sz w:val="24"/>
          <w:szCs w:val="24"/>
          <w:lang w:val="en-GB"/>
        </w:rPr>
        <w:t xml:space="preserve">), a similar effect was detected, with mNGF50, mNGF100 and rBNGF50 showing the </w:t>
      </w:r>
      <w:r w:rsidR="008A7306" w:rsidRPr="004F2021">
        <w:rPr>
          <w:sz w:val="24"/>
          <w:szCs w:val="24"/>
          <w:lang w:val="en-GB"/>
        </w:rPr>
        <w:t>most potent</w:t>
      </w:r>
      <w:r w:rsidRPr="004F2021">
        <w:rPr>
          <w:sz w:val="24"/>
          <w:szCs w:val="24"/>
          <w:lang w:val="en-GB"/>
        </w:rPr>
        <w:t xml:space="preserve"> </w:t>
      </w:r>
      <w:r w:rsidR="008A7306" w:rsidRPr="004F2021">
        <w:rPr>
          <w:sz w:val="24"/>
          <w:szCs w:val="24"/>
          <w:lang w:val="en-GB"/>
        </w:rPr>
        <w:t>results</w:t>
      </w:r>
      <w:r w:rsidR="0018650F" w:rsidRPr="004F2021">
        <w:rPr>
          <w:sz w:val="24"/>
          <w:szCs w:val="24"/>
          <w:lang w:val="en-GB"/>
        </w:rPr>
        <w:t>.</w:t>
      </w:r>
    </w:p>
    <w:p w14:paraId="435C5606" w14:textId="79106EBA" w:rsidR="00DC11C7" w:rsidRPr="004F2021" w:rsidRDefault="0018650F" w:rsidP="5431E310">
      <w:pPr>
        <w:spacing w:after="0" w:line="480" w:lineRule="auto"/>
        <w:jc w:val="both"/>
        <w:rPr>
          <w:sz w:val="24"/>
          <w:szCs w:val="24"/>
          <w:lang w:val="en-GB"/>
        </w:rPr>
      </w:pPr>
      <w:r w:rsidRPr="004F2021">
        <w:rPr>
          <w:sz w:val="24"/>
          <w:szCs w:val="24"/>
          <w:lang w:val="en-GB"/>
        </w:rPr>
        <w:t>Analysis</w:t>
      </w:r>
      <w:r w:rsidR="00DC11C7" w:rsidRPr="004F2021">
        <w:rPr>
          <w:sz w:val="24"/>
          <w:szCs w:val="24"/>
          <w:lang w:val="en-GB"/>
        </w:rPr>
        <w:t xml:space="preserve"> </w:t>
      </w:r>
      <w:r w:rsidR="008A7306" w:rsidRPr="004F2021">
        <w:rPr>
          <w:sz w:val="24"/>
          <w:szCs w:val="24"/>
          <w:lang w:val="en-GB"/>
        </w:rPr>
        <w:t>of</w:t>
      </w:r>
      <w:r w:rsidR="00DC11C7" w:rsidRPr="004F2021">
        <w:rPr>
          <w:sz w:val="24"/>
          <w:szCs w:val="24"/>
          <w:lang w:val="en-GB"/>
        </w:rPr>
        <w:t xml:space="preserve"> cell complexity</w:t>
      </w:r>
      <w:r w:rsidRPr="004F2021">
        <w:rPr>
          <w:sz w:val="24"/>
          <w:szCs w:val="24"/>
          <w:lang w:val="en-GB"/>
        </w:rPr>
        <w:t xml:space="preserve"> showed that </w:t>
      </w:r>
      <w:r w:rsidR="00DC11C7" w:rsidRPr="004F2021">
        <w:rPr>
          <w:sz w:val="24"/>
          <w:szCs w:val="24"/>
          <w:lang w:val="en-GB"/>
        </w:rPr>
        <w:t>the percentage of neurites shorter than average cell diameter was lower in NGF-treated groups (</w:t>
      </w:r>
      <w:r w:rsidR="6AED5B84" w:rsidRPr="004F2021">
        <w:rPr>
          <w:sz w:val="24"/>
          <w:szCs w:val="24"/>
          <w:lang w:val="en-GB"/>
        </w:rPr>
        <w:t>Additional</w:t>
      </w:r>
      <w:r w:rsidR="00D33EEC" w:rsidRPr="004F2021">
        <w:rPr>
          <w:sz w:val="24"/>
          <w:szCs w:val="24"/>
          <w:lang w:val="en-GB"/>
        </w:rPr>
        <w:t xml:space="preserve"> Figure 2E</w:t>
      </w:r>
      <w:r w:rsidR="00DC11C7" w:rsidRPr="004F2021">
        <w:rPr>
          <w:sz w:val="24"/>
          <w:szCs w:val="24"/>
          <w:lang w:val="en-GB"/>
        </w:rPr>
        <w:t xml:space="preserve">) than in control medium cells and decreased over time. In accordance </w:t>
      </w:r>
      <w:r w:rsidR="006F2ACB" w:rsidRPr="004F2021">
        <w:rPr>
          <w:sz w:val="24"/>
          <w:szCs w:val="24"/>
          <w:lang w:val="en-GB"/>
        </w:rPr>
        <w:t xml:space="preserve">with </w:t>
      </w:r>
      <w:r w:rsidR="00DC11C7" w:rsidRPr="004F2021">
        <w:rPr>
          <w:sz w:val="24"/>
          <w:szCs w:val="24"/>
          <w:lang w:val="en-GB"/>
        </w:rPr>
        <w:t>this, the percentage of neurites longer than average cell diameter increased over time, reaching its highest levels at day 7 for cells growing in mNGF50, mNGF100</w:t>
      </w:r>
      <w:r w:rsidR="006F2ACB" w:rsidRPr="004F2021">
        <w:rPr>
          <w:sz w:val="24"/>
          <w:szCs w:val="24"/>
          <w:lang w:val="en-GB"/>
        </w:rPr>
        <w:t>,</w:t>
      </w:r>
      <w:r w:rsidR="00DC11C7" w:rsidRPr="004F2021">
        <w:rPr>
          <w:sz w:val="24"/>
          <w:szCs w:val="24"/>
          <w:lang w:val="en-GB"/>
        </w:rPr>
        <w:t xml:space="preserve"> and rNGF50 supplemented media. Furthermore, the percentage of branched neurites, </w:t>
      </w:r>
      <w:r w:rsidR="006F2ACB" w:rsidRPr="004F2021">
        <w:rPr>
          <w:sz w:val="24"/>
          <w:szCs w:val="24"/>
          <w:lang w:val="en-GB"/>
        </w:rPr>
        <w:t xml:space="preserve">which </w:t>
      </w:r>
      <w:r w:rsidR="00DC11C7" w:rsidRPr="004F2021">
        <w:rPr>
          <w:sz w:val="24"/>
          <w:szCs w:val="24"/>
          <w:lang w:val="en-GB"/>
        </w:rPr>
        <w:t>indicate highly complex and differentiated cells, also increased over time in all NGF-treated cells (</w:t>
      </w:r>
      <w:r w:rsidR="2CA5DE4A" w:rsidRPr="004F2021">
        <w:rPr>
          <w:sz w:val="24"/>
          <w:szCs w:val="24"/>
          <w:lang w:val="en-GB"/>
        </w:rPr>
        <w:t>Additional</w:t>
      </w:r>
      <w:r w:rsidR="00DB7883" w:rsidRPr="004F2021">
        <w:rPr>
          <w:sz w:val="24"/>
          <w:szCs w:val="24"/>
          <w:lang w:val="en-GB"/>
        </w:rPr>
        <w:t xml:space="preserve"> Figure 2F</w:t>
      </w:r>
      <w:r w:rsidR="00DC11C7" w:rsidRPr="004F2021">
        <w:rPr>
          <w:sz w:val="24"/>
          <w:szCs w:val="24"/>
          <w:lang w:val="en-GB"/>
        </w:rPr>
        <w:t>)</w:t>
      </w:r>
      <w:r w:rsidR="008A7306" w:rsidRPr="004F2021">
        <w:rPr>
          <w:sz w:val="24"/>
          <w:szCs w:val="24"/>
          <w:lang w:val="en-GB"/>
        </w:rPr>
        <w:t>,</w:t>
      </w:r>
      <w:r w:rsidR="00DC11C7" w:rsidRPr="004F2021">
        <w:rPr>
          <w:sz w:val="24"/>
          <w:szCs w:val="24"/>
          <w:lang w:val="en-GB"/>
        </w:rPr>
        <w:t xml:space="preserve"> with the mNGF50, mNGF100 and rNGF50 groups showing the highest increase. Overall, this analysis showed that the NGF-supplemented media in terms of differentiation were </w:t>
      </w:r>
      <w:r w:rsidR="005D25FD" w:rsidRPr="004F2021">
        <w:rPr>
          <w:sz w:val="24"/>
          <w:szCs w:val="24"/>
          <w:lang w:val="en-GB"/>
        </w:rPr>
        <w:t>m</w:t>
      </w:r>
      <w:r w:rsidR="00DC11C7" w:rsidRPr="004F2021">
        <w:rPr>
          <w:sz w:val="24"/>
          <w:szCs w:val="24"/>
          <w:lang w:val="en-GB"/>
        </w:rPr>
        <w:t xml:space="preserve">NGF100 and rNGF50 and that our novel </w:t>
      </w:r>
      <w:proofErr w:type="spellStart"/>
      <w:r w:rsidR="00DC11C7" w:rsidRPr="004F2021">
        <w:rPr>
          <w:sz w:val="24"/>
          <w:szCs w:val="24"/>
          <w:lang w:val="en-GB"/>
        </w:rPr>
        <w:t>rrBNGF</w:t>
      </w:r>
      <w:proofErr w:type="spellEnd"/>
      <w:r w:rsidR="00DC11C7" w:rsidRPr="004F2021">
        <w:rPr>
          <w:sz w:val="24"/>
          <w:szCs w:val="24"/>
          <w:lang w:val="en-GB"/>
        </w:rPr>
        <w:t xml:space="preserve"> has a similar differentiation potential as the commercial </w:t>
      </w:r>
      <w:proofErr w:type="spellStart"/>
      <w:r w:rsidR="00DC11C7" w:rsidRPr="004F2021">
        <w:rPr>
          <w:sz w:val="24"/>
          <w:szCs w:val="24"/>
          <w:lang w:val="en-GB"/>
        </w:rPr>
        <w:t>mrBNGF</w:t>
      </w:r>
      <w:proofErr w:type="spellEnd"/>
      <w:r w:rsidR="00DC11C7" w:rsidRPr="004F2021">
        <w:rPr>
          <w:sz w:val="24"/>
          <w:szCs w:val="24"/>
          <w:lang w:val="en-GB"/>
        </w:rPr>
        <w:t>. Furthermore, cell viability was not affected by BNGF supplementation and was similar for all experimental groups (</w:t>
      </w:r>
      <w:r w:rsidR="4535D197" w:rsidRPr="004F2021">
        <w:rPr>
          <w:sz w:val="24"/>
          <w:szCs w:val="24"/>
          <w:lang w:val="en-GB"/>
        </w:rPr>
        <w:t>Additional</w:t>
      </w:r>
      <w:r w:rsidR="00DB7883" w:rsidRPr="004F2021">
        <w:rPr>
          <w:sz w:val="24"/>
          <w:szCs w:val="24"/>
          <w:lang w:val="en-GB"/>
        </w:rPr>
        <w:t xml:space="preserve"> Figure </w:t>
      </w:r>
      <w:r w:rsidR="00924AAE" w:rsidRPr="004F2021">
        <w:rPr>
          <w:sz w:val="24"/>
          <w:szCs w:val="24"/>
          <w:lang w:val="en-GB"/>
        </w:rPr>
        <w:t>2</w:t>
      </w:r>
      <w:r w:rsidR="00DC11C7" w:rsidRPr="004F2021">
        <w:rPr>
          <w:sz w:val="24"/>
          <w:szCs w:val="24"/>
          <w:lang w:val="en-GB"/>
        </w:rPr>
        <w:t>).</w:t>
      </w:r>
    </w:p>
    <w:p w14:paraId="2B658ED7" w14:textId="6814D6D5" w:rsidR="00F027AB" w:rsidRPr="004F2021" w:rsidRDefault="00F027AB" w:rsidP="00892FE6">
      <w:pPr>
        <w:spacing w:after="0" w:line="480" w:lineRule="auto"/>
        <w:jc w:val="both"/>
        <w:rPr>
          <w:sz w:val="24"/>
          <w:szCs w:val="24"/>
          <w:lang w:val="en-GB"/>
        </w:rPr>
      </w:pPr>
      <w:r w:rsidRPr="004F2021">
        <w:rPr>
          <w:rFonts w:ascii="Calibri" w:eastAsia="Calibri" w:hAnsi="Calibri"/>
          <w:b/>
          <w:noProof/>
          <w:sz w:val="24"/>
          <w:szCs w:val="24"/>
          <w:lang w:val="es-ES" w:eastAsia="es-ES"/>
        </w:rPr>
        <w:lastRenderedPageBreak/>
        <w:drawing>
          <wp:inline distT="0" distB="0" distL="0" distR="0" wp14:anchorId="02828E03" wp14:editId="658EBA64">
            <wp:extent cx="5052695" cy="8892540"/>
            <wp:effectExtent l="0" t="0" r="0" b="3810"/>
            <wp:docPr id="2" name="Imagen 2" descr="Imagen en blanco y negro  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en blanco y negro  Descripción generada automáticamente con confianza baja"/>
                    <pic:cNvPicPr/>
                  </pic:nvPicPr>
                  <pic:blipFill>
                    <a:blip r:embed="rId8">
                      <a:extLst>
                        <a:ext uri="{28A0092B-C50C-407E-A947-70E740481C1C}">
                          <a14:useLocalDpi xmlns:a14="http://schemas.microsoft.com/office/drawing/2010/main" val="0"/>
                        </a:ext>
                      </a:extLst>
                    </a:blip>
                    <a:stretch>
                      <a:fillRect/>
                    </a:stretch>
                  </pic:blipFill>
                  <pic:spPr>
                    <a:xfrm>
                      <a:off x="0" y="0"/>
                      <a:ext cx="5052695" cy="8892540"/>
                    </a:xfrm>
                    <a:prstGeom prst="rect">
                      <a:avLst/>
                    </a:prstGeom>
                  </pic:spPr>
                </pic:pic>
              </a:graphicData>
            </a:graphic>
          </wp:inline>
        </w:drawing>
      </w:r>
    </w:p>
    <w:p w14:paraId="66665F28" w14:textId="24105D50" w:rsidR="00F027AB" w:rsidRPr="004F2021" w:rsidRDefault="1128124C" w:rsidP="00892FE6">
      <w:pPr>
        <w:spacing w:after="0" w:line="480" w:lineRule="auto"/>
        <w:jc w:val="both"/>
        <w:rPr>
          <w:sz w:val="24"/>
          <w:szCs w:val="24"/>
        </w:rPr>
      </w:pPr>
      <w:r w:rsidRPr="004F2021">
        <w:rPr>
          <w:b/>
          <w:bCs/>
          <w:sz w:val="24"/>
          <w:szCs w:val="24"/>
          <w:lang w:val="en-GB"/>
        </w:rPr>
        <w:lastRenderedPageBreak/>
        <w:t>Additional</w:t>
      </w:r>
      <w:r w:rsidR="00F027AB" w:rsidRPr="004F2021">
        <w:rPr>
          <w:b/>
          <w:bCs/>
          <w:sz w:val="24"/>
          <w:szCs w:val="24"/>
          <w:lang w:val="en-GB"/>
        </w:rPr>
        <w:t xml:space="preserve"> Figure 2. Study of the potency of the recombinant rabbit NGF (</w:t>
      </w:r>
      <w:proofErr w:type="spellStart"/>
      <w:r w:rsidR="00F027AB" w:rsidRPr="004F2021">
        <w:rPr>
          <w:b/>
          <w:bCs/>
          <w:sz w:val="24"/>
          <w:szCs w:val="24"/>
          <w:lang w:val="en-GB"/>
        </w:rPr>
        <w:t>rrbNGF</w:t>
      </w:r>
      <w:proofErr w:type="spellEnd"/>
      <w:r w:rsidR="00F027AB" w:rsidRPr="004F2021">
        <w:rPr>
          <w:b/>
          <w:bCs/>
          <w:sz w:val="24"/>
          <w:szCs w:val="24"/>
          <w:lang w:val="en-GB"/>
        </w:rPr>
        <w:t>) compared to murine NGF (</w:t>
      </w:r>
      <w:proofErr w:type="spellStart"/>
      <w:r w:rsidR="00F027AB" w:rsidRPr="004F2021">
        <w:rPr>
          <w:b/>
          <w:bCs/>
          <w:sz w:val="24"/>
          <w:szCs w:val="24"/>
          <w:lang w:val="en-GB"/>
        </w:rPr>
        <w:t>mNGF</w:t>
      </w:r>
      <w:proofErr w:type="spellEnd"/>
      <w:r w:rsidR="00F027AB" w:rsidRPr="004F2021">
        <w:rPr>
          <w:b/>
          <w:bCs/>
          <w:sz w:val="24"/>
          <w:szCs w:val="24"/>
          <w:lang w:val="en-GB"/>
        </w:rPr>
        <w:t xml:space="preserve">) using PC12 cultures. Morphological and differentiation analysis 3, 5 and 7 days after free NGF media </w:t>
      </w:r>
      <w:r w:rsidR="00F027AB" w:rsidRPr="004F2021">
        <w:rPr>
          <w:sz w:val="24"/>
          <w:szCs w:val="24"/>
          <w:lang w:val="en-GB"/>
        </w:rPr>
        <w:t>supplementation</w:t>
      </w:r>
      <w:r w:rsidR="00F027AB" w:rsidRPr="004F2021">
        <w:rPr>
          <w:b/>
          <w:bCs/>
          <w:sz w:val="24"/>
          <w:szCs w:val="24"/>
          <w:lang w:val="en-GB"/>
        </w:rPr>
        <w:t xml:space="preserve"> is shown.</w:t>
      </w:r>
      <w:r w:rsidR="00F027AB" w:rsidRPr="004F2021">
        <w:rPr>
          <w:sz w:val="24"/>
          <w:szCs w:val="24"/>
          <w:lang w:val="en-GB"/>
        </w:rPr>
        <w:t xml:space="preserve"> Experimental groups: Control</w:t>
      </w:r>
      <w:r w:rsidR="00F97FD1" w:rsidRPr="004F2021">
        <w:rPr>
          <w:sz w:val="24"/>
          <w:szCs w:val="24"/>
          <w:lang w:val="en-GB"/>
        </w:rPr>
        <w:t xml:space="preserve"> </w:t>
      </w:r>
      <w:r w:rsidR="51DE18FA" w:rsidRPr="004F2021">
        <w:rPr>
          <w:sz w:val="24"/>
          <w:szCs w:val="24"/>
          <w:lang w:val="en-GB"/>
        </w:rPr>
        <w:t>(RPMI complete medium)</w:t>
      </w:r>
      <w:r w:rsidR="00F027AB" w:rsidRPr="004F2021">
        <w:rPr>
          <w:sz w:val="24"/>
          <w:szCs w:val="24"/>
          <w:lang w:val="en-GB"/>
        </w:rPr>
        <w:t xml:space="preserve">, rNGF25 (25 µg/ml </w:t>
      </w:r>
      <w:proofErr w:type="spellStart"/>
      <w:r w:rsidR="00F027AB" w:rsidRPr="004F2021">
        <w:rPr>
          <w:sz w:val="24"/>
          <w:szCs w:val="24"/>
          <w:lang w:val="en-GB"/>
        </w:rPr>
        <w:t>rrbNGF</w:t>
      </w:r>
      <w:proofErr w:type="spellEnd"/>
      <w:r w:rsidR="00F027AB" w:rsidRPr="004F2021">
        <w:rPr>
          <w:sz w:val="24"/>
          <w:szCs w:val="24"/>
          <w:lang w:val="en-GB"/>
        </w:rPr>
        <w:t xml:space="preserve">), rNGF50 (50 µg/ml </w:t>
      </w:r>
      <w:proofErr w:type="spellStart"/>
      <w:r w:rsidR="00F027AB" w:rsidRPr="004F2021">
        <w:rPr>
          <w:sz w:val="24"/>
          <w:szCs w:val="24"/>
          <w:lang w:val="en-GB"/>
        </w:rPr>
        <w:t>rrbNGF</w:t>
      </w:r>
      <w:proofErr w:type="spellEnd"/>
      <w:r w:rsidR="00F027AB" w:rsidRPr="004F2021">
        <w:rPr>
          <w:sz w:val="24"/>
          <w:szCs w:val="24"/>
          <w:lang w:val="en-GB"/>
        </w:rPr>
        <w:t xml:space="preserve">), mNGF50 (50 µg/ml </w:t>
      </w:r>
      <w:proofErr w:type="spellStart"/>
      <w:r w:rsidR="00F027AB" w:rsidRPr="004F2021">
        <w:rPr>
          <w:sz w:val="24"/>
          <w:szCs w:val="24"/>
          <w:lang w:val="en-GB"/>
        </w:rPr>
        <w:t>rmbNGF</w:t>
      </w:r>
      <w:proofErr w:type="spellEnd"/>
      <w:r w:rsidR="00F027AB" w:rsidRPr="004F2021">
        <w:rPr>
          <w:sz w:val="24"/>
          <w:szCs w:val="24"/>
          <w:lang w:val="en-GB"/>
        </w:rPr>
        <w:t xml:space="preserve">) and mNGF100 (100 µg/ml </w:t>
      </w:r>
      <w:proofErr w:type="spellStart"/>
      <w:r w:rsidR="00F027AB" w:rsidRPr="004F2021">
        <w:rPr>
          <w:sz w:val="24"/>
          <w:szCs w:val="24"/>
          <w:lang w:val="en-GB"/>
        </w:rPr>
        <w:t>rbNGF</w:t>
      </w:r>
      <w:proofErr w:type="spellEnd"/>
      <w:r w:rsidR="00F027AB" w:rsidRPr="004F2021">
        <w:rPr>
          <w:sz w:val="24"/>
          <w:szCs w:val="24"/>
          <w:lang w:val="en-GB"/>
        </w:rPr>
        <w:t xml:space="preserve">). Percentage of rounded (A), fusiform (B) and star-like cells (C) in relation to total cell number. Percentage of cells with 1 (D), 2-3 (E) and more than 3 neurites (F) in relation with total cell number. Percentage of cells displaying ramified (G), shorter than 1 cell diameter (H) and longer than 1 cell diameter (I) neurites in relation to total cell number. (J) Percentage of cells with neurites in relation to total cell number. (K) Percentage of cell viability analysed by MTT. Data is represented as mean ±SD. </w:t>
      </w:r>
      <w:r w:rsidR="00F027AB" w:rsidRPr="004F2021">
        <w:rPr>
          <w:sz w:val="24"/>
          <w:szCs w:val="24"/>
        </w:rPr>
        <w:t>*p&lt;0.05, **p&lt;0.005, ***p&gt;0.001.</w:t>
      </w:r>
    </w:p>
    <w:p w14:paraId="503AB9E9" w14:textId="61786E80" w:rsidR="00F027AB" w:rsidRPr="004F2021" w:rsidRDefault="6D02D287" w:rsidP="5431E310">
      <w:pPr>
        <w:spacing w:after="0" w:line="480" w:lineRule="auto"/>
        <w:jc w:val="both"/>
        <w:rPr>
          <w:color w:val="000000" w:themeColor="text1"/>
          <w:sz w:val="24"/>
          <w:szCs w:val="24"/>
          <w:lang w:val="es-ES"/>
        </w:rPr>
      </w:pPr>
      <w:r w:rsidRPr="004F2021">
        <w:rPr>
          <w:b/>
          <w:bCs/>
          <w:color w:val="000000" w:themeColor="text1"/>
          <w:sz w:val="24"/>
          <w:szCs w:val="24"/>
          <w:lang w:val="en-GB"/>
        </w:rPr>
        <w:t>Additional Figure 3.</w:t>
      </w:r>
      <w:r w:rsidRPr="004F2021">
        <w:rPr>
          <w:color w:val="000000" w:themeColor="text1"/>
          <w:sz w:val="24"/>
          <w:szCs w:val="24"/>
          <w:lang w:val="en-GB"/>
        </w:rPr>
        <w:t xml:space="preserve"> Experimental design.</w:t>
      </w:r>
    </w:p>
    <w:p w14:paraId="658C8B90" w14:textId="3642415A" w:rsidR="00F027AB" w:rsidRPr="004F2021" w:rsidRDefault="0EC6DCE0" w:rsidP="004F2021">
      <w:pPr>
        <w:spacing w:after="0" w:line="480" w:lineRule="auto"/>
        <w:jc w:val="both"/>
      </w:pPr>
      <w:r w:rsidRPr="004F2021">
        <w:rPr>
          <w:noProof/>
        </w:rPr>
        <w:drawing>
          <wp:inline distT="0" distB="0" distL="0" distR="0" wp14:anchorId="5565C141" wp14:editId="3E56D1ED">
            <wp:extent cx="5400675" cy="3848100"/>
            <wp:effectExtent l="0" t="0" r="0" b="0"/>
            <wp:docPr id="1245676887" name="Imagen 1245676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400675" cy="3848100"/>
                    </a:xfrm>
                    <a:prstGeom prst="rect">
                      <a:avLst/>
                    </a:prstGeom>
                  </pic:spPr>
                </pic:pic>
              </a:graphicData>
            </a:graphic>
          </wp:inline>
        </w:drawing>
      </w:r>
    </w:p>
    <w:p w14:paraId="0C5A4352" w14:textId="7119293D" w:rsidR="00F027AB" w:rsidRPr="004F2021" w:rsidRDefault="6D02D287" w:rsidP="5431E310">
      <w:pPr>
        <w:spacing w:after="0" w:line="480" w:lineRule="auto"/>
        <w:jc w:val="both"/>
        <w:rPr>
          <w:color w:val="000000" w:themeColor="text1"/>
          <w:sz w:val="24"/>
          <w:szCs w:val="24"/>
          <w:lang w:val="es-ES"/>
        </w:rPr>
      </w:pPr>
      <w:r w:rsidRPr="004F2021">
        <w:rPr>
          <w:b/>
          <w:bCs/>
          <w:color w:val="000000" w:themeColor="text1"/>
          <w:sz w:val="24"/>
          <w:szCs w:val="24"/>
          <w:lang w:val="en-GB"/>
        </w:rPr>
        <w:lastRenderedPageBreak/>
        <w:t>AI</w:t>
      </w:r>
      <w:r w:rsidRPr="004F2021">
        <w:rPr>
          <w:color w:val="000000" w:themeColor="text1"/>
          <w:sz w:val="24"/>
          <w:szCs w:val="24"/>
          <w:lang w:val="en-GB"/>
        </w:rPr>
        <w:t xml:space="preserve">: Artificial insemination; </w:t>
      </w:r>
      <w:proofErr w:type="spellStart"/>
      <w:r w:rsidRPr="004F2021">
        <w:rPr>
          <w:b/>
          <w:bCs/>
          <w:color w:val="000000" w:themeColor="text1"/>
          <w:sz w:val="24"/>
          <w:szCs w:val="24"/>
          <w:lang w:val="en-GB"/>
        </w:rPr>
        <w:t>eCG</w:t>
      </w:r>
      <w:proofErr w:type="spellEnd"/>
      <w:r w:rsidRPr="004F2021">
        <w:rPr>
          <w:color w:val="000000" w:themeColor="text1"/>
          <w:sz w:val="24"/>
          <w:szCs w:val="24"/>
          <w:lang w:val="en-GB"/>
        </w:rPr>
        <w:t xml:space="preserve">: equine Chorionic Gonadotropin. </w:t>
      </w:r>
      <w:r w:rsidRPr="004F2021">
        <w:rPr>
          <w:b/>
          <w:bCs/>
          <w:color w:val="000000" w:themeColor="text1"/>
          <w:sz w:val="24"/>
          <w:szCs w:val="24"/>
          <w:lang w:val="en-GB"/>
        </w:rPr>
        <w:t>P4</w:t>
      </w:r>
      <w:r w:rsidRPr="004F2021">
        <w:rPr>
          <w:color w:val="000000" w:themeColor="text1"/>
          <w:sz w:val="24"/>
          <w:szCs w:val="24"/>
          <w:lang w:val="en-GB"/>
        </w:rPr>
        <w:t xml:space="preserve"> </w:t>
      </w:r>
      <w:proofErr w:type="spellStart"/>
      <w:r w:rsidRPr="004F2021">
        <w:rPr>
          <w:color w:val="000000" w:themeColor="text1"/>
          <w:sz w:val="24"/>
          <w:szCs w:val="24"/>
          <w:lang w:val="en-GB"/>
        </w:rPr>
        <w:t>Progesteroneassessment</w:t>
      </w:r>
      <w:proofErr w:type="spellEnd"/>
      <w:r w:rsidRPr="004F2021">
        <w:rPr>
          <w:color w:val="000000" w:themeColor="text1"/>
          <w:sz w:val="24"/>
          <w:szCs w:val="24"/>
          <w:lang w:val="en-GB"/>
        </w:rPr>
        <w:t xml:space="preserve">. </w:t>
      </w:r>
      <w:r w:rsidRPr="004F2021">
        <w:rPr>
          <w:b/>
          <w:bCs/>
          <w:color w:val="000000" w:themeColor="text1"/>
          <w:sz w:val="24"/>
          <w:szCs w:val="24"/>
          <w:lang w:val="en-GB"/>
        </w:rPr>
        <w:t>GnRH</w:t>
      </w:r>
      <w:r w:rsidRPr="004F2021">
        <w:rPr>
          <w:color w:val="000000" w:themeColor="text1"/>
          <w:sz w:val="24"/>
          <w:szCs w:val="24"/>
          <w:lang w:val="en-GB"/>
        </w:rPr>
        <w:t xml:space="preserve">: inseminated after </w:t>
      </w:r>
      <w:proofErr w:type="spellStart"/>
      <w:r w:rsidRPr="004F2021">
        <w:rPr>
          <w:color w:val="000000" w:themeColor="text1"/>
          <w:sz w:val="24"/>
          <w:szCs w:val="24"/>
          <w:lang w:val="en-GB"/>
        </w:rPr>
        <w:t>i.m</w:t>
      </w:r>
      <w:proofErr w:type="spellEnd"/>
      <w:r w:rsidRPr="004F2021">
        <w:rPr>
          <w:color w:val="000000" w:themeColor="text1"/>
          <w:sz w:val="24"/>
          <w:szCs w:val="24"/>
          <w:lang w:val="en-GB"/>
        </w:rPr>
        <w:t xml:space="preserve"> injection of </w:t>
      </w:r>
      <w:r w:rsidRPr="004F2021">
        <w:rPr>
          <w:b/>
          <w:bCs/>
          <w:color w:val="000000" w:themeColor="text1"/>
          <w:sz w:val="24"/>
          <w:szCs w:val="24"/>
          <w:lang w:val="en-GB"/>
        </w:rPr>
        <w:t>C-e</w:t>
      </w:r>
      <w:r w:rsidRPr="004F2021">
        <w:rPr>
          <w:color w:val="000000" w:themeColor="text1"/>
          <w:sz w:val="24"/>
          <w:szCs w:val="24"/>
          <w:lang w:val="en-GB"/>
        </w:rPr>
        <w:t xml:space="preserve">: stimulated with an empty catheter, </w:t>
      </w:r>
      <w:r w:rsidRPr="004F2021">
        <w:rPr>
          <w:b/>
          <w:bCs/>
          <w:color w:val="000000" w:themeColor="text1"/>
          <w:sz w:val="24"/>
          <w:szCs w:val="24"/>
          <w:lang w:val="en-GB"/>
        </w:rPr>
        <w:t>NGFch-0</w:t>
      </w:r>
      <w:r w:rsidRPr="004F2021">
        <w:rPr>
          <w:color w:val="000000" w:themeColor="text1"/>
          <w:sz w:val="24"/>
          <w:szCs w:val="24"/>
          <w:lang w:val="en-GB"/>
        </w:rPr>
        <w:t>: inseminated simultaneously with NGF-chitosan administration.</w:t>
      </w:r>
      <w:r w:rsidRPr="004F2021">
        <w:rPr>
          <w:b/>
          <w:bCs/>
          <w:color w:val="000000" w:themeColor="text1"/>
          <w:sz w:val="24"/>
          <w:szCs w:val="24"/>
          <w:lang w:val="en-GB"/>
        </w:rPr>
        <w:t xml:space="preserve"> NGFch-30</w:t>
      </w:r>
      <w:r w:rsidRPr="004F2021">
        <w:rPr>
          <w:color w:val="000000" w:themeColor="text1"/>
          <w:sz w:val="24"/>
          <w:szCs w:val="24"/>
          <w:lang w:val="en-GB"/>
        </w:rPr>
        <w:t xml:space="preserve">: inseminated 30 min after NGF-chitosan intravaginal administration. </w:t>
      </w:r>
      <w:r w:rsidRPr="004F2021">
        <w:rPr>
          <w:b/>
          <w:bCs/>
          <w:color w:val="000000" w:themeColor="text1"/>
          <w:sz w:val="24"/>
          <w:szCs w:val="24"/>
          <w:lang w:val="en-GB"/>
        </w:rPr>
        <w:t>C-s</w:t>
      </w:r>
      <w:r w:rsidRPr="004F2021">
        <w:rPr>
          <w:color w:val="000000" w:themeColor="text1"/>
          <w:sz w:val="24"/>
          <w:szCs w:val="24"/>
          <w:lang w:val="en-GB"/>
        </w:rPr>
        <w:t>: stimulated with a catheter containing diluted semen.</w:t>
      </w:r>
    </w:p>
    <w:p w14:paraId="005D7AD8" w14:textId="1F2B5380" w:rsidR="00F027AB" w:rsidRPr="004F2021" w:rsidRDefault="00F027AB" w:rsidP="5431E310">
      <w:pPr>
        <w:spacing w:after="0" w:line="480" w:lineRule="auto"/>
      </w:pPr>
    </w:p>
    <w:p w14:paraId="178938A2" w14:textId="77777777" w:rsidR="00212D7A" w:rsidRPr="004F2021" w:rsidRDefault="00212D7A" w:rsidP="00892FE6">
      <w:pPr>
        <w:spacing w:after="0" w:line="480" w:lineRule="auto"/>
        <w:jc w:val="both"/>
        <w:outlineLvl w:val="0"/>
        <w:rPr>
          <w:b/>
          <w:bCs/>
          <w:sz w:val="24"/>
          <w:szCs w:val="24"/>
          <w:lang w:val="es-ES"/>
        </w:rPr>
      </w:pPr>
      <w:proofErr w:type="spellStart"/>
      <w:r w:rsidRPr="004F2021">
        <w:rPr>
          <w:b/>
          <w:bCs/>
          <w:sz w:val="24"/>
          <w:szCs w:val="24"/>
          <w:lang w:val="es-ES"/>
        </w:rPr>
        <w:t>References</w:t>
      </w:r>
      <w:proofErr w:type="spellEnd"/>
    </w:p>
    <w:p w14:paraId="1EF22EB1" w14:textId="77777777" w:rsidR="00E14930" w:rsidRPr="004F2021" w:rsidRDefault="00554E3A" w:rsidP="00E14930">
      <w:pPr>
        <w:pStyle w:val="EndNoteBibliography"/>
        <w:spacing w:after="0"/>
        <w:ind w:left="720" w:hanging="720"/>
      </w:pPr>
      <w:r w:rsidRPr="004F2021">
        <w:rPr>
          <w:b/>
          <w:bCs/>
          <w:szCs w:val="24"/>
          <w:lang w:val="en-GB"/>
        </w:rPr>
        <w:fldChar w:fldCharType="begin"/>
      </w:r>
      <w:r w:rsidRPr="004F2021">
        <w:rPr>
          <w:b/>
          <w:bCs/>
          <w:szCs w:val="24"/>
          <w:lang w:val="en-GB"/>
        </w:rPr>
        <w:instrText xml:space="preserve"> ADDIN EN.REFLIST </w:instrText>
      </w:r>
      <w:r w:rsidRPr="004F2021">
        <w:rPr>
          <w:b/>
          <w:bCs/>
          <w:szCs w:val="24"/>
          <w:lang w:val="en-GB"/>
        </w:rPr>
        <w:fldChar w:fldCharType="separate"/>
      </w:r>
      <w:r w:rsidR="00E14930" w:rsidRPr="004F2021">
        <w:t>1.</w:t>
      </w:r>
      <w:r w:rsidR="00E14930" w:rsidRPr="004F2021">
        <w:tab/>
        <w:t>Quiroga AC, Stolt CC, del Corral RD, et al. Sox5 controls dorsal progenitor and interneuron specification in the spinal cord. Dev Neurobiol.</w:t>
      </w:r>
      <w:r w:rsidR="00E14930" w:rsidRPr="004F2021">
        <w:rPr>
          <w:i/>
        </w:rPr>
        <w:t xml:space="preserve"> </w:t>
      </w:r>
      <w:r w:rsidR="00E14930" w:rsidRPr="004F2021">
        <w:t>2015;75(5):522-538.</w:t>
      </w:r>
    </w:p>
    <w:p w14:paraId="7B6F7540" w14:textId="77777777" w:rsidR="00E14930" w:rsidRPr="004F2021" w:rsidRDefault="00E14930" w:rsidP="00E14930">
      <w:pPr>
        <w:pStyle w:val="EndNoteBibliography"/>
        <w:ind w:left="720" w:hanging="720"/>
      </w:pPr>
      <w:r w:rsidRPr="004F2021">
        <w:t>2.</w:t>
      </w:r>
      <w:r w:rsidRPr="004F2021">
        <w:tab/>
        <w:t>Sanchez-Rodriguez A, Abad P, Arias-Alvarez M, et al. Recombinant rabbit beta nerve growth factor production and its biological effects on sperm and ovulation in rabbits. PLoS One.</w:t>
      </w:r>
      <w:r w:rsidRPr="004F2021">
        <w:rPr>
          <w:i/>
        </w:rPr>
        <w:t xml:space="preserve"> </w:t>
      </w:r>
      <w:r w:rsidRPr="004F2021">
        <w:t>2019;14(7):e0219780.</w:t>
      </w:r>
    </w:p>
    <w:p w14:paraId="4A775533" w14:textId="373B5D1A" w:rsidR="0082126F" w:rsidRDefault="00554E3A" w:rsidP="00892FE6">
      <w:pPr>
        <w:spacing w:after="0" w:line="480" w:lineRule="auto"/>
        <w:jc w:val="both"/>
        <w:rPr>
          <w:b/>
          <w:bCs/>
          <w:sz w:val="24"/>
          <w:szCs w:val="24"/>
          <w:lang w:val="en-GB"/>
        </w:rPr>
      </w:pPr>
      <w:r w:rsidRPr="004F2021">
        <w:rPr>
          <w:b/>
          <w:bCs/>
          <w:sz w:val="24"/>
          <w:szCs w:val="24"/>
          <w:lang w:val="en-GB"/>
        </w:rPr>
        <w:fldChar w:fldCharType="end"/>
      </w:r>
    </w:p>
    <w:sectPr w:rsidR="0082126F" w:rsidSect="003770F9">
      <w:footerReference w:type="default" r:id="rId10"/>
      <w:pgSz w:w="11906" w:h="16838"/>
      <w:pgMar w:top="1417" w:right="1701" w:bottom="1417"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74B71B" w14:textId="77777777" w:rsidR="00E65936" w:rsidRDefault="00E65936" w:rsidP="00892FE6">
      <w:pPr>
        <w:spacing w:after="0" w:line="240" w:lineRule="auto"/>
      </w:pPr>
      <w:r>
        <w:separator/>
      </w:r>
    </w:p>
  </w:endnote>
  <w:endnote w:type="continuationSeparator" w:id="0">
    <w:p w14:paraId="3E62105E" w14:textId="77777777" w:rsidR="00E65936" w:rsidRDefault="00E65936" w:rsidP="00892F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38288436"/>
      <w:docPartObj>
        <w:docPartGallery w:val="Page Numbers (Bottom of Page)"/>
        <w:docPartUnique/>
      </w:docPartObj>
    </w:sdtPr>
    <w:sdtContent>
      <w:p w14:paraId="1A34F272" w14:textId="7A9D3A36" w:rsidR="00892FE6" w:rsidRDefault="00892FE6">
        <w:pPr>
          <w:pStyle w:val="Piedepgina"/>
          <w:jc w:val="right"/>
        </w:pPr>
        <w:r>
          <w:fldChar w:fldCharType="begin"/>
        </w:r>
        <w:r>
          <w:instrText>PAGE   \* MERGEFORMAT</w:instrText>
        </w:r>
        <w:r>
          <w:fldChar w:fldCharType="separate"/>
        </w:r>
        <w:r w:rsidR="00E14930" w:rsidRPr="00E14930">
          <w:rPr>
            <w:noProof/>
            <w:lang w:val="es-ES"/>
          </w:rPr>
          <w:t>6</w:t>
        </w:r>
        <w:r>
          <w:fldChar w:fldCharType="end"/>
        </w:r>
      </w:p>
    </w:sdtContent>
  </w:sdt>
  <w:p w14:paraId="5A85D7B9" w14:textId="77777777" w:rsidR="00892FE6" w:rsidRDefault="00892FE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5B90FA" w14:textId="77777777" w:rsidR="00E65936" w:rsidRDefault="00E65936" w:rsidP="00892FE6">
      <w:pPr>
        <w:spacing w:after="0" w:line="240" w:lineRule="auto"/>
      </w:pPr>
      <w:r>
        <w:separator/>
      </w:r>
    </w:p>
  </w:footnote>
  <w:footnote w:type="continuationSeparator" w:id="0">
    <w:p w14:paraId="638424EF" w14:textId="77777777" w:rsidR="00E65936" w:rsidRDefault="00E65936" w:rsidP="00892F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rSwtLA0NbUwNzI3NjNX0lEKTi0uzszPAykwqgUA+IXBtywAAAA="/>
    <w:docVar w:name="EN.InstantFormat" w:val="&lt;ENInstantFormat&gt;&lt;Enabled&gt;1&lt;/Enabled&gt;&lt;ScanUnformatted&gt;1&lt;/ScanUnformatted&gt;&lt;ScanChanges&gt;1&lt;/ScanChanges&gt;&lt;Suspended&gt;0&lt;/Suspended&gt;&lt;/ENInstantFormat&gt;"/>
    <w:docVar w:name="EN.Layout" w:val="&lt;ENLayout&gt;&lt;Style&gt;BMC Veterinary Researc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axzs9a5ei22wpue9pahv9tdir95fpwaxsdvv&quot;&gt;BMCVet&lt;record-ids&gt;&lt;item&gt;20&lt;/item&gt;&lt;item&gt;69&lt;/item&gt;&lt;/record-ids&gt;&lt;/item&gt;&lt;/Libraries&gt;"/>
  </w:docVars>
  <w:rsids>
    <w:rsidRoot w:val="00FF22BC"/>
    <w:rsid w:val="000B51D6"/>
    <w:rsid w:val="000E1C8F"/>
    <w:rsid w:val="00110D34"/>
    <w:rsid w:val="0011649E"/>
    <w:rsid w:val="0018650F"/>
    <w:rsid w:val="001B627D"/>
    <w:rsid w:val="001F0221"/>
    <w:rsid w:val="00202A3F"/>
    <w:rsid w:val="00212D7A"/>
    <w:rsid w:val="002411C8"/>
    <w:rsid w:val="00262939"/>
    <w:rsid w:val="0029754B"/>
    <w:rsid w:val="003770F9"/>
    <w:rsid w:val="00477475"/>
    <w:rsid w:val="00494B5F"/>
    <w:rsid w:val="004A434F"/>
    <w:rsid w:val="004D6BD9"/>
    <w:rsid w:val="004F2021"/>
    <w:rsid w:val="00507777"/>
    <w:rsid w:val="00554E3A"/>
    <w:rsid w:val="005C0E1B"/>
    <w:rsid w:val="005D25FD"/>
    <w:rsid w:val="005E4AFC"/>
    <w:rsid w:val="006A1ED7"/>
    <w:rsid w:val="006E31D9"/>
    <w:rsid w:val="006F2ACB"/>
    <w:rsid w:val="00741DCA"/>
    <w:rsid w:val="00755701"/>
    <w:rsid w:val="007865CD"/>
    <w:rsid w:val="00790995"/>
    <w:rsid w:val="0080541B"/>
    <w:rsid w:val="0082126F"/>
    <w:rsid w:val="00892FE6"/>
    <w:rsid w:val="008A3841"/>
    <w:rsid w:val="008A7306"/>
    <w:rsid w:val="008E5552"/>
    <w:rsid w:val="008F7CD6"/>
    <w:rsid w:val="0090718A"/>
    <w:rsid w:val="00924AAE"/>
    <w:rsid w:val="009606CE"/>
    <w:rsid w:val="00986BF9"/>
    <w:rsid w:val="009A2282"/>
    <w:rsid w:val="00AF5CFA"/>
    <w:rsid w:val="00B1246E"/>
    <w:rsid w:val="00B152DB"/>
    <w:rsid w:val="00B7594A"/>
    <w:rsid w:val="00B765F7"/>
    <w:rsid w:val="00BA1C9E"/>
    <w:rsid w:val="00BC3D82"/>
    <w:rsid w:val="00C64BB1"/>
    <w:rsid w:val="00C75CAA"/>
    <w:rsid w:val="00CF0BFC"/>
    <w:rsid w:val="00D33EEC"/>
    <w:rsid w:val="00D73E04"/>
    <w:rsid w:val="00DB7883"/>
    <w:rsid w:val="00DC11C7"/>
    <w:rsid w:val="00E043F0"/>
    <w:rsid w:val="00E14930"/>
    <w:rsid w:val="00E16D2E"/>
    <w:rsid w:val="00E3292D"/>
    <w:rsid w:val="00E65936"/>
    <w:rsid w:val="00E778BB"/>
    <w:rsid w:val="00E93A71"/>
    <w:rsid w:val="00ED600B"/>
    <w:rsid w:val="00F027AB"/>
    <w:rsid w:val="00F13329"/>
    <w:rsid w:val="00F25EE2"/>
    <w:rsid w:val="00F414A1"/>
    <w:rsid w:val="00F614BA"/>
    <w:rsid w:val="00F97FD1"/>
    <w:rsid w:val="00FE37D1"/>
    <w:rsid w:val="00FF22BC"/>
    <w:rsid w:val="00FF2476"/>
    <w:rsid w:val="035D3C77"/>
    <w:rsid w:val="044CB1DF"/>
    <w:rsid w:val="071C5807"/>
    <w:rsid w:val="08C7F2AD"/>
    <w:rsid w:val="0A0A433B"/>
    <w:rsid w:val="0A5A6E9A"/>
    <w:rsid w:val="0A5B4DDC"/>
    <w:rsid w:val="0BAFB656"/>
    <w:rsid w:val="0EC6DCE0"/>
    <w:rsid w:val="1128124C"/>
    <w:rsid w:val="113CD78D"/>
    <w:rsid w:val="116AD538"/>
    <w:rsid w:val="126E6277"/>
    <w:rsid w:val="127BD090"/>
    <w:rsid w:val="1397FD24"/>
    <w:rsid w:val="1554A3E5"/>
    <w:rsid w:val="17A263F1"/>
    <w:rsid w:val="199FCA2D"/>
    <w:rsid w:val="1AE7875F"/>
    <w:rsid w:val="244F8E4C"/>
    <w:rsid w:val="24DC3F04"/>
    <w:rsid w:val="250D4C8D"/>
    <w:rsid w:val="26A91CEE"/>
    <w:rsid w:val="29FB14B4"/>
    <w:rsid w:val="2AF7FD08"/>
    <w:rsid w:val="2CA5DE4A"/>
    <w:rsid w:val="2DDDF4F3"/>
    <w:rsid w:val="2E7C8094"/>
    <w:rsid w:val="308EF19D"/>
    <w:rsid w:val="327429DC"/>
    <w:rsid w:val="32C7C98D"/>
    <w:rsid w:val="33E6C130"/>
    <w:rsid w:val="356E4FA5"/>
    <w:rsid w:val="371C4AD1"/>
    <w:rsid w:val="3A4D5794"/>
    <w:rsid w:val="3BE4958E"/>
    <w:rsid w:val="40F8E0A5"/>
    <w:rsid w:val="424B2BF2"/>
    <w:rsid w:val="45275050"/>
    <w:rsid w:val="4535D197"/>
    <w:rsid w:val="488D4123"/>
    <w:rsid w:val="4A1564B1"/>
    <w:rsid w:val="4EAD0C37"/>
    <w:rsid w:val="515ECEE4"/>
    <w:rsid w:val="51DE18FA"/>
    <w:rsid w:val="5431E310"/>
    <w:rsid w:val="563126B3"/>
    <w:rsid w:val="56324007"/>
    <w:rsid w:val="57497F5F"/>
    <w:rsid w:val="57F3070A"/>
    <w:rsid w:val="58635831"/>
    <w:rsid w:val="58847BBD"/>
    <w:rsid w:val="5AF355D5"/>
    <w:rsid w:val="5C66A610"/>
    <w:rsid w:val="5CEFB68D"/>
    <w:rsid w:val="615C9D41"/>
    <w:rsid w:val="61C327B0"/>
    <w:rsid w:val="667D7076"/>
    <w:rsid w:val="66E8DC12"/>
    <w:rsid w:val="68CCE481"/>
    <w:rsid w:val="6ACF10B0"/>
    <w:rsid w:val="6AE52798"/>
    <w:rsid w:val="6AED5B84"/>
    <w:rsid w:val="6B145174"/>
    <w:rsid w:val="6D02D287"/>
    <w:rsid w:val="7286C843"/>
    <w:rsid w:val="72EEE410"/>
    <w:rsid w:val="72F3F8E4"/>
    <w:rsid w:val="741E9CEF"/>
    <w:rsid w:val="7571A9B6"/>
    <w:rsid w:val="75C8BBBB"/>
    <w:rsid w:val="79013538"/>
    <w:rsid w:val="7953B14F"/>
    <w:rsid w:val="79835E6D"/>
    <w:rsid w:val="7AE5E26C"/>
    <w:rsid w:val="7D2FE106"/>
  </w:rsids>
  <m:mathPr>
    <m:mathFont m:val="Cambria Math"/>
    <m:brkBin m:val="before"/>
    <m:brkBinSub m:val="--"/>
    <m:smallFrac m:val="0"/>
    <m:dispDef/>
    <m:lMargin m:val="0"/>
    <m:rMargin m:val="0"/>
    <m:defJc m:val="centerGroup"/>
    <m:wrapIndent m:val="1440"/>
    <m:intLim m:val="subSup"/>
    <m:naryLim m:val="undOvr"/>
  </m:mathPr>
  <w:themeFontLang w:val="es-E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35371E"/>
  <w15:docId w15:val="{7F461714-7187-475D-88E4-8BDB5DD3C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2BC"/>
    <w:pPr>
      <w:suppressAutoHyphens/>
      <w:spacing w:line="256" w:lineRule="auto"/>
    </w:pPr>
    <w:rPr>
      <w:rFonts w:ascii="Times New Roman" w:eastAsia="Times New Roman" w:hAnsi="Times New Roman" w:cs="Times New Roman"/>
      <w:sz w:val="20"/>
      <w:szCs w:val="20"/>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B152DB"/>
    <w:rPr>
      <w:sz w:val="16"/>
      <w:szCs w:val="16"/>
    </w:rPr>
  </w:style>
  <w:style w:type="paragraph" w:styleId="Textocomentario">
    <w:name w:val="annotation text"/>
    <w:basedOn w:val="Normal"/>
    <w:link w:val="TextocomentarioCar"/>
    <w:uiPriority w:val="99"/>
    <w:unhideWhenUsed/>
    <w:rsid w:val="00B152DB"/>
    <w:pPr>
      <w:spacing w:line="240" w:lineRule="auto"/>
    </w:pPr>
  </w:style>
  <w:style w:type="character" w:customStyle="1" w:styleId="TextocomentarioCar">
    <w:name w:val="Texto comentario Car"/>
    <w:basedOn w:val="Fuentedeprrafopredeter"/>
    <w:link w:val="Textocomentario"/>
    <w:uiPriority w:val="99"/>
    <w:rsid w:val="00B152DB"/>
    <w:rPr>
      <w:rFonts w:ascii="Times New Roman" w:eastAsia="Times New Roman" w:hAnsi="Times New Roman" w:cs="Times New Roman"/>
      <w:sz w:val="20"/>
      <w:szCs w:val="20"/>
      <w:lang w:val="es-ES_tradnl" w:eastAsia="es-ES_tradnl"/>
    </w:rPr>
  </w:style>
  <w:style w:type="paragraph" w:styleId="Asuntodelcomentario">
    <w:name w:val="annotation subject"/>
    <w:basedOn w:val="Textocomentario"/>
    <w:next w:val="Textocomentario"/>
    <w:link w:val="AsuntodelcomentarioCar"/>
    <w:uiPriority w:val="99"/>
    <w:semiHidden/>
    <w:unhideWhenUsed/>
    <w:rsid w:val="00B152DB"/>
    <w:rPr>
      <w:b/>
      <w:bCs/>
    </w:rPr>
  </w:style>
  <w:style w:type="character" w:customStyle="1" w:styleId="AsuntodelcomentarioCar">
    <w:name w:val="Asunto del comentario Car"/>
    <w:basedOn w:val="TextocomentarioCar"/>
    <w:link w:val="Asuntodelcomentario"/>
    <w:uiPriority w:val="99"/>
    <w:semiHidden/>
    <w:rsid w:val="00B152DB"/>
    <w:rPr>
      <w:rFonts w:ascii="Times New Roman" w:eastAsia="Times New Roman" w:hAnsi="Times New Roman" w:cs="Times New Roman"/>
      <w:b/>
      <w:bCs/>
      <w:sz w:val="20"/>
      <w:szCs w:val="20"/>
      <w:lang w:val="es-ES_tradnl" w:eastAsia="es-ES_tradnl"/>
    </w:rPr>
  </w:style>
  <w:style w:type="paragraph" w:styleId="Revisin">
    <w:name w:val="Revision"/>
    <w:hidden/>
    <w:uiPriority w:val="99"/>
    <w:semiHidden/>
    <w:rsid w:val="00DC11C7"/>
    <w:pPr>
      <w:spacing w:after="0" w:line="240" w:lineRule="auto"/>
    </w:pPr>
    <w:rPr>
      <w:rFonts w:ascii="Times New Roman" w:eastAsia="Times New Roman" w:hAnsi="Times New Roman" w:cs="Times New Roman"/>
      <w:sz w:val="20"/>
      <w:szCs w:val="20"/>
      <w:lang w:val="es-ES_tradnl" w:eastAsia="es-ES_tradnl"/>
    </w:rPr>
  </w:style>
  <w:style w:type="paragraph" w:styleId="Textodeglobo">
    <w:name w:val="Balloon Text"/>
    <w:basedOn w:val="Normal"/>
    <w:link w:val="TextodegloboCar"/>
    <w:uiPriority w:val="99"/>
    <w:semiHidden/>
    <w:unhideWhenUsed/>
    <w:rsid w:val="006A1ED7"/>
    <w:pPr>
      <w:spacing w:after="0" w:line="240" w:lineRule="auto"/>
    </w:pPr>
    <w:rPr>
      <w:sz w:val="18"/>
      <w:szCs w:val="18"/>
    </w:rPr>
  </w:style>
  <w:style w:type="character" w:customStyle="1" w:styleId="TextodegloboCar">
    <w:name w:val="Texto de globo Car"/>
    <w:basedOn w:val="Fuentedeprrafopredeter"/>
    <w:link w:val="Textodeglobo"/>
    <w:uiPriority w:val="99"/>
    <w:semiHidden/>
    <w:rsid w:val="006A1ED7"/>
    <w:rPr>
      <w:rFonts w:ascii="Times New Roman" w:eastAsia="Times New Roman" w:hAnsi="Times New Roman" w:cs="Times New Roman"/>
      <w:sz w:val="18"/>
      <w:szCs w:val="18"/>
      <w:lang w:val="es-ES_tradnl" w:eastAsia="es-ES_tradnl"/>
    </w:rPr>
  </w:style>
  <w:style w:type="character" w:customStyle="1" w:styleId="TextocomentarioCar1">
    <w:name w:val="Texto comentario Car1"/>
    <w:uiPriority w:val="99"/>
    <w:semiHidden/>
    <w:rsid w:val="00755701"/>
    <w:rPr>
      <w:sz w:val="24"/>
      <w:szCs w:val="24"/>
    </w:rPr>
  </w:style>
  <w:style w:type="character" w:styleId="Hipervnculo">
    <w:name w:val="Hyperlink"/>
    <w:basedOn w:val="Fuentedeprrafopredeter"/>
    <w:uiPriority w:val="99"/>
    <w:unhideWhenUsed/>
    <w:rsid w:val="004D6BD9"/>
    <w:rPr>
      <w:color w:val="0563C1" w:themeColor="hyperlink"/>
      <w:u w:val="single"/>
    </w:rPr>
  </w:style>
  <w:style w:type="character" w:styleId="Nmerodelnea">
    <w:name w:val="line number"/>
    <w:basedOn w:val="Fuentedeprrafopredeter"/>
    <w:uiPriority w:val="99"/>
    <w:semiHidden/>
    <w:unhideWhenUsed/>
    <w:rsid w:val="003770F9"/>
  </w:style>
  <w:style w:type="paragraph" w:styleId="Encabezado">
    <w:name w:val="header"/>
    <w:basedOn w:val="Normal"/>
    <w:link w:val="EncabezadoCar"/>
    <w:uiPriority w:val="99"/>
    <w:unhideWhenUsed/>
    <w:rsid w:val="00892FE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92FE6"/>
    <w:rPr>
      <w:rFonts w:ascii="Times New Roman" w:eastAsia="Times New Roman" w:hAnsi="Times New Roman" w:cs="Times New Roman"/>
      <w:sz w:val="20"/>
      <w:szCs w:val="20"/>
      <w:lang w:val="es-ES_tradnl" w:eastAsia="es-ES_tradnl"/>
    </w:rPr>
  </w:style>
  <w:style w:type="paragraph" w:styleId="Piedepgina">
    <w:name w:val="footer"/>
    <w:basedOn w:val="Normal"/>
    <w:link w:val="PiedepginaCar"/>
    <w:uiPriority w:val="99"/>
    <w:unhideWhenUsed/>
    <w:rsid w:val="00892FE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92FE6"/>
    <w:rPr>
      <w:rFonts w:ascii="Times New Roman" w:eastAsia="Times New Roman" w:hAnsi="Times New Roman" w:cs="Times New Roman"/>
      <w:sz w:val="20"/>
      <w:szCs w:val="20"/>
      <w:lang w:val="es-ES_tradnl" w:eastAsia="es-ES_tradnl"/>
    </w:rPr>
  </w:style>
  <w:style w:type="paragraph" w:customStyle="1" w:styleId="EndNoteBibliographyTitle">
    <w:name w:val="EndNote Bibliography Title"/>
    <w:basedOn w:val="Normal"/>
    <w:link w:val="EndNoteBibliographyTitleCar"/>
    <w:rsid w:val="00554E3A"/>
    <w:pPr>
      <w:spacing w:after="0"/>
      <w:jc w:val="center"/>
    </w:pPr>
    <w:rPr>
      <w:noProof/>
      <w:sz w:val="24"/>
    </w:rPr>
  </w:style>
  <w:style w:type="character" w:customStyle="1" w:styleId="EndNoteBibliographyTitleCar">
    <w:name w:val="EndNote Bibliography Title Car"/>
    <w:basedOn w:val="Fuentedeprrafopredeter"/>
    <w:link w:val="EndNoteBibliographyTitle"/>
    <w:rsid w:val="00554E3A"/>
    <w:rPr>
      <w:rFonts w:ascii="Times New Roman" w:eastAsia="Times New Roman" w:hAnsi="Times New Roman" w:cs="Times New Roman"/>
      <w:noProof/>
      <w:sz w:val="24"/>
      <w:szCs w:val="20"/>
      <w:lang w:val="es-ES_tradnl" w:eastAsia="es-ES_tradnl"/>
    </w:rPr>
  </w:style>
  <w:style w:type="paragraph" w:customStyle="1" w:styleId="EndNoteBibliography">
    <w:name w:val="EndNote Bibliography"/>
    <w:basedOn w:val="Normal"/>
    <w:link w:val="EndNoteBibliographyCar"/>
    <w:rsid w:val="00554E3A"/>
    <w:pPr>
      <w:spacing w:line="480" w:lineRule="auto"/>
      <w:jc w:val="both"/>
    </w:pPr>
    <w:rPr>
      <w:noProof/>
      <w:sz w:val="24"/>
    </w:rPr>
  </w:style>
  <w:style w:type="character" w:customStyle="1" w:styleId="EndNoteBibliographyCar">
    <w:name w:val="EndNote Bibliography Car"/>
    <w:basedOn w:val="Fuentedeprrafopredeter"/>
    <w:link w:val="EndNoteBibliography"/>
    <w:rsid w:val="00554E3A"/>
    <w:rPr>
      <w:rFonts w:ascii="Times New Roman" w:eastAsia="Times New Roman" w:hAnsi="Times New Roman" w:cs="Times New Roman"/>
      <w:noProof/>
      <w:sz w:val="24"/>
      <w:szCs w:val="20"/>
      <w:lang w:val="es-ES_tradnl" w:eastAsia="es-ES_tradnl"/>
    </w:rPr>
  </w:style>
  <w:style w:type="paragraph" w:styleId="NormalWeb">
    <w:name w:val="Normal (Web)"/>
    <w:basedOn w:val="Normal"/>
    <w:uiPriority w:val="99"/>
    <w:semiHidden/>
    <w:unhideWhenUsed/>
    <w:rsid w:val="00986BF9"/>
    <w:pPr>
      <w:suppressAutoHyphens w:val="0"/>
      <w:spacing w:before="100" w:beforeAutospacing="1" w:after="100" w:afterAutospacing="1" w:line="240" w:lineRule="auto"/>
    </w:pPr>
    <w:rPr>
      <w:sz w:val="24"/>
      <w:szCs w:val="24"/>
      <w:lang w:val="es-ES" w:eastAsia="es-ES" w:bidi="he-IL"/>
    </w:rPr>
  </w:style>
  <w:style w:type="character" w:customStyle="1" w:styleId="line-clamp-1">
    <w:name w:val="line-clamp-1"/>
    <w:basedOn w:val="Fuentedeprrafopredeter"/>
    <w:rsid w:val="00986B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9573138">
      <w:bodyDiv w:val="1"/>
      <w:marLeft w:val="0"/>
      <w:marRight w:val="0"/>
      <w:marTop w:val="0"/>
      <w:marBottom w:val="0"/>
      <w:divBdr>
        <w:top w:val="none" w:sz="0" w:space="0" w:color="auto"/>
        <w:left w:val="none" w:sz="0" w:space="0" w:color="auto"/>
        <w:bottom w:val="none" w:sz="0" w:space="0" w:color="auto"/>
        <w:right w:val="none" w:sz="0" w:space="0" w:color="auto"/>
      </w:divBdr>
    </w:div>
    <w:div w:id="1278100864">
      <w:bodyDiv w:val="1"/>
      <w:marLeft w:val="0"/>
      <w:marRight w:val="0"/>
      <w:marTop w:val="0"/>
      <w:marBottom w:val="0"/>
      <w:divBdr>
        <w:top w:val="none" w:sz="0" w:space="0" w:color="auto"/>
        <w:left w:val="none" w:sz="0" w:space="0" w:color="auto"/>
        <w:bottom w:val="none" w:sz="0" w:space="0" w:color="auto"/>
        <w:right w:val="none" w:sz="0" w:space="0" w:color="auto"/>
      </w:divBdr>
      <w:divsChild>
        <w:div w:id="10033981">
          <w:marLeft w:val="0"/>
          <w:marRight w:val="0"/>
          <w:marTop w:val="0"/>
          <w:marBottom w:val="0"/>
          <w:divBdr>
            <w:top w:val="none" w:sz="0" w:space="0" w:color="auto"/>
            <w:left w:val="none" w:sz="0" w:space="0" w:color="auto"/>
            <w:bottom w:val="none" w:sz="0" w:space="0" w:color="auto"/>
            <w:right w:val="none" w:sz="0" w:space="0" w:color="auto"/>
          </w:divBdr>
          <w:divsChild>
            <w:div w:id="1523786060">
              <w:marLeft w:val="0"/>
              <w:marRight w:val="0"/>
              <w:marTop w:val="0"/>
              <w:marBottom w:val="0"/>
              <w:divBdr>
                <w:top w:val="none" w:sz="0" w:space="0" w:color="auto"/>
                <w:left w:val="none" w:sz="0" w:space="0" w:color="auto"/>
                <w:bottom w:val="none" w:sz="0" w:space="0" w:color="auto"/>
                <w:right w:val="none" w:sz="0" w:space="0" w:color="auto"/>
              </w:divBdr>
              <w:divsChild>
                <w:div w:id="438913091">
                  <w:marLeft w:val="0"/>
                  <w:marRight w:val="0"/>
                  <w:marTop w:val="0"/>
                  <w:marBottom w:val="0"/>
                  <w:divBdr>
                    <w:top w:val="none" w:sz="0" w:space="0" w:color="auto"/>
                    <w:left w:val="none" w:sz="0" w:space="0" w:color="auto"/>
                    <w:bottom w:val="none" w:sz="0" w:space="0" w:color="auto"/>
                    <w:right w:val="none" w:sz="0" w:space="0" w:color="auto"/>
                  </w:divBdr>
                  <w:divsChild>
                    <w:div w:id="109944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278432">
          <w:marLeft w:val="0"/>
          <w:marRight w:val="0"/>
          <w:marTop w:val="0"/>
          <w:marBottom w:val="0"/>
          <w:divBdr>
            <w:top w:val="none" w:sz="0" w:space="0" w:color="auto"/>
            <w:left w:val="none" w:sz="0" w:space="0" w:color="auto"/>
            <w:bottom w:val="none" w:sz="0" w:space="0" w:color="auto"/>
            <w:right w:val="none" w:sz="0" w:space="0" w:color="auto"/>
          </w:divBdr>
          <w:divsChild>
            <w:div w:id="1121000322">
              <w:marLeft w:val="0"/>
              <w:marRight w:val="0"/>
              <w:marTop w:val="0"/>
              <w:marBottom w:val="0"/>
              <w:divBdr>
                <w:top w:val="none" w:sz="0" w:space="0" w:color="auto"/>
                <w:left w:val="none" w:sz="0" w:space="0" w:color="auto"/>
                <w:bottom w:val="none" w:sz="0" w:space="0" w:color="auto"/>
                <w:right w:val="none" w:sz="0" w:space="0" w:color="auto"/>
              </w:divBdr>
              <w:divsChild>
                <w:div w:id="238177934">
                  <w:marLeft w:val="0"/>
                  <w:marRight w:val="0"/>
                  <w:marTop w:val="0"/>
                  <w:marBottom w:val="0"/>
                  <w:divBdr>
                    <w:top w:val="none" w:sz="0" w:space="0" w:color="auto"/>
                    <w:left w:val="none" w:sz="0" w:space="0" w:color="auto"/>
                    <w:bottom w:val="none" w:sz="0" w:space="0" w:color="auto"/>
                    <w:right w:val="none" w:sz="0" w:space="0" w:color="auto"/>
                  </w:divBdr>
                  <w:divsChild>
                    <w:div w:id="205942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721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345C754-4387-4B4A-BE28-6579AAA9C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1139</Words>
  <Characters>6615</Characters>
  <Application>Microsoft Office Word</Application>
  <DocSecurity>0</DocSecurity>
  <Lines>115</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 Fernández-Mazuecos</dc:creator>
  <cp:lastModifiedBy>rev</cp:lastModifiedBy>
  <cp:revision>3</cp:revision>
  <dcterms:created xsi:type="dcterms:W3CDTF">2024-06-25T11:58:00Z</dcterms:created>
  <dcterms:modified xsi:type="dcterms:W3CDTF">2024-06-25T12:11:00Z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138574c7e7c561425cde217330ec49221b15f313fb4ccb22d4806628ac844b30</vt:lpwstr>
  </property>
</Properties>
</file>