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80"/>
        <w:rPr>
          <w:b/>
          <w:bCs/>
        </w:rPr>
      </w:pPr>
      <w:r>
        <w:rPr>
          <w:b/>
          <w:bCs/>
        </w:rPr>
        <w:t>Supplementary Material</w:t>
      </w:r>
    </w:p>
    <w:p>
      <w:pPr>
        <w:pStyle w:val="Normal"/>
        <w:spacing w:lineRule="auto" w:line="480"/>
        <w:rPr/>
      </w:pPr>
      <w:r>
        <w:rPr/>
        <w:t>Supplementary Methods: Blood and hormone analysis</w:t>
      </w:r>
    </w:p>
    <w:p>
      <w:pPr>
        <w:pStyle w:val="Normal"/>
        <w:spacing w:lineRule="auto" w:line="480"/>
        <w:rPr/>
      </w:pPr>
      <w:bookmarkStart w:id="0" w:name="_Hlk190939471"/>
      <w:r>
        <w:rPr/>
        <w:t>The assay used for canine LH has been used by the Colorado State University Endocrine Laboratory for the past 50 years and has not changed except for canine LH standard that has increased in purity over time. It is a heterologous assay using an antibody to ovine LH, radioiodinated ovine LH and purified canine LH as standard. This antibody (GDN-15) cross-reacts with LH from numerous species including ovine, bovine, equine, canine, feline, rat, mouse, dolphin, elephant, monkey, human, and porcine. The antibody binds a fragment of LH that is highly conserved across species.</w:t>
      </w:r>
    </w:p>
    <w:p>
      <w:pPr>
        <w:pStyle w:val="Normal"/>
        <w:spacing w:lineRule="auto" w:line="480"/>
        <w:rPr/>
      </w:pPr>
      <w:r>
        <w:rPr/>
        <w:t>Estradiol, testosterone, and progesterone assays were also conducted utilizing reagents produced by the Colorado State University Endocrine Laboratory over 50 years ago and are validated for use in numerous species [</w:t>
      </w:r>
      <w:r>
        <w:fldChar w:fldCharType="begin"/>
      </w:r>
      <w:r>
        <w:rPr/>
        <w:instrText xml:space="preserve">ADDIN ZOTERO_ITEM CSL_CITATION {"citationID":"eOcJVW5w","properties":{"formattedCitation":"(49\\uc0\\u8211{}51)","plainCitation":"(49–51)","noteIndex":0},"citationItems":[{"id":183,"uris":["http://zotero.org/users/local/wHyUzZ8l/items/SVP8SMMA"],"itemData":{"id":183,"type":"article-journal","container-title":"Steroids","DOI":"10.1016/0039-128X(73)90104-9","ISSN":"0039128X","issue":"3","journalAbbreviation":"Steroids","language":"en","license":"https://www.elsevier.com/tdm/userlicense/1.0/","page":"413-424","source":"DOI.org (Crossref)","title":"Influence of the site of conjugation on the specificity of antibodies to progesterone","volume":"22","author":[{"family":"Niswender","given":"Gordon D."}],"issued":{"date-parts":[["1973",9]]}}},{"id":182,"uris":["http://zotero.org/users/local/wHyUzZ8l/items/CETUUIE6"],"itemData":{"id":182,"type":"article-journal","container-title":"The Journal of Clinical Endocrinology &amp; Metabolism","DOI":"10.1210/jcem-38-1-42","ISSN":"0021-972X, 1945-7197","issue":"1","journalAbbreviation":"J Clin Endocrinol Metab","language":"en","page":"42-50","source":"DOI.org (Crossref)","title":"Radioimmunoassay of Estradiol-17β Without Chromatography","volume":"38","author":[{"family":"England","given":"Barry G."},{"family":"Niswender","given":"Gordon D."},{"family":"Midgley","given":"A. Rees"}],"issued":{"date-parts":[["1974",1]]}}},{"id":184,"uris":["http://zotero.org/users/local/wHyUzZ8l/items/SMSXSAH9"],"itemData":{"id":184,"type":"article-journal","container-title":"Journal of Reproduction and Fertility","DOI":"10.1530/jrf.0.0390115","ISSN":"0022-4251","issue":"1","journalAbbreviation":"J Reprod Fertil","language":"eng","note":"PMID: 4854121","page":"115-118","source":"PubMed","title":"Reproductive physiology of the stallion. IV. Seasonal changes in the testosterone concentration of peripheral plasma","volume":"39","author":[{"family":"Berndtson","given":"W. E."},{"family":"Pickett","given":"B. W."},{"family":"Nett","given":"T. M."}],"issued":{"date-parts":[["1974",7]]}}}],"schema":"https://github.com/citation-style-language/schema/raw/master/csl-citation.json"}</w:instrText>
      </w:r>
      <w:r>
        <w:rPr/>
      </w:r>
      <w:r>
        <w:rPr/>
        <w:fldChar w:fldCharType="separate"/>
      </w:r>
      <w:r>
        <w:rPr/>
      </w:r>
      <w:r>
        <w:rPr>
          <w:rFonts w:cs="Calibri" w:ascii="Calibri" w:hAnsi="Calibri"/>
          <w:kern w:val="0"/>
        </w:rPr>
        <w:t>(1-3)</w:t>
      </w:r>
      <w:r>
        <w:rPr/>
      </w:r>
      <w:r>
        <w:rPr/>
        <w:fldChar w:fldCharType="end"/>
      </w:r>
      <w:r>
        <w:rPr/>
        <w:t xml:space="preserve">]. </w:t>
      </w:r>
    </w:p>
    <w:p>
      <w:pPr>
        <w:pStyle w:val="Normal"/>
        <w:spacing w:lineRule="auto" w:line="480"/>
        <w:rPr/>
      </w:pPr>
      <w:bookmarkStart w:id="1" w:name="_Hlk190939471"/>
      <w:r>
        <w:rPr/>
        <w:t xml:space="preserve">Since the steroids were removed from serum via organic extraction prior to analysis, any matrix effects due to uniqueness of canine serum were eliminated. The average intra-assay variation was calculated at a point approximating 80% and 30% on the standard curve for each of the assays and is included in the table below. The variation was less than 6% in each </w:t>
      </w:r>
      <w:bookmarkEnd w:id="1"/>
      <w:r>
        <w:rPr/>
        <w:t>assay.</w:t>
      </w:r>
    </w:p>
    <w:p>
      <w:pPr>
        <w:pStyle w:val="Normal"/>
        <w:spacing w:lineRule="auto" w:line="480"/>
        <w:rPr/>
      </w:pPr>
      <w:r>
        <w:rPr/>
      </w:r>
    </w:p>
    <w:p>
      <w:pPr>
        <w:pStyle w:val="Normal"/>
        <w:spacing w:lineRule="auto" w:line="480"/>
        <w:rPr/>
      </w:pPr>
      <w:r>
        <w:rPr/>
        <w:t>Supplementary Table Methods: Intra-assay variation of hormone assays.</w:t>
      </w:r>
    </w:p>
    <w:p>
      <w:pPr>
        <w:pStyle w:val="Normal"/>
        <w:spacing w:lineRule="auto" w:line="480"/>
        <w:jc w:val="both"/>
        <w:rPr/>
      </w:pPr>
      <w:r>
        <w:rPr/>
        <w:tab/>
        <w:tab/>
        <w:tab/>
        <w:tab/>
        <w:tab/>
        <w:tab/>
        <w:tab/>
        <w:tab/>
        <w:tab/>
        <w:tab/>
        <w:tab/>
      </w:r>
    </w:p>
    <w:tbl>
      <w:tblPr>
        <w:tblStyle w:val="TableGrid"/>
        <w:tblW w:w="900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110"/>
        <w:gridCol w:w="864"/>
        <w:gridCol w:w="810"/>
        <w:gridCol w:w="451"/>
        <w:gridCol w:w="810"/>
        <w:gridCol w:w="809"/>
        <w:gridCol w:w="451"/>
        <w:gridCol w:w="810"/>
        <w:gridCol w:w="900"/>
        <w:gridCol w:w="449"/>
        <w:gridCol w:w="735"/>
        <w:gridCol w:w="809"/>
      </w:tblGrid>
      <w:tr>
        <w:trPr/>
        <w:tc>
          <w:tcPr>
            <w:tcW w:w="1110"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r>
          </w:p>
        </w:tc>
        <w:tc>
          <w:tcPr>
            <w:tcW w:w="1674" w:type="dxa"/>
            <w:gridSpan w:val="2"/>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t>Testosterone</w:t>
            </w:r>
          </w:p>
        </w:tc>
        <w:tc>
          <w:tcPr>
            <w:tcW w:w="451"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r>
          </w:p>
        </w:tc>
        <w:tc>
          <w:tcPr>
            <w:tcW w:w="1619" w:type="dxa"/>
            <w:gridSpan w:val="2"/>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t>Luteinizing Hormone</w:t>
            </w:r>
          </w:p>
        </w:tc>
        <w:tc>
          <w:tcPr>
            <w:tcW w:w="451"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r>
          </w:p>
        </w:tc>
        <w:tc>
          <w:tcPr>
            <w:tcW w:w="1710" w:type="dxa"/>
            <w:gridSpan w:val="2"/>
            <w:tcBorders/>
          </w:tcPr>
          <w:p>
            <w:pPr>
              <w:pStyle w:val="Normal"/>
              <w:widowControl/>
              <w:spacing w:lineRule="auto" w:line="480" w:before="0" w:after="0"/>
              <w:jc w:val="center"/>
              <w:rPr>
                <w:b/>
                <w:bCs/>
              </w:rPr>
            </w:pPr>
            <w:r>
              <w:rPr>
                <w:rFonts w:eastAsia="SimSun" w:cs="Times New Roman" w:ascii="Palatino Linotype" w:hAnsi="Palatino Linotype"/>
                <w:b/>
                <w:bCs/>
                <w:color w:val="000000"/>
                <w:kern w:val="0"/>
                <w:sz w:val="20"/>
                <w:szCs w:val="20"/>
                <w:lang w:val="en-US" w:eastAsia="zh-CN" w:bidi="ar-SA"/>
              </w:rPr>
              <w:t>Estrogen</w:t>
            </w:r>
          </w:p>
        </w:tc>
        <w:tc>
          <w:tcPr>
            <w:tcW w:w="449"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r>
          </w:p>
        </w:tc>
        <w:tc>
          <w:tcPr>
            <w:tcW w:w="1544" w:type="dxa"/>
            <w:gridSpan w:val="2"/>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t>Progesterone</w:t>
            </w:r>
          </w:p>
        </w:tc>
      </w:tr>
      <w:tr>
        <w:trPr/>
        <w:tc>
          <w:tcPr>
            <w:tcW w:w="1110"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t>Dose</w:t>
            </w:r>
          </w:p>
        </w:tc>
        <w:tc>
          <w:tcPr>
            <w:tcW w:w="864"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400 pg</w:t>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10 pg</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4 ng</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1 ng</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16 pg</w:t>
            </w:r>
          </w:p>
        </w:tc>
        <w:tc>
          <w:tcPr>
            <w:tcW w:w="90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1.02 pg</w:t>
            </w:r>
          </w:p>
        </w:tc>
        <w:tc>
          <w:tcPr>
            <w:tcW w:w="44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735"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1 ng</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64 pg</w:t>
            </w:r>
          </w:p>
        </w:tc>
      </w:tr>
      <w:tr>
        <w:trPr/>
        <w:tc>
          <w:tcPr>
            <w:tcW w:w="1110"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t>Curve 1</w:t>
            </w:r>
          </w:p>
        </w:tc>
        <w:tc>
          <w:tcPr>
            <w:tcW w:w="864"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33.90</w:t>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82.90</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28.40</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66.40</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27.7</w:t>
            </w:r>
          </w:p>
        </w:tc>
        <w:tc>
          <w:tcPr>
            <w:tcW w:w="90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68.7</w:t>
            </w:r>
          </w:p>
        </w:tc>
        <w:tc>
          <w:tcPr>
            <w:tcW w:w="44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735"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23.00</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70.70</w:t>
            </w:r>
          </w:p>
        </w:tc>
      </w:tr>
      <w:tr>
        <w:trPr/>
        <w:tc>
          <w:tcPr>
            <w:tcW w:w="1110"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t>Curve 2</w:t>
            </w:r>
          </w:p>
        </w:tc>
        <w:tc>
          <w:tcPr>
            <w:tcW w:w="864"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32.10</w:t>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78.10</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26.20</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61.50</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29.00</w:t>
            </w:r>
          </w:p>
        </w:tc>
        <w:tc>
          <w:tcPr>
            <w:tcW w:w="90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69.9</w:t>
            </w:r>
          </w:p>
        </w:tc>
        <w:tc>
          <w:tcPr>
            <w:tcW w:w="44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735"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22.20</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67.30</w:t>
            </w:r>
          </w:p>
        </w:tc>
      </w:tr>
      <w:tr>
        <w:trPr/>
        <w:tc>
          <w:tcPr>
            <w:tcW w:w="1110"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t>Mean</w:t>
            </w:r>
          </w:p>
        </w:tc>
        <w:tc>
          <w:tcPr>
            <w:tcW w:w="864"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33.00</w:t>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80.50</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27.30</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63.95</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28.35</w:t>
            </w:r>
          </w:p>
        </w:tc>
        <w:tc>
          <w:tcPr>
            <w:tcW w:w="90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69.3</w:t>
            </w:r>
          </w:p>
        </w:tc>
        <w:tc>
          <w:tcPr>
            <w:tcW w:w="44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735"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22.60</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69.00</w:t>
            </w:r>
          </w:p>
        </w:tc>
      </w:tr>
      <w:tr>
        <w:trPr/>
        <w:tc>
          <w:tcPr>
            <w:tcW w:w="1110"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t>SD</w:t>
            </w:r>
          </w:p>
        </w:tc>
        <w:tc>
          <w:tcPr>
            <w:tcW w:w="864"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1.27</w:t>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3.39</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1.56</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3.46</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0.92</w:t>
            </w:r>
          </w:p>
        </w:tc>
        <w:tc>
          <w:tcPr>
            <w:tcW w:w="90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0.85</w:t>
            </w:r>
          </w:p>
        </w:tc>
        <w:tc>
          <w:tcPr>
            <w:tcW w:w="44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735"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0.57</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2.40</w:t>
            </w:r>
          </w:p>
        </w:tc>
      </w:tr>
      <w:tr>
        <w:trPr/>
        <w:tc>
          <w:tcPr>
            <w:tcW w:w="1110"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t>%CV</w:t>
            </w:r>
          </w:p>
        </w:tc>
        <w:tc>
          <w:tcPr>
            <w:tcW w:w="864"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3.86%</w:t>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4.22%</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5.70%</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5.42%</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3.24%</w:t>
            </w:r>
          </w:p>
        </w:tc>
        <w:tc>
          <w:tcPr>
            <w:tcW w:w="90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1.22%</w:t>
            </w:r>
          </w:p>
        </w:tc>
        <w:tc>
          <w:tcPr>
            <w:tcW w:w="44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735"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2.50%</w:t>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3.48%</w:t>
            </w:r>
          </w:p>
        </w:tc>
      </w:tr>
      <w:tr>
        <w:trPr/>
        <w:tc>
          <w:tcPr>
            <w:tcW w:w="1110" w:type="dxa"/>
            <w:tcBorders/>
          </w:tcPr>
          <w:p>
            <w:pPr>
              <w:pStyle w:val="Normal"/>
              <w:widowControl/>
              <w:spacing w:lineRule="auto" w:line="480" w:before="0" w:after="0"/>
              <w:jc w:val="both"/>
              <w:rPr>
                <w:b/>
                <w:bCs/>
              </w:rPr>
            </w:pPr>
            <w:r>
              <w:rPr>
                <w:rFonts w:eastAsia="SimSun" w:cs="Times New Roman" w:ascii="Palatino Linotype" w:hAnsi="Palatino Linotype"/>
                <w:b/>
                <w:bCs/>
                <w:color w:val="000000"/>
                <w:kern w:val="0"/>
                <w:sz w:val="20"/>
                <w:szCs w:val="20"/>
                <w:lang w:val="en-US" w:eastAsia="zh-CN" w:bidi="ar-SA"/>
              </w:rPr>
              <w:t>Ave %CV</w:t>
            </w:r>
          </w:p>
        </w:tc>
        <w:tc>
          <w:tcPr>
            <w:tcW w:w="864"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4.04%</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5.56%</w:t>
            </w:r>
          </w:p>
        </w:tc>
        <w:tc>
          <w:tcPr>
            <w:tcW w:w="451"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1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900"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2.23%</w:t>
            </w:r>
          </w:p>
        </w:tc>
        <w:tc>
          <w:tcPr>
            <w:tcW w:w="44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735"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r>
          </w:p>
        </w:tc>
        <w:tc>
          <w:tcPr>
            <w:tcW w:w="809" w:type="dxa"/>
            <w:tcBorders/>
          </w:tcPr>
          <w:p>
            <w:pPr>
              <w:pStyle w:val="Normal"/>
              <w:widowControl/>
              <w:spacing w:lineRule="auto" w:line="480" w:before="0" w:after="0"/>
              <w:jc w:val="both"/>
              <w:rPr>
                <w:rFonts w:ascii="Palatino Linotype" w:hAnsi="Palatino Linotype" w:eastAsia="SimSun" w:cs="Times New Roman"/>
                <w:color w:val="000000"/>
                <w:kern w:val="0"/>
                <w:sz w:val="20"/>
                <w:szCs w:val="20"/>
                <w:lang w:val="en-US" w:eastAsia="zh-CN" w:bidi="ar-SA"/>
              </w:rPr>
            </w:pPr>
            <w:r>
              <w:rPr>
                <w:rFonts w:eastAsia="SimSun" w:cs="Times New Roman" w:ascii="Palatino Linotype" w:hAnsi="Palatino Linotype"/>
                <w:color w:val="000000"/>
                <w:kern w:val="0"/>
                <w:sz w:val="20"/>
                <w:szCs w:val="20"/>
                <w:lang w:val="en-US" w:eastAsia="zh-CN" w:bidi="ar-SA"/>
              </w:rPr>
              <w:t>2.99%</w:t>
            </w:r>
          </w:p>
        </w:tc>
      </w:tr>
    </w:tbl>
    <w:p>
      <w:pPr>
        <w:pStyle w:val="Normal"/>
        <w:rPr/>
      </w:pPr>
      <w:r>
        <w:rPr/>
      </w:r>
      <w:r>
        <w:br w:type="page"/>
      </w:r>
    </w:p>
    <w:p>
      <w:pPr>
        <w:pStyle w:val="Normal"/>
        <w:spacing w:lineRule="auto" w:line="480" w:before="0" w:after="0"/>
        <w:rPr/>
      </w:pPr>
      <w:r>
        <w:rPr/>
        <w:t>Supplementary Table 1:</w:t>
        <w:tab/>
        <w:t xml:space="preserve">Clinical examination parameters. Group means ± 1 standard deviation. </w:t>
      </w:r>
    </w:p>
    <w:p>
      <w:pPr>
        <w:pStyle w:val="Normal"/>
        <w:spacing w:lineRule="auto" w:line="480"/>
        <w:rPr/>
      </w:pPr>
      <w:r>
        <w:rPr/>
      </w:r>
    </w:p>
    <w:tbl>
      <w:tblPr>
        <w:tblW w:w="9924" w:type="dxa"/>
        <w:jc w:val="left"/>
        <w:tblInd w:w="-436" w:type="dxa"/>
        <w:tblLayout w:type="fixed"/>
        <w:tblCellMar>
          <w:top w:w="0" w:type="dxa"/>
          <w:left w:w="108" w:type="dxa"/>
          <w:bottom w:w="0" w:type="dxa"/>
          <w:right w:w="108" w:type="dxa"/>
        </w:tblCellMar>
        <w:tblLook w:firstRow="1" w:noVBand="1" w:lastRow="0" w:firstColumn="1" w:lastColumn="0" w:noHBand="0" w:val="04a0"/>
      </w:tblPr>
      <w:tblGrid>
        <w:gridCol w:w="1173"/>
        <w:gridCol w:w="1521"/>
        <w:gridCol w:w="2409"/>
        <w:gridCol w:w="2411"/>
        <w:gridCol w:w="2410"/>
      </w:tblGrid>
      <w:tr>
        <w:trPr>
          <w:tblHeader w:val="true"/>
          <w:trHeight w:val="600" w:hRule="atLeast"/>
        </w:trPr>
        <w:tc>
          <w:tcPr>
            <w:tcW w:w="1173" w:type="dxa"/>
            <w:tcBorders>
              <w:top w:val="single" w:sz="8" w:space="0" w:color="000000"/>
              <w:left w:val="single" w:sz="8" w:space="0" w:color="000000"/>
              <w:bottom w:val="single" w:sz="4" w:space="0" w:color="000000"/>
              <w:right w:val="single" w:sz="4" w:space="0" w:color="000000"/>
            </w:tcBorders>
            <w:shd w:color="auto" w:fill="auto" w:val="clear"/>
          </w:tcPr>
          <w:p>
            <w:pPr>
              <w:pStyle w:val="Normal"/>
              <w:spacing w:lineRule="auto" w:line="480"/>
              <w:rPr/>
            </w:pPr>
            <w:r>
              <w:rPr/>
              <w:t>Study Day</w:t>
            </w:r>
          </w:p>
        </w:tc>
        <w:tc>
          <w:tcPr>
            <w:tcW w:w="1521" w:type="dxa"/>
            <w:tcBorders>
              <w:top w:val="single" w:sz="8" w:space="0" w:color="000000"/>
              <w:bottom w:val="single" w:sz="4" w:space="0" w:color="000000"/>
              <w:right w:val="single" w:sz="4" w:space="0" w:color="000000"/>
            </w:tcBorders>
            <w:shd w:color="auto" w:fill="auto" w:val="clear"/>
          </w:tcPr>
          <w:p>
            <w:pPr>
              <w:pStyle w:val="Normal"/>
              <w:spacing w:lineRule="auto" w:line="480"/>
              <w:rPr/>
            </w:pPr>
            <w:r>
              <w:rPr/>
              <w:t>Control</w:t>
            </w:r>
          </w:p>
        </w:tc>
        <w:tc>
          <w:tcPr>
            <w:tcW w:w="2409" w:type="dxa"/>
            <w:tcBorders>
              <w:top w:val="single" w:sz="8" w:space="0" w:color="000000"/>
              <w:bottom w:val="single" w:sz="4" w:space="0" w:color="000000"/>
              <w:right w:val="single" w:sz="4" w:space="0" w:color="000000"/>
            </w:tcBorders>
            <w:shd w:color="auto" w:fill="auto" w:val="clear"/>
          </w:tcPr>
          <w:p>
            <w:pPr>
              <w:pStyle w:val="Normal"/>
              <w:spacing w:lineRule="auto" w:line="480"/>
              <w:rPr/>
            </w:pPr>
            <w:r>
              <w:rPr/>
              <w:t>Group 1x</w:t>
            </w:r>
          </w:p>
        </w:tc>
        <w:tc>
          <w:tcPr>
            <w:tcW w:w="2411" w:type="dxa"/>
            <w:tcBorders>
              <w:top w:val="single" w:sz="8" w:space="0" w:color="000000"/>
              <w:bottom w:val="single" w:sz="4" w:space="0" w:color="000000"/>
              <w:right w:val="single" w:sz="4" w:space="0" w:color="000000"/>
            </w:tcBorders>
            <w:shd w:color="auto" w:fill="auto" w:val="clear"/>
          </w:tcPr>
          <w:p>
            <w:pPr>
              <w:pStyle w:val="Normal"/>
              <w:spacing w:lineRule="auto" w:line="480"/>
              <w:rPr/>
            </w:pPr>
            <w:r>
              <w:rPr/>
              <w:t>Group 3x</w:t>
            </w:r>
          </w:p>
        </w:tc>
        <w:tc>
          <w:tcPr>
            <w:tcW w:w="2410" w:type="dxa"/>
            <w:tcBorders>
              <w:top w:val="single" w:sz="8" w:space="0" w:color="000000"/>
              <w:bottom w:val="single" w:sz="4" w:space="0" w:color="000000"/>
              <w:right w:val="single" w:sz="8" w:space="0" w:color="000000"/>
            </w:tcBorders>
            <w:shd w:color="auto" w:fill="auto" w:val="clear"/>
          </w:tcPr>
          <w:p>
            <w:pPr>
              <w:pStyle w:val="Normal"/>
              <w:spacing w:lineRule="auto" w:line="480"/>
              <w:rPr/>
            </w:pPr>
            <w:r>
              <w:rPr/>
              <w:t>Group 5x</w:t>
            </w:r>
          </w:p>
        </w:tc>
      </w:tr>
      <w:tr>
        <w:trPr>
          <w:trHeight w:val="300" w:hRule="atLeast"/>
        </w:trPr>
        <w:tc>
          <w:tcPr>
            <w:tcW w:w="9924" w:type="dxa"/>
            <w:gridSpan w:val="5"/>
            <w:tcBorders>
              <w:top w:val="single" w:sz="4" w:space="0" w:color="000000"/>
              <w:left w:val="single" w:sz="8" w:space="0" w:color="000000"/>
              <w:bottom w:val="single" w:sz="4" w:space="0" w:color="000000"/>
              <w:right w:val="single" w:sz="8" w:space="0" w:color="000000"/>
            </w:tcBorders>
            <w:shd w:color="auto" w:fill="auto" w:val="clear"/>
          </w:tcPr>
          <w:p>
            <w:pPr>
              <w:pStyle w:val="Normal"/>
              <w:spacing w:lineRule="auto" w:line="480"/>
              <w:rPr/>
            </w:pPr>
            <w:r>
              <w:rPr/>
              <w:t>Heart Rate (beats/minute)</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0</w:t>
            </w:r>
          </w:p>
        </w:tc>
        <w:tc>
          <w:tcPr>
            <w:tcW w:w="1521" w:type="dxa"/>
            <w:tcBorders>
              <w:bottom w:val="single" w:sz="4" w:space="0" w:color="000000"/>
              <w:right w:val="single" w:sz="4" w:space="0" w:color="000000"/>
            </w:tcBorders>
            <w:shd w:color="auto" w:fill="auto" w:val="clear"/>
          </w:tcPr>
          <w:p>
            <w:pPr>
              <w:pStyle w:val="Normal"/>
              <w:spacing w:lineRule="auto" w:line="480"/>
              <w:rPr/>
            </w:pPr>
            <w:r>
              <w:rPr/>
              <w:t>83.3 ± 15.3</w:t>
            </w:r>
          </w:p>
        </w:tc>
        <w:tc>
          <w:tcPr>
            <w:tcW w:w="2409" w:type="dxa"/>
            <w:tcBorders>
              <w:bottom w:val="single" w:sz="4" w:space="0" w:color="000000"/>
              <w:right w:val="single" w:sz="4" w:space="0" w:color="000000"/>
            </w:tcBorders>
            <w:shd w:color="auto" w:fill="auto" w:val="clear"/>
          </w:tcPr>
          <w:p>
            <w:pPr>
              <w:pStyle w:val="Normal"/>
              <w:spacing w:lineRule="auto" w:line="480"/>
              <w:rPr/>
            </w:pPr>
            <w:r>
              <w:rPr/>
              <w:t>76.7 ± 2.9</w:t>
            </w:r>
          </w:p>
        </w:tc>
        <w:tc>
          <w:tcPr>
            <w:tcW w:w="2411" w:type="dxa"/>
            <w:tcBorders>
              <w:bottom w:val="single" w:sz="4" w:space="0" w:color="000000"/>
              <w:right w:val="single" w:sz="4" w:space="0" w:color="000000"/>
            </w:tcBorders>
            <w:shd w:color="auto" w:fill="auto" w:val="clear"/>
          </w:tcPr>
          <w:p>
            <w:pPr>
              <w:pStyle w:val="Normal"/>
              <w:spacing w:lineRule="auto" w:line="480"/>
              <w:rPr/>
            </w:pPr>
            <w:r>
              <w:rPr/>
              <w:t>86.0 ± 6.9</w:t>
            </w:r>
          </w:p>
        </w:tc>
        <w:tc>
          <w:tcPr>
            <w:tcW w:w="2410" w:type="dxa"/>
            <w:tcBorders>
              <w:bottom w:val="single" w:sz="4" w:space="0" w:color="000000"/>
              <w:right w:val="single" w:sz="8" w:space="0" w:color="000000"/>
            </w:tcBorders>
            <w:shd w:color="auto" w:fill="auto" w:val="clear"/>
          </w:tcPr>
          <w:p>
            <w:pPr>
              <w:pStyle w:val="Normal"/>
              <w:spacing w:lineRule="auto" w:line="480"/>
              <w:rPr/>
            </w:pPr>
            <w:r>
              <w:rPr/>
              <w:t>92.7 ± 23.7</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w:t>
            </w:r>
          </w:p>
        </w:tc>
        <w:tc>
          <w:tcPr>
            <w:tcW w:w="1521" w:type="dxa"/>
            <w:tcBorders>
              <w:bottom w:val="single" w:sz="4" w:space="0" w:color="000000"/>
              <w:right w:val="single" w:sz="4" w:space="0" w:color="000000"/>
            </w:tcBorders>
            <w:shd w:color="auto" w:fill="auto" w:val="clear"/>
          </w:tcPr>
          <w:p>
            <w:pPr>
              <w:pStyle w:val="Normal"/>
              <w:spacing w:lineRule="auto" w:line="480"/>
              <w:rPr/>
            </w:pPr>
            <w:r>
              <w:rPr/>
              <w:t>91.7 ± 17.6</w:t>
            </w:r>
          </w:p>
        </w:tc>
        <w:tc>
          <w:tcPr>
            <w:tcW w:w="2409" w:type="dxa"/>
            <w:tcBorders>
              <w:bottom w:val="single" w:sz="4" w:space="0" w:color="000000"/>
              <w:right w:val="single" w:sz="4" w:space="0" w:color="000000"/>
            </w:tcBorders>
            <w:shd w:color="auto" w:fill="auto" w:val="clear"/>
          </w:tcPr>
          <w:p>
            <w:pPr>
              <w:pStyle w:val="Normal"/>
              <w:spacing w:lineRule="auto" w:line="480"/>
              <w:rPr/>
            </w:pPr>
            <w:r>
              <w:rPr/>
              <w:t>96.7 ± 5.8</w:t>
            </w:r>
          </w:p>
        </w:tc>
        <w:tc>
          <w:tcPr>
            <w:tcW w:w="2411" w:type="dxa"/>
            <w:tcBorders>
              <w:bottom w:val="single" w:sz="4" w:space="0" w:color="000000"/>
              <w:right w:val="single" w:sz="4" w:space="0" w:color="000000"/>
            </w:tcBorders>
            <w:shd w:color="auto" w:fill="auto" w:val="clear"/>
          </w:tcPr>
          <w:p>
            <w:pPr>
              <w:pStyle w:val="Normal"/>
              <w:spacing w:lineRule="auto" w:line="480"/>
              <w:rPr/>
            </w:pPr>
            <w:r>
              <w:rPr/>
              <w:t>106.7 ± 11.5</w:t>
            </w:r>
          </w:p>
        </w:tc>
        <w:tc>
          <w:tcPr>
            <w:tcW w:w="2410" w:type="dxa"/>
            <w:tcBorders>
              <w:bottom w:val="single" w:sz="4" w:space="0" w:color="000000"/>
              <w:right w:val="single" w:sz="8" w:space="0" w:color="000000"/>
            </w:tcBorders>
            <w:shd w:color="auto" w:fill="auto" w:val="clear"/>
          </w:tcPr>
          <w:p>
            <w:pPr>
              <w:pStyle w:val="Normal"/>
              <w:spacing w:lineRule="auto" w:line="480"/>
              <w:rPr/>
            </w:pPr>
            <w:r>
              <w:rPr/>
              <w:t>93.3 ± 15.3</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tcPr>
          <w:p>
            <w:pPr>
              <w:pStyle w:val="Normal"/>
              <w:spacing w:lineRule="auto" w:line="480"/>
              <w:rPr/>
            </w:pPr>
            <w:r>
              <w:rPr/>
              <w:t>86.7 ± 25.2</w:t>
            </w:r>
          </w:p>
        </w:tc>
        <w:tc>
          <w:tcPr>
            <w:tcW w:w="2409" w:type="dxa"/>
            <w:tcBorders>
              <w:bottom w:val="single" w:sz="4" w:space="0" w:color="000000"/>
              <w:right w:val="single" w:sz="4" w:space="0" w:color="000000"/>
            </w:tcBorders>
            <w:shd w:color="auto" w:fill="auto" w:val="clear"/>
          </w:tcPr>
          <w:p>
            <w:pPr>
              <w:pStyle w:val="Normal"/>
              <w:spacing w:lineRule="auto" w:line="480"/>
              <w:rPr/>
            </w:pPr>
            <w:r>
              <w:rPr/>
              <w:t>86.7 ± 5.8</w:t>
            </w:r>
          </w:p>
        </w:tc>
        <w:tc>
          <w:tcPr>
            <w:tcW w:w="2411" w:type="dxa"/>
            <w:tcBorders>
              <w:bottom w:val="single" w:sz="4" w:space="0" w:color="000000"/>
              <w:right w:val="single" w:sz="4" w:space="0" w:color="000000"/>
            </w:tcBorders>
            <w:shd w:color="auto" w:fill="auto" w:val="clear"/>
          </w:tcPr>
          <w:p>
            <w:pPr>
              <w:pStyle w:val="Normal"/>
              <w:spacing w:lineRule="auto" w:line="480"/>
              <w:rPr/>
            </w:pPr>
            <w:r>
              <w:rPr/>
              <w:t>100.0 ± 10.0</w:t>
            </w:r>
          </w:p>
        </w:tc>
        <w:tc>
          <w:tcPr>
            <w:tcW w:w="2410" w:type="dxa"/>
            <w:tcBorders>
              <w:bottom w:val="single" w:sz="4" w:space="0" w:color="000000"/>
              <w:right w:val="single" w:sz="8" w:space="0" w:color="000000"/>
            </w:tcBorders>
            <w:shd w:color="auto" w:fill="auto" w:val="clear"/>
          </w:tcPr>
          <w:p>
            <w:pPr>
              <w:pStyle w:val="Normal"/>
              <w:spacing w:lineRule="auto" w:line="480"/>
              <w:rPr/>
            </w:pPr>
            <w:r>
              <w:rPr/>
              <w:t>96.7 ± 11.5</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21</w:t>
            </w:r>
          </w:p>
        </w:tc>
        <w:tc>
          <w:tcPr>
            <w:tcW w:w="1521" w:type="dxa"/>
            <w:tcBorders>
              <w:bottom w:val="single" w:sz="4" w:space="0" w:color="000000"/>
              <w:right w:val="single" w:sz="4" w:space="0" w:color="000000"/>
            </w:tcBorders>
            <w:shd w:color="auto" w:fill="auto" w:val="clear"/>
          </w:tcPr>
          <w:p>
            <w:pPr>
              <w:pStyle w:val="Normal"/>
              <w:spacing w:lineRule="auto" w:line="480"/>
              <w:rPr/>
            </w:pPr>
            <w:r>
              <w:rPr/>
              <w:t>93.3 ± 5.8</w:t>
            </w:r>
          </w:p>
        </w:tc>
        <w:tc>
          <w:tcPr>
            <w:tcW w:w="2409" w:type="dxa"/>
            <w:tcBorders>
              <w:bottom w:val="single" w:sz="4" w:space="0" w:color="000000"/>
              <w:right w:val="single" w:sz="4" w:space="0" w:color="000000"/>
            </w:tcBorders>
            <w:shd w:color="auto" w:fill="auto" w:val="clear"/>
          </w:tcPr>
          <w:p>
            <w:pPr>
              <w:pStyle w:val="Normal"/>
              <w:spacing w:lineRule="auto" w:line="480"/>
              <w:rPr/>
            </w:pPr>
            <w:r>
              <w:rPr/>
              <w:t>83.3 ± 11.5</w:t>
            </w:r>
          </w:p>
        </w:tc>
        <w:tc>
          <w:tcPr>
            <w:tcW w:w="2411" w:type="dxa"/>
            <w:tcBorders>
              <w:bottom w:val="single" w:sz="4" w:space="0" w:color="000000"/>
              <w:right w:val="single" w:sz="4" w:space="0" w:color="000000"/>
            </w:tcBorders>
            <w:shd w:color="auto" w:fill="auto" w:val="clear"/>
          </w:tcPr>
          <w:p>
            <w:pPr>
              <w:pStyle w:val="Normal"/>
              <w:spacing w:lineRule="auto" w:line="480"/>
              <w:rPr/>
            </w:pPr>
            <w:r>
              <w:rPr/>
              <w:t>83.3 ± 11.5</w:t>
            </w:r>
          </w:p>
        </w:tc>
        <w:tc>
          <w:tcPr>
            <w:tcW w:w="2410" w:type="dxa"/>
            <w:tcBorders>
              <w:bottom w:val="single" w:sz="4" w:space="0" w:color="000000"/>
              <w:right w:val="single" w:sz="8" w:space="0" w:color="000000"/>
            </w:tcBorders>
            <w:shd w:color="auto" w:fill="auto" w:val="clear"/>
          </w:tcPr>
          <w:p>
            <w:pPr>
              <w:pStyle w:val="Normal"/>
              <w:spacing w:lineRule="auto" w:line="480"/>
              <w:rPr/>
            </w:pPr>
            <w:r>
              <w:rPr/>
              <w:t>83.3 ± 11.5</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tcPr>
          <w:p>
            <w:pPr>
              <w:pStyle w:val="Normal"/>
              <w:spacing w:lineRule="auto" w:line="480"/>
              <w:rPr/>
            </w:pPr>
            <w:r>
              <w:rPr/>
              <w:t>80.7 ± 5.1</w:t>
            </w:r>
          </w:p>
        </w:tc>
        <w:tc>
          <w:tcPr>
            <w:tcW w:w="2409" w:type="dxa"/>
            <w:tcBorders>
              <w:bottom w:val="single" w:sz="4" w:space="0" w:color="000000"/>
              <w:right w:val="single" w:sz="4" w:space="0" w:color="000000"/>
            </w:tcBorders>
            <w:shd w:color="auto" w:fill="auto" w:val="clear"/>
          </w:tcPr>
          <w:p>
            <w:pPr>
              <w:pStyle w:val="Normal"/>
              <w:spacing w:lineRule="auto" w:line="480"/>
              <w:rPr/>
            </w:pPr>
            <w:r>
              <w:rPr/>
              <w:t>78.3 ± 12.6</w:t>
            </w:r>
          </w:p>
        </w:tc>
        <w:tc>
          <w:tcPr>
            <w:tcW w:w="2411" w:type="dxa"/>
            <w:tcBorders>
              <w:bottom w:val="single" w:sz="4" w:space="0" w:color="000000"/>
              <w:right w:val="single" w:sz="4" w:space="0" w:color="000000"/>
            </w:tcBorders>
            <w:shd w:color="auto" w:fill="auto" w:val="clear"/>
          </w:tcPr>
          <w:p>
            <w:pPr>
              <w:pStyle w:val="Normal"/>
              <w:spacing w:lineRule="auto" w:line="480"/>
              <w:rPr/>
            </w:pPr>
            <w:r>
              <w:rPr/>
              <w:t>87.3 ± 6.4</w:t>
            </w:r>
          </w:p>
        </w:tc>
        <w:tc>
          <w:tcPr>
            <w:tcW w:w="2410" w:type="dxa"/>
            <w:tcBorders>
              <w:bottom w:val="single" w:sz="4" w:space="0" w:color="000000"/>
              <w:right w:val="single" w:sz="8" w:space="0" w:color="000000"/>
            </w:tcBorders>
            <w:shd w:color="auto" w:fill="auto" w:val="clear"/>
          </w:tcPr>
          <w:p>
            <w:pPr>
              <w:pStyle w:val="Normal"/>
              <w:spacing w:lineRule="auto" w:line="480"/>
              <w:rPr/>
            </w:pPr>
            <w:r>
              <w:rPr/>
              <w:t>103.3 ± 20.8</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35</w:t>
            </w:r>
          </w:p>
        </w:tc>
        <w:tc>
          <w:tcPr>
            <w:tcW w:w="1521" w:type="dxa"/>
            <w:tcBorders>
              <w:bottom w:val="single" w:sz="4" w:space="0" w:color="000000"/>
              <w:right w:val="single" w:sz="4" w:space="0" w:color="000000"/>
            </w:tcBorders>
            <w:shd w:color="auto" w:fill="auto" w:val="clear"/>
          </w:tcPr>
          <w:p>
            <w:pPr>
              <w:pStyle w:val="Normal"/>
              <w:spacing w:lineRule="auto" w:line="480"/>
              <w:rPr/>
            </w:pPr>
            <w:r>
              <w:rPr/>
              <w:t>90.0 ± 10.0</w:t>
            </w:r>
          </w:p>
        </w:tc>
        <w:tc>
          <w:tcPr>
            <w:tcW w:w="2409" w:type="dxa"/>
            <w:tcBorders>
              <w:bottom w:val="single" w:sz="4" w:space="0" w:color="000000"/>
              <w:right w:val="single" w:sz="4" w:space="0" w:color="000000"/>
            </w:tcBorders>
            <w:shd w:color="auto" w:fill="auto" w:val="clear"/>
          </w:tcPr>
          <w:p>
            <w:pPr>
              <w:pStyle w:val="Normal"/>
              <w:spacing w:lineRule="auto" w:line="480"/>
              <w:rPr/>
            </w:pPr>
            <w:r>
              <w:rPr/>
              <w:t>88.3 ± 2.9</w:t>
            </w:r>
          </w:p>
        </w:tc>
        <w:tc>
          <w:tcPr>
            <w:tcW w:w="2411" w:type="dxa"/>
            <w:tcBorders>
              <w:bottom w:val="single" w:sz="4" w:space="0" w:color="000000"/>
              <w:right w:val="single" w:sz="4" w:space="0" w:color="000000"/>
            </w:tcBorders>
            <w:shd w:color="auto" w:fill="auto" w:val="clear"/>
          </w:tcPr>
          <w:p>
            <w:pPr>
              <w:pStyle w:val="Normal"/>
              <w:spacing w:lineRule="auto" w:line="480"/>
              <w:rPr/>
            </w:pPr>
            <w:r>
              <w:rPr/>
              <w:t>95.0 ± 5.0</w:t>
            </w:r>
          </w:p>
        </w:tc>
        <w:tc>
          <w:tcPr>
            <w:tcW w:w="2410" w:type="dxa"/>
            <w:tcBorders>
              <w:bottom w:val="single" w:sz="4" w:space="0" w:color="000000"/>
              <w:right w:val="single" w:sz="8" w:space="0" w:color="000000"/>
            </w:tcBorders>
            <w:shd w:color="auto" w:fill="auto" w:val="clear"/>
          </w:tcPr>
          <w:p>
            <w:pPr>
              <w:pStyle w:val="Normal"/>
              <w:spacing w:lineRule="auto" w:line="480"/>
              <w:rPr/>
            </w:pPr>
            <w:r>
              <w:rPr/>
              <w:t>93.3 ± 11.5</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42</w:t>
            </w:r>
          </w:p>
        </w:tc>
        <w:tc>
          <w:tcPr>
            <w:tcW w:w="1521" w:type="dxa"/>
            <w:tcBorders>
              <w:bottom w:val="single" w:sz="4" w:space="0" w:color="000000"/>
              <w:right w:val="single" w:sz="4" w:space="0" w:color="000000"/>
            </w:tcBorders>
            <w:shd w:color="auto" w:fill="auto" w:val="clear"/>
          </w:tcPr>
          <w:p>
            <w:pPr>
              <w:pStyle w:val="Normal"/>
              <w:spacing w:lineRule="auto" w:line="480"/>
              <w:rPr/>
            </w:pPr>
            <w:r>
              <w:rPr/>
              <w:t>91.7 ± 2.9</w:t>
            </w:r>
          </w:p>
        </w:tc>
        <w:tc>
          <w:tcPr>
            <w:tcW w:w="2409" w:type="dxa"/>
            <w:tcBorders>
              <w:bottom w:val="single" w:sz="4" w:space="0" w:color="000000"/>
              <w:right w:val="single" w:sz="4" w:space="0" w:color="000000"/>
            </w:tcBorders>
            <w:shd w:color="auto" w:fill="auto" w:val="clear"/>
          </w:tcPr>
          <w:p>
            <w:pPr>
              <w:pStyle w:val="Normal"/>
              <w:spacing w:lineRule="auto" w:line="480"/>
              <w:rPr/>
            </w:pPr>
            <w:r>
              <w:rPr/>
              <w:t>83.3 ± 5.8</w:t>
            </w:r>
          </w:p>
        </w:tc>
        <w:tc>
          <w:tcPr>
            <w:tcW w:w="2411" w:type="dxa"/>
            <w:tcBorders>
              <w:bottom w:val="single" w:sz="4" w:space="0" w:color="000000"/>
              <w:right w:val="single" w:sz="4" w:space="0" w:color="000000"/>
            </w:tcBorders>
            <w:shd w:color="auto" w:fill="auto" w:val="clear"/>
          </w:tcPr>
          <w:p>
            <w:pPr>
              <w:pStyle w:val="Normal"/>
              <w:spacing w:lineRule="auto" w:line="480"/>
              <w:rPr/>
            </w:pPr>
            <w:r>
              <w:rPr/>
              <w:t>94.3 ± 6.0</w:t>
            </w:r>
          </w:p>
        </w:tc>
        <w:tc>
          <w:tcPr>
            <w:tcW w:w="2410" w:type="dxa"/>
            <w:tcBorders>
              <w:bottom w:val="single" w:sz="4" w:space="0" w:color="000000"/>
              <w:right w:val="single" w:sz="8" w:space="0" w:color="000000"/>
            </w:tcBorders>
            <w:shd w:color="auto" w:fill="auto" w:val="clear"/>
          </w:tcPr>
          <w:p>
            <w:pPr>
              <w:pStyle w:val="Normal"/>
              <w:spacing w:lineRule="auto" w:line="480"/>
              <w:rPr/>
            </w:pPr>
            <w:r>
              <w:rPr/>
              <w:t>92.7 ± 4.0</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49</w:t>
            </w:r>
          </w:p>
        </w:tc>
        <w:tc>
          <w:tcPr>
            <w:tcW w:w="1521" w:type="dxa"/>
            <w:tcBorders>
              <w:bottom w:val="single" w:sz="4" w:space="0" w:color="000000"/>
              <w:right w:val="single" w:sz="4" w:space="0" w:color="000000"/>
            </w:tcBorders>
            <w:shd w:color="auto" w:fill="auto" w:val="clear"/>
          </w:tcPr>
          <w:p>
            <w:pPr>
              <w:pStyle w:val="Normal"/>
              <w:spacing w:lineRule="auto" w:line="480"/>
              <w:rPr/>
            </w:pPr>
            <w:r>
              <w:rPr/>
              <w:t>88.3 ± 2.9</w:t>
            </w:r>
          </w:p>
        </w:tc>
        <w:tc>
          <w:tcPr>
            <w:tcW w:w="2409" w:type="dxa"/>
            <w:tcBorders>
              <w:bottom w:val="single" w:sz="4" w:space="0" w:color="000000"/>
              <w:right w:val="single" w:sz="4" w:space="0" w:color="000000"/>
            </w:tcBorders>
            <w:shd w:color="auto" w:fill="auto" w:val="clear"/>
          </w:tcPr>
          <w:p>
            <w:pPr>
              <w:pStyle w:val="Normal"/>
              <w:spacing w:lineRule="auto" w:line="480"/>
              <w:rPr/>
            </w:pPr>
            <w:r>
              <w:rPr/>
              <w:t>86.7 ± 5.8</w:t>
            </w:r>
          </w:p>
        </w:tc>
        <w:tc>
          <w:tcPr>
            <w:tcW w:w="2411" w:type="dxa"/>
            <w:tcBorders>
              <w:bottom w:val="single" w:sz="4" w:space="0" w:color="000000"/>
              <w:right w:val="single" w:sz="4" w:space="0" w:color="000000"/>
            </w:tcBorders>
            <w:shd w:color="auto" w:fill="auto" w:val="clear"/>
          </w:tcPr>
          <w:p>
            <w:pPr>
              <w:pStyle w:val="Normal"/>
              <w:spacing w:lineRule="auto" w:line="480"/>
              <w:rPr/>
            </w:pPr>
            <w:r>
              <w:rPr/>
              <w:t>96.7 ± 5.8</w:t>
            </w:r>
          </w:p>
        </w:tc>
        <w:tc>
          <w:tcPr>
            <w:tcW w:w="2410" w:type="dxa"/>
            <w:tcBorders>
              <w:bottom w:val="single" w:sz="4" w:space="0" w:color="000000"/>
              <w:right w:val="single" w:sz="8" w:space="0" w:color="000000"/>
            </w:tcBorders>
            <w:shd w:color="auto" w:fill="auto" w:val="clear"/>
          </w:tcPr>
          <w:p>
            <w:pPr>
              <w:pStyle w:val="Normal"/>
              <w:spacing w:lineRule="auto" w:line="480"/>
              <w:rPr/>
            </w:pPr>
            <w:r>
              <w:rPr/>
              <w:t>92.7 ± 6.4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tcPr>
          <w:p>
            <w:pPr>
              <w:pStyle w:val="Normal"/>
              <w:spacing w:lineRule="auto" w:line="480"/>
              <w:rPr/>
            </w:pPr>
            <w:r>
              <w:rPr/>
              <w:t>80.7 ± 9.0</w:t>
            </w:r>
          </w:p>
        </w:tc>
        <w:tc>
          <w:tcPr>
            <w:tcW w:w="2409" w:type="dxa"/>
            <w:tcBorders>
              <w:bottom w:val="single" w:sz="4" w:space="0" w:color="000000"/>
              <w:right w:val="single" w:sz="4" w:space="0" w:color="000000"/>
            </w:tcBorders>
            <w:shd w:color="auto" w:fill="auto" w:val="clear"/>
          </w:tcPr>
          <w:p>
            <w:pPr>
              <w:pStyle w:val="Normal"/>
              <w:spacing w:lineRule="auto" w:line="480"/>
              <w:rPr/>
            </w:pPr>
            <w:r>
              <w:rPr/>
              <w:t>88.7 ± 1.2</w:t>
            </w:r>
          </w:p>
        </w:tc>
        <w:tc>
          <w:tcPr>
            <w:tcW w:w="2411" w:type="dxa"/>
            <w:tcBorders>
              <w:bottom w:val="single" w:sz="4" w:space="0" w:color="000000"/>
              <w:right w:val="single" w:sz="4" w:space="0" w:color="000000"/>
            </w:tcBorders>
            <w:shd w:color="auto" w:fill="auto" w:val="clear"/>
          </w:tcPr>
          <w:p>
            <w:pPr>
              <w:pStyle w:val="Normal"/>
              <w:spacing w:lineRule="auto" w:line="480"/>
              <w:rPr/>
            </w:pPr>
            <w:r>
              <w:rPr/>
              <w:t>93.0 ± 8.2</w:t>
            </w:r>
          </w:p>
        </w:tc>
        <w:tc>
          <w:tcPr>
            <w:tcW w:w="2410" w:type="dxa"/>
            <w:tcBorders>
              <w:bottom w:val="single" w:sz="4" w:space="0" w:color="000000"/>
              <w:right w:val="single" w:sz="8" w:space="0" w:color="000000"/>
            </w:tcBorders>
            <w:shd w:color="auto" w:fill="auto" w:val="clear"/>
          </w:tcPr>
          <w:p>
            <w:pPr>
              <w:pStyle w:val="Normal"/>
              <w:spacing w:lineRule="auto" w:line="480"/>
              <w:rPr/>
            </w:pPr>
            <w:r>
              <w:rPr/>
              <w:t>90.3 ± 5.7</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63</w:t>
            </w:r>
          </w:p>
        </w:tc>
        <w:tc>
          <w:tcPr>
            <w:tcW w:w="1521" w:type="dxa"/>
            <w:tcBorders>
              <w:bottom w:val="single" w:sz="4" w:space="0" w:color="000000"/>
              <w:right w:val="single" w:sz="4" w:space="0" w:color="000000"/>
            </w:tcBorders>
            <w:shd w:color="auto" w:fill="auto" w:val="clear"/>
          </w:tcPr>
          <w:p>
            <w:pPr>
              <w:pStyle w:val="Normal"/>
              <w:spacing w:lineRule="auto" w:line="480"/>
              <w:rPr/>
            </w:pPr>
            <w:r>
              <w:rPr/>
              <w:t>83.3 ± 7.0</w:t>
            </w:r>
          </w:p>
        </w:tc>
        <w:tc>
          <w:tcPr>
            <w:tcW w:w="2409" w:type="dxa"/>
            <w:tcBorders>
              <w:bottom w:val="single" w:sz="4" w:space="0" w:color="000000"/>
              <w:right w:val="single" w:sz="4" w:space="0" w:color="000000"/>
            </w:tcBorders>
            <w:shd w:color="auto" w:fill="auto" w:val="clear"/>
          </w:tcPr>
          <w:p>
            <w:pPr>
              <w:pStyle w:val="Normal"/>
              <w:spacing w:lineRule="auto" w:line="480"/>
              <w:rPr/>
            </w:pPr>
            <w:r>
              <w:rPr/>
              <w:t>96.0 ± 4.0</w:t>
            </w:r>
          </w:p>
        </w:tc>
        <w:tc>
          <w:tcPr>
            <w:tcW w:w="2411" w:type="dxa"/>
            <w:tcBorders>
              <w:bottom w:val="single" w:sz="4" w:space="0" w:color="000000"/>
              <w:right w:val="single" w:sz="4" w:space="0" w:color="000000"/>
            </w:tcBorders>
            <w:shd w:color="auto" w:fill="auto" w:val="clear"/>
          </w:tcPr>
          <w:p>
            <w:pPr>
              <w:pStyle w:val="Normal"/>
              <w:spacing w:lineRule="auto" w:line="480"/>
              <w:rPr/>
            </w:pPr>
            <w:r>
              <w:rPr/>
              <w:t>92.0 ± 6.9</w:t>
            </w:r>
          </w:p>
        </w:tc>
        <w:tc>
          <w:tcPr>
            <w:tcW w:w="2410" w:type="dxa"/>
            <w:tcBorders>
              <w:bottom w:val="single" w:sz="4" w:space="0" w:color="000000"/>
              <w:right w:val="single" w:sz="8" w:space="0" w:color="000000"/>
            </w:tcBorders>
            <w:shd w:color="auto" w:fill="auto" w:val="clear"/>
          </w:tcPr>
          <w:p>
            <w:pPr>
              <w:pStyle w:val="Normal"/>
              <w:spacing w:lineRule="auto" w:line="480"/>
              <w:rPr/>
            </w:pPr>
            <w:r>
              <w:rPr/>
              <w:t>96.0 ± 22.3</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70</w:t>
            </w:r>
          </w:p>
        </w:tc>
        <w:tc>
          <w:tcPr>
            <w:tcW w:w="1521" w:type="dxa"/>
            <w:tcBorders>
              <w:bottom w:val="single" w:sz="4" w:space="0" w:color="000000"/>
              <w:right w:val="single" w:sz="4" w:space="0" w:color="000000"/>
            </w:tcBorders>
            <w:shd w:color="auto" w:fill="auto" w:val="clear"/>
          </w:tcPr>
          <w:p>
            <w:pPr>
              <w:pStyle w:val="Normal"/>
              <w:spacing w:lineRule="auto" w:line="480"/>
              <w:rPr/>
            </w:pPr>
            <w:r>
              <w:rPr/>
              <w:t>95.0 ± 13.2</w:t>
            </w:r>
          </w:p>
        </w:tc>
        <w:tc>
          <w:tcPr>
            <w:tcW w:w="2409" w:type="dxa"/>
            <w:tcBorders>
              <w:bottom w:val="single" w:sz="4" w:space="0" w:color="000000"/>
              <w:right w:val="single" w:sz="4" w:space="0" w:color="000000"/>
            </w:tcBorders>
            <w:shd w:color="auto" w:fill="auto" w:val="clear"/>
          </w:tcPr>
          <w:p>
            <w:pPr>
              <w:pStyle w:val="Normal"/>
              <w:spacing w:lineRule="auto" w:line="480"/>
              <w:rPr/>
            </w:pPr>
            <w:r>
              <w:rPr/>
              <w:t>98.3 ± 12.6</w:t>
            </w:r>
          </w:p>
        </w:tc>
        <w:tc>
          <w:tcPr>
            <w:tcW w:w="2411" w:type="dxa"/>
            <w:tcBorders>
              <w:bottom w:val="single" w:sz="4" w:space="0" w:color="000000"/>
              <w:right w:val="single" w:sz="4" w:space="0" w:color="000000"/>
            </w:tcBorders>
            <w:shd w:color="auto" w:fill="auto" w:val="clear"/>
          </w:tcPr>
          <w:p>
            <w:pPr>
              <w:pStyle w:val="Normal"/>
              <w:spacing w:lineRule="auto" w:line="480"/>
              <w:rPr/>
            </w:pPr>
            <w:r>
              <w:rPr/>
              <w:t>100.0 ± 5.0</w:t>
            </w:r>
          </w:p>
        </w:tc>
        <w:tc>
          <w:tcPr>
            <w:tcW w:w="2410" w:type="dxa"/>
            <w:tcBorders>
              <w:bottom w:val="single" w:sz="4" w:space="0" w:color="000000"/>
              <w:right w:val="single" w:sz="8" w:space="0" w:color="000000"/>
            </w:tcBorders>
            <w:shd w:color="auto" w:fill="auto" w:val="clear"/>
          </w:tcPr>
          <w:p>
            <w:pPr>
              <w:pStyle w:val="Normal"/>
              <w:spacing w:lineRule="auto" w:line="480"/>
              <w:rPr/>
            </w:pPr>
            <w:r>
              <w:rPr/>
              <w:t>100.0 ± 10.0</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77</w:t>
            </w:r>
          </w:p>
        </w:tc>
        <w:tc>
          <w:tcPr>
            <w:tcW w:w="1521" w:type="dxa"/>
            <w:tcBorders>
              <w:bottom w:val="single" w:sz="4" w:space="0" w:color="000000"/>
              <w:right w:val="single" w:sz="4" w:space="0" w:color="000000"/>
            </w:tcBorders>
            <w:shd w:color="auto" w:fill="auto" w:val="clear"/>
          </w:tcPr>
          <w:p>
            <w:pPr>
              <w:pStyle w:val="Normal"/>
              <w:spacing w:lineRule="auto" w:line="480"/>
              <w:rPr/>
            </w:pPr>
            <w:r>
              <w:rPr/>
              <w:t>90.0 ± 34.6</w:t>
            </w:r>
          </w:p>
        </w:tc>
        <w:tc>
          <w:tcPr>
            <w:tcW w:w="2409" w:type="dxa"/>
            <w:tcBorders>
              <w:bottom w:val="single" w:sz="4" w:space="0" w:color="000000"/>
              <w:right w:val="single" w:sz="4" w:space="0" w:color="000000"/>
            </w:tcBorders>
            <w:shd w:color="auto" w:fill="auto" w:val="clear"/>
          </w:tcPr>
          <w:p>
            <w:pPr>
              <w:pStyle w:val="Normal"/>
              <w:spacing w:lineRule="auto" w:line="480"/>
              <w:rPr/>
            </w:pPr>
            <w:r>
              <w:rPr/>
              <w:t>100.0 ± 10.0</w:t>
            </w:r>
          </w:p>
        </w:tc>
        <w:tc>
          <w:tcPr>
            <w:tcW w:w="2411" w:type="dxa"/>
            <w:tcBorders>
              <w:bottom w:val="single" w:sz="4" w:space="0" w:color="000000"/>
              <w:right w:val="single" w:sz="4" w:space="0" w:color="000000"/>
            </w:tcBorders>
            <w:shd w:color="auto" w:fill="auto" w:val="clear"/>
          </w:tcPr>
          <w:p>
            <w:pPr>
              <w:pStyle w:val="Normal"/>
              <w:spacing w:lineRule="auto" w:line="480"/>
              <w:rPr/>
            </w:pPr>
            <w:r>
              <w:rPr/>
              <w:t>103.3 ± 15.3</w:t>
            </w:r>
          </w:p>
        </w:tc>
        <w:tc>
          <w:tcPr>
            <w:tcW w:w="2410" w:type="dxa"/>
            <w:tcBorders>
              <w:bottom w:val="single" w:sz="4" w:space="0" w:color="000000"/>
              <w:right w:val="single" w:sz="8" w:space="0" w:color="000000"/>
            </w:tcBorders>
            <w:shd w:color="auto" w:fill="auto" w:val="clear"/>
          </w:tcPr>
          <w:p>
            <w:pPr>
              <w:pStyle w:val="Normal"/>
              <w:spacing w:lineRule="auto" w:line="480"/>
              <w:rPr/>
            </w:pPr>
            <w:r>
              <w:rPr/>
              <w:t>113.3 ± 15.3</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84</w:t>
            </w:r>
          </w:p>
        </w:tc>
        <w:tc>
          <w:tcPr>
            <w:tcW w:w="1521" w:type="dxa"/>
            <w:tcBorders>
              <w:bottom w:val="single" w:sz="4" w:space="0" w:color="000000"/>
              <w:right w:val="single" w:sz="4" w:space="0" w:color="000000"/>
            </w:tcBorders>
            <w:shd w:color="auto" w:fill="auto" w:val="clear"/>
          </w:tcPr>
          <w:p>
            <w:pPr>
              <w:pStyle w:val="Normal"/>
              <w:spacing w:lineRule="auto" w:line="480"/>
              <w:rPr/>
            </w:pPr>
            <w:r>
              <w:rPr/>
              <w:t>80.0 ± 17.3</w:t>
            </w:r>
          </w:p>
        </w:tc>
        <w:tc>
          <w:tcPr>
            <w:tcW w:w="2409" w:type="dxa"/>
            <w:tcBorders>
              <w:bottom w:val="single" w:sz="4" w:space="0" w:color="000000"/>
              <w:right w:val="single" w:sz="4" w:space="0" w:color="000000"/>
            </w:tcBorders>
            <w:shd w:color="auto" w:fill="auto" w:val="clear"/>
          </w:tcPr>
          <w:p>
            <w:pPr>
              <w:pStyle w:val="Normal"/>
              <w:spacing w:lineRule="auto" w:line="480"/>
              <w:rPr/>
            </w:pPr>
            <w:r>
              <w:rPr/>
              <w:t>80.3 ± 4.5</w:t>
            </w:r>
          </w:p>
        </w:tc>
        <w:tc>
          <w:tcPr>
            <w:tcW w:w="2411" w:type="dxa"/>
            <w:tcBorders>
              <w:bottom w:val="single" w:sz="4" w:space="0" w:color="000000"/>
              <w:right w:val="single" w:sz="4" w:space="0" w:color="000000"/>
            </w:tcBorders>
            <w:shd w:color="auto" w:fill="auto" w:val="clear"/>
          </w:tcPr>
          <w:p>
            <w:pPr>
              <w:pStyle w:val="Normal"/>
              <w:spacing w:lineRule="auto" w:line="480"/>
              <w:rPr/>
            </w:pPr>
            <w:r>
              <w:rPr/>
              <w:t>89.3 ± 10.1</w:t>
            </w:r>
          </w:p>
        </w:tc>
        <w:tc>
          <w:tcPr>
            <w:tcW w:w="2410" w:type="dxa"/>
            <w:tcBorders>
              <w:bottom w:val="single" w:sz="4" w:space="0" w:color="000000"/>
              <w:right w:val="single" w:sz="8" w:space="0" w:color="000000"/>
            </w:tcBorders>
            <w:shd w:color="auto" w:fill="auto" w:val="clear"/>
          </w:tcPr>
          <w:p>
            <w:pPr>
              <w:pStyle w:val="Normal"/>
              <w:spacing w:lineRule="auto" w:line="480"/>
              <w:rPr/>
            </w:pPr>
            <w:r>
              <w:rPr/>
              <w:t>97.3 ± 28.4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tcPr>
          <w:p>
            <w:pPr>
              <w:pStyle w:val="Normal"/>
              <w:spacing w:lineRule="auto" w:line="480"/>
              <w:rPr/>
            </w:pPr>
            <w:r>
              <w:rPr/>
              <w:t>91.7 ± 16.1</w:t>
            </w:r>
          </w:p>
        </w:tc>
        <w:tc>
          <w:tcPr>
            <w:tcW w:w="2409" w:type="dxa"/>
            <w:tcBorders>
              <w:bottom w:val="single" w:sz="4" w:space="0" w:color="000000"/>
              <w:right w:val="single" w:sz="4" w:space="0" w:color="000000"/>
            </w:tcBorders>
            <w:shd w:color="auto" w:fill="auto" w:val="clear"/>
          </w:tcPr>
          <w:p>
            <w:pPr>
              <w:pStyle w:val="Normal"/>
              <w:spacing w:lineRule="auto" w:line="480"/>
              <w:rPr/>
            </w:pPr>
            <w:r>
              <w:rPr/>
              <w:t>91.7 ± 7.6</w:t>
            </w:r>
          </w:p>
        </w:tc>
        <w:tc>
          <w:tcPr>
            <w:tcW w:w="2411" w:type="dxa"/>
            <w:tcBorders>
              <w:bottom w:val="single" w:sz="4" w:space="0" w:color="000000"/>
              <w:right w:val="single" w:sz="4" w:space="0" w:color="000000"/>
            </w:tcBorders>
            <w:shd w:color="auto" w:fill="auto" w:val="clear"/>
          </w:tcPr>
          <w:p>
            <w:pPr>
              <w:pStyle w:val="Normal"/>
              <w:spacing w:lineRule="auto" w:line="480"/>
              <w:rPr/>
            </w:pPr>
            <w:r>
              <w:rPr/>
              <w:t>93.3 ± 10.4</w:t>
            </w:r>
          </w:p>
        </w:tc>
        <w:tc>
          <w:tcPr>
            <w:tcW w:w="2410" w:type="dxa"/>
            <w:tcBorders>
              <w:bottom w:val="single" w:sz="4" w:space="0" w:color="000000"/>
              <w:right w:val="single" w:sz="8" w:space="0" w:color="000000"/>
            </w:tcBorders>
            <w:shd w:color="auto" w:fill="auto" w:val="clear"/>
          </w:tcPr>
          <w:p>
            <w:pPr>
              <w:pStyle w:val="Normal"/>
              <w:spacing w:lineRule="auto" w:line="480"/>
              <w:rPr/>
            </w:pPr>
            <w:r>
              <w:rPr/>
              <w:t>95.0 ± 5.0</w:t>
            </w:r>
          </w:p>
        </w:tc>
      </w:tr>
      <w:tr>
        <w:trPr>
          <w:trHeight w:val="300" w:hRule="atLeast"/>
        </w:trPr>
        <w:tc>
          <w:tcPr>
            <w:tcW w:w="9924" w:type="dxa"/>
            <w:gridSpan w:val="5"/>
            <w:tcBorders>
              <w:top w:val="single" w:sz="4" w:space="0" w:color="000000"/>
              <w:left w:val="single" w:sz="8" w:space="0" w:color="000000"/>
              <w:bottom w:val="single" w:sz="4" w:space="0" w:color="000000"/>
              <w:right w:val="single" w:sz="8" w:space="0" w:color="000000"/>
            </w:tcBorders>
            <w:shd w:color="auto" w:fill="auto" w:val="clear"/>
          </w:tcPr>
          <w:p>
            <w:pPr>
              <w:pStyle w:val="Normal"/>
              <w:spacing w:lineRule="auto" w:line="480"/>
              <w:rPr/>
            </w:pPr>
            <w:r>
              <w:rPr/>
              <w:t>Respiration Rate (breaths/minute)</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0</w:t>
            </w:r>
          </w:p>
        </w:tc>
        <w:tc>
          <w:tcPr>
            <w:tcW w:w="1521" w:type="dxa"/>
            <w:tcBorders>
              <w:bottom w:val="single" w:sz="4" w:space="0" w:color="000000"/>
              <w:right w:val="single" w:sz="4" w:space="0" w:color="000000"/>
            </w:tcBorders>
            <w:shd w:color="auto" w:fill="auto" w:val="clear"/>
          </w:tcPr>
          <w:p>
            <w:pPr>
              <w:pStyle w:val="Normal"/>
              <w:spacing w:lineRule="auto" w:line="480"/>
              <w:rPr/>
            </w:pPr>
            <w:r>
              <w:rPr/>
              <w:t>30.0 ± 0.0</w:t>
            </w:r>
          </w:p>
        </w:tc>
        <w:tc>
          <w:tcPr>
            <w:tcW w:w="2409" w:type="dxa"/>
            <w:tcBorders>
              <w:bottom w:val="single" w:sz="4" w:space="0" w:color="000000"/>
              <w:right w:val="single" w:sz="4" w:space="0" w:color="000000"/>
            </w:tcBorders>
            <w:shd w:color="auto" w:fill="auto" w:val="clear"/>
          </w:tcPr>
          <w:p>
            <w:pPr>
              <w:pStyle w:val="Normal"/>
              <w:spacing w:lineRule="auto" w:line="480"/>
              <w:rPr/>
            </w:pPr>
            <w:r>
              <w:rPr/>
              <w:t>24.7 ± 4.2</w:t>
            </w:r>
          </w:p>
        </w:tc>
        <w:tc>
          <w:tcPr>
            <w:tcW w:w="2411" w:type="dxa"/>
            <w:tcBorders>
              <w:bottom w:val="single" w:sz="4" w:space="0" w:color="000000"/>
              <w:right w:val="single" w:sz="4" w:space="0" w:color="000000"/>
            </w:tcBorders>
            <w:shd w:color="auto" w:fill="auto" w:val="clear"/>
          </w:tcPr>
          <w:p>
            <w:pPr>
              <w:pStyle w:val="Normal"/>
              <w:spacing w:lineRule="auto" w:line="480"/>
              <w:rPr/>
            </w:pPr>
            <w:r>
              <w:rPr/>
              <w:t>25.0 ± 0.0</w:t>
            </w:r>
          </w:p>
        </w:tc>
        <w:tc>
          <w:tcPr>
            <w:tcW w:w="2410" w:type="dxa"/>
            <w:tcBorders>
              <w:bottom w:val="single" w:sz="4" w:space="0" w:color="000000"/>
              <w:right w:val="single" w:sz="8" w:space="0" w:color="000000"/>
            </w:tcBorders>
            <w:shd w:color="auto" w:fill="auto" w:val="clear"/>
          </w:tcPr>
          <w:p>
            <w:pPr>
              <w:pStyle w:val="Normal"/>
              <w:spacing w:lineRule="auto" w:line="480"/>
              <w:rPr/>
            </w:pPr>
            <w:r>
              <w:rPr/>
              <w:t>31.0 ± 0.3</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w:t>
            </w:r>
          </w:p>
        </w:tc>
        <w:tc>
          <w:tcPr>
            <w:tcW w:w="1521" w:type="dxa"/>
            <w:tcBorders>
              <w:bottom w:val="single" w:sz="4" w:space="0" w:color="000000"/>
              <w:right w:val="single" w:sz="4" w:space="0" w:color="000000"/>
            </w:tcBorders>
            <w:shd w:color="auto" w:fill="auto" w:val="clear"/>
          </w:tcPr>
          <w:p>
            <w:pPr>
              <w:pStyle w:val="Normal"/>
              <w:spacing w:lineRule="auto" w:line="480"/>
              <w:rPr/>
            </w:pPr>
            <w:r>
              <w:rPr/>
              <w:t>20.0 ± 0.0</w:t>
            </w:r>
          </w:p>
        </w:tc>
        <w:tc>
          <w:tcPr>
            <w:tcW w:w="2409" w:type="dxa"/>
            <w:tcBorders>
              <w:bottom w:val="single" w:sz="4" w:space="0" w:color="000000"/>
              <w:right w:val="single" w:sz="4" w:space="0" w:color="000000"/>
            </w:tcBorders>
            <w:shd w:color="auto" w:fill="auto" w:val="clear"/>
          </w:tcPr>
          <w:p>
            <w:pPr>
              <w:pStyle w:val="Normal"/>
              <w:spacing w:lineRule="auto" w:line="480"/>
              <w:rPr/>
            </w:pPr>
            <w:r>
              <w:rPr/>
              <w:t>27.0 ± 1.7</w:t>
            </w:r>
          </w:p>
        </w:tc>
        <w:tc>
          <w:tcPr>
            <w:tcW w:w="2411" w:type="dxa"/>
            <w:tcBorders>
              <w:bottom w:val="single" w:sz="4" w:space="0" w:color="000000"/>
              <w:right w:val="single" w:sz="4" w:space="0" w:color="000000"/>
            </w:tcBorders>
            <w:shd w:color="auto" w:fill="auto" w:val="clear"/>
          </w:tcPr>
          <w:p>
            <w:pPr>
              <w:pStyle w:val="Normal"/>
              <w:spacing w:lineRule="auto" w:line="480"/>
              <w:rPr/>
            </w:pPr>
            <w:r>
              <w:rPr/>
              <w:t>26.5 ± 2.1</w:t>
            </w:r>
          </w:p>
        </w:tc>
        <w:tc>
          <w:tcPr>
            <w:tcW w:w="2410" w:type="dxa"/>
            <w:tcBorders>
              <w:bottom w:val="single" w:sz="4" w:space="0" w:color="000000"/>
              <w:right w:val="single" w:sz="8" w:space="0" w:color="000000"/>
            </w:tcBorders>
            <w:shd w:color="auto" w:fill="auto" w:val="clear"/>
          </w:tcPr>
          <w:p>
            <w:pPr>
              <w:pStyle w:val="Normal"/>
              <w:spacing w:lineRule="auto" w:line="480"/>
              <w:rPr/>
            </w:pPr>
            <w:r>
              <w:rPr/>
              <w:t>27.5 ± 0.1</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tcPr>
          <w:p>
            <w:pPr>
              <w:pStyle w:val="Normal"/>
              <w:spacing w:lineRule="auto" w:line="480"/>
              <w:rPr/>
            </w:pPr>
            <w:r>
              <w:rPr/>
              <w:t>30.0 ± 0.0</w:t>
            </w:r>
          </w:p>
        </w:tc>
        <w:tc>
          <w:tcPr>
            <w:tcW w:w="2409" w:type="dxa"/>
            <w:tcBorders>
              <w:bottom w:val="single" w:sz="4" w:space="0" w:color="000000"/>
              <w:right w:val="single" w:sz="4" w:space="0" w:color="000000"/>
            </w:tcBorders>
            <w:shd w:color="auto" w:fill="auto" w:val="clear"/>
          </w:tcPr>
          <w:p>
            <w:pPr>
              <w:pStyle w:val="Normal"/>
              <w:spacing w:lineRule="auto" w:line="480"/>
              <w:rPr/>
            </w:pPr>
            <w:r>
              <w:rPr/>
              <w:t>23.0 ± 0.0</w:t>
            </w:r>
          </w:p>
        </w:tc>
        <w:tc>
          <w:tcPr>
            <w:tcW w:w="2411" w:type="dxa"/>
            <w:tcBorders>
              <w:bottom w:val="single" w:sz="4" w:space="0" w:color="000000"/>
              <w:right w:val="single" w:sz="4" w:space="0" w:color="000000"/>
            </w:tcBorders>
            <w:shd w:color="auto" w:fill="auto" w:val="clear"/>
          </w:tcPr>
          <w:p>
            <w:pPr>
              <w:pStyle w:val="Normal"/>
              <w:spacing w:lineRule="auto" w:line="480"/>
              <w:rPr/>
            </w:pPr>
            <w:r>
              <w:rPr/>
              <w:t>28.0 ± 0.0</w:t>
            </w:r>
          </w:p>
        </w:tc>
        <w:tc>
          <w:tcPr>
            <w:tcW w:w="2410" w:type="dxa"/>
            <w:tcBorders>
              <w:bottom w:val="single" w:sz="4" w:space="0" w:color="000000"/>
              <w:right w:val="single" w:sz="8" w:space="0" w:color="000000"/>
            </w:tcBorders>
            <w:shd w:color="auto" w:fill="auto" w:val="clear"/>
          </w:tcPr>
          <w:p>
            <w:pPr>
              <w:pStyle w:val="Normal"/>
              <w:spacing w:lineRule="auto" w:line="480"/>
              <w:rPr/>
            </w:pPr>
            <w:r>
              <w:rPr/>
              <w:t>28.0 ± 0.4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21</w:t>
            </w:r>
          </w:p>
        </w:tc>
        <w:tc>
          <w:tcPr>
            <w:tcW w:w="1521" w:type="dxa"/>
            <w:tcBorders>
              <w:bottom w:val="single" w:sz="4" w:space="0" w:color="000000"/>
              <w:right w:val="single" w:sz="4" w:space="0" w:color="000000"/>
            </w:tcBorders>
            <w:shd w:color="auto" w:fill="auto" w:val="clear"/>
          </w:tcPr>
          <w:p>
            <w:pPr>
              <w:pStyle w:val="Normal"/>
              <w:spacing w:lineRule="auto" w:line="480"/>
              <w:rPr/>
            </w:pPr>
            <w:r>
              <w:rPr/>
              <w:t>21.0 ± 0.0</w:t>
            </w:r>
          </w:p>
        </w:tc>
        <w:tc>
          <w:tcPr>
            <w:tcW w:w="2409" w:type="dxa"/>
            <w:tcBorders>
              <w:bottom w:val="single" w:sz="4" w:space="0" w:color="000000"/>
              <w:right w:val="single" w:sz="4" w:space="0" w:color="000000"/>
            </w:tcBorders>
            <w:shd w:color="auto" w:fill="auto" w:val="clear"/>
          </w:tcPr>
          <w:p>
            <w:pPr>
              <w:pStyle w:val="Normal"/>
              <w:spacing w:lineRule="auto" w:line="480"/>
              <w:rPr/>
            </w:pPr>
            <w:r>
              <w:rPr/>
              <w:t>22.5 ± 3.5</w:t>
            </w:r>
          </w:p>
        </w:tc>
        <w:tc>
          <w:tcPr>
            <w:tcW w:w="2411" w:type="dxa"/>
            <w:tcBorders>
              <w:bottom w:val="single" w:sz="4" w:space="0" w:color="000000"/>
              <w:right w:val="single" w:sz="4" w:space="0" w:color="000000"/>
            </w:tcBorders>
            <w:shd w:color="auto" w:fill="auto" w:val="clear"/>
          </w:tcPr>
          <w:p>
            <w:pPr>
              <w:pStyle w:val="Normal"/>
              <w:spacing w:lineRule="auto" w:line="480"/>
              <w:rPr/>
            </w:pPr>
            <w:r>
              <w:rPr/>
              <w:t>25.0 ± 0.0</w:t>
            </w:r>
          </w:p>
        </w:tc>
        <w:tc>
          <w:tcPr>
            <w:tcW w:w="2410" w:type="dxa"/>
            <w:tcBorders>
              <w:bottom w:val="single" w:sz="4" w:space="0" w:color="000000"/>
              <w:right w:val="single" w:sz="8" w:space="0" w:color="000000"/>
            </w:tcBorders>
            <w:shd w:color="auto" w:fill="auto" w:val="clear"/>
          </w:tcPr>
          <w:p>
            <w:pPr>
              <w:pStyle w:val="Normal"/>
              <w:spacing w:lineRule="auto" w:line="480"/>
              <w:rPr/>
            </w:pPr>
            <w:r>
              <w:rPr/>
              <w:t>30.0 ± 0.3</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tcPr>
          <w:p>
            <w:pPr>
              <w:pStyle w:val="Normal"/>
              <w:spacing w:lineRule="auto" w:line="480"/>
              <w:rPr/>
            </w:pPr>
            <w:r>
              <w:rPr/>
              <w:t>25.5 ± 0.7</w:t>
            </w:r>
          </w:p>
        </w:tc>
        <w:tc>
          <w:tcPr>
            <w:tcW w:w="2409" w:type="dxa"/>
            <w:tcBorders>
              <w:bottom w:val="single" w:sz="4" w:space="0" w:color="000000"/>
              <w:right w:val="single" w:sz="4" w:space="0" w:color="000000"/>
            </w:tcBorders>
            <w:shd w:color="auto" w:fill="auto" w:val="clear"/>
          </w:tcPr>
          <w:p>
            <w:pPr>
              <w:pStyle w:val="Normal"/>
              <w:spacing w:lineRule="auto" w:line="480"/>
              <w:rPr/>
            </w:pPr>
            <w:r>
              <w:rPr/>
              <w:t>26.0 ± 3.5</w:t>
            </w:r>
          </w:p>
        </w:tc>
        <w:tc>
          <w:tcPr>
            <w:tcW w:w="2411" w:type="dxa"/>
            <w:tcBorders>
              <w:bottom w:val="single" w:sz="4" w:space="0" w:color="000000"/>
              <w:right w:val="single" w:sz="4" w:space="0" w:color="000000"/>
            </w:tcBorders>
            <w:shd w:color="auto" w:fill="auto" w:val="clear"/>
          </w:tcPr>
          <w:p>
            <w:pPr>
              <w:pStyle w:val="Normal"/>
              <w:spacing w:lineRule="auto" w:line="480"/>
              <w:rPr/>
            </w:pPr>
            <w:r>
              <w:rPr/>
              <w:t>30.0 ± 0.0</w:t>
            </w:r>
          </w:p>
        </w:tc>
        <w:tc>
          <w:tcPr>
            <w:tcW w:w="2410" w:type="dxa"/>
            <w:tcBorders>
              <w:bottom w:val="single" w:sz="4" w:space="0" w:color="000000"/>
              <w:right w:val="single" w:sz="8" w:space="0" w:color="000000"/>
            </w:tcBorders>
            <w:shd w:color="auto" w:fill="auto" w:val="clear"/>
          </w:tcPr>
          <w:p>
            <w:pPr>
              <w:pStyle w:val="Normal"/>
              <w:spacing w:lineRule="auto" w:line="480"/>
              <w:rPr/>
            </w:pPr>
            <w:r>
              <w:rPr/>
              <w:t>30.0 ± 0.8</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35</w:t>
            </w:r>
          </w:p>
        </w:tc>
        <w:tc>
          <w:tcPr>
            <w:tcW w:w="1521" w:type="dxa"/>
            <w:tcBorders>
              <w:bottom w:val="single" w:sz="4" w:space="0" w:color="000000"/>
              <w:right w:val="single" w:sz="4" w:space="0" w:color="000000"/>
            </w:tcBorders>
            <w:shd w:color="auto" w:fill="auto" w:val="clear"/>
          </w:tcPr>
          <w:p>
            <w:pPr>
              <w:pStyle w:val="Normal"/>
              <w:spacing w:lineRule="auto" w:line="480"/>
              <w:rPr/>
            </w:pPr>
            <w:r>
              <w:rPr/>
              <w:t>26.0 ± 2.8</w:t>
            </w:r>
          </w:p>
        </w:tc>
        <w:tc>
          <w:tcPr>
            <w:tcW w:w="2409" w:type="dxa"/>
            <w:tcBorders>
              <w:bottom w:val="single" w:sz="4" w:space="0" w:color="000000"/>
              <w:right w:val="single" w:sz="4" w:space="0" w:color="000000"/>
            </w:tcBorders>
            <w:shd w:color="auto" w:fill="auto" w:val="clear"/>
          </w:tcPr>
          <w:p>
            <w:pPr>
              <w:pStyle w:val="Normal"/>
              <w:spacing w:lineRule="auto" w:line="480"/>
              <w:rPr/>
            </w:pPr>
            <w:r>
              <w:rPr/>
              <w:t>24.7 ± 3.1</w:t>
            </w:r>
          </w:p>
        </w:tc>
        <w:tc>
          <w:tcPr>
            <w:tcW w:w="2411" w:type="dxa"/>
            <w:tcBorders>
              <w:bottom w:val="single" w:sz="4" w:space="0" w:color="000000"/>
              <w:right w:val="single" w:sz="4" w:space="0" w:color="000000"/>
            </w:tcBorders>
            <w:shd w:color="auto" w:fill="auto" w:val="clear"/>
          </w:tcPr>
          <w:p>
            <w:pPr>
              <w:pStyle w:val="Normal"/>
              <w:spacing w:lineRule="auto" w:line="480"/>
              <w:rPr/>
            </w:pPr>
            <w:r>
              <w:rPr/>
              <w:t>34.0 ± 8.5</w:t>
            </w:r>
          </w:p>
        </w:tc>
        <w:tc>
          <w:tcPr>
            <w:tcW w:w="2410" w:type="dxa"/>
            <w:tcBorders>
              <w:bottom w:val="single" w:sz="4" w:space="0" w:color="000000"/>
              <w:right w:val="single" w:sz="8" w:space="0" w:color="000000"/>
            </w:tcBorders>
            <w:shd w:color="auto" w:fill="auto" w:val="clear"/>
          </w:tcPr>
          <w:p>
            <w:pPr>
              <w:pStyle w:val="Normal"/>
              <w:spacing w:lineRule="auto" w:line="480"/>
              <w:rPr/>
            </w:pPr>
            <w:r>
              <w:rPr/>
              <w:t>27.0 ± 0.4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42</w:t>
            </w:r>
          </w:p>
        </w:tc>
        <w:tc>
          <w:tcPr>
            <w:tcW w:w="1521" w:type="dxa"/>
            <w:tcBorders>
              <w:bottom w:val="single" w:sz="4" w:space="0" w:color="000000"/>
              <w:right w:val="single" w:sz="4" w:space="0" w:color="000000"/>
            </w:tcBorders>
            <w:shd w:color="auto" w:fill="auto" w:val="clear"/>
          </w:tcPr>
          <w:p>
            <w:pPr>
              <w:pStyle w:val="Normal"/>
              <w:spacing w:lineRule="auto" w:line="480"/>
              <w:rPr/>
            </w:pPr>
            <w:r>
              <w:rPr/>
              <w:t>26.7 ± 3.1</w:t>
            </w:r>
          </w:p>
        </w:tc>
        <w:tc>
          <w:tcPr>
            <w:tcW w:w="2409" w:type="dxa"/>
            <w:tcBorders>
              <w:bottom w:val="single" w:sz="4" w:space="0" w:color="000000"/>
              <w:right w:val="single" w:sz="4" w:space="0" w:color="000000"/>
            </w:tcBorders>
            <w:shd w:color="auto" w:fill="auto" w:val="clear"/>
          </w:tcPr>
          <w:p>
            <w:pPr>
              <w:pStyle w:val="Normal"/>
              <w:spacing w:lineRule="auto" w:line="480"/>
              <w:rPr/>
            </w:pPr>
            <w:r>
              <w:rPr/>
              <w:t>24.0 ± 0.0</w:t>
            </w:r>
          </w:p>
        </w:tc>
        <w:tc>
          <w:tcPr>
            <w:tcW w:w="2411" w:type="dxa"/>
            <w:tcBorders>
              <w:bottom w:val="single" w:sz="4" w:space="0" w:color="000000"/>
              <w:right w:val="single" w:sz="4" w:space="0" w:color="000000"/>
            </w:tcBorders>
            <w:shd w:color="auto" w:fill="auto" w:val="clear"/>
          </w:tcPr>
          <w:p>
            <w:pPr>
              <w:pStyle w:val="Normal"/>
              <w:spacing w:lineRule="auto" w:line="480"/>
              <w:rPr/>
            </w:pPr>
            <w:r>
              <w:rPr/>
              <w:t>37.3 ± 19.7</w:t>
            </w:r>
          </w:p>
        </w:tc>
        <w:tc>
          <w:tcPr>
            <w:tcW w:w="2410" w:type="dxa"/>
            <w:tcBorders>
              <w:bottom w:val="single" w:sz="4" w:space="0" w:color="000000"/>
              <w:right w:val="single" w:sz="8" w:space="0" w:color="000000"/>
            </w:tcBorders>
            <w:shd w:color="auto" w:fill="auto" w:val="clear"/>
          </w:tcPr>
          <w:p>
            <w:pPr>
              <w:pStyle w:val="Normal"/>
              <w:spacing w:lineRule="auto" w:line="480"/>
              <w:rPr/>
            </w:pPr>
            <w:r>
              <w:rPr/>
              <w:t>23.3 ± 0.2</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49</w:t>
            </w:r>
          </w:p>
        </w:tc>
        <w:tc>
          <w:tcPr>
            <w:tcW w:w="1521" w:type="dxa"/>
            <w:tcBorders>
              <w:bottom w:val="single" w:sz="4" w:space="0" w:color="000000"/>
              <w:right w:val="single" w:sz="4" w:space="0" w:color="000000"/>
            </w:tcBorders>
            <w:shd w:color="auto" w:fill="auto" w:val="clear"/>
          </w:tcPr>
          <w:p>
            <w:pPr>
              <w:pStyle w:val="Normal"/>
              <w:spacing w:lineRule="auto" w:line="480"/>
              <w:rPr/>
            </w:pPr>
            <w:r>
              <w:rPr/>
              <w:t>---</w:t>
            </w:r>
          </w:p>
        </w:tc>
        <w:tc>
          <w:tcPr>
            <w:tcW w:w="2409" w:type="dxa"/>
            <w:tcBorders>
              <w:bottom w:val="single" w:sz="4" w:space="0" w:color="000000"/>
              <w:right w:val="single" w:sz="4" w:space="0" w:color="000000"/>
            </w:tcBorders>
            <w:shd w:color="auto" w:fill="auto" w:val="clear"/>
          </w:tcPr>
          <w:p>
            <w:pPr>
              <w:pStyle w:val="Normal"/>
              <w:spacing w:lineRule="auto" w:line="480"/>
              <w:rPr/>
            </w:pPr>
            <w:r>
              <w:rPr/>
              <w:t>26.0 ± 3.5</w:t>
            </w:r>
          </w:p>
        </w:tc>
        <w:tc>
          <w:tcPr>
            <w:tcW w:w="2411" w:type="dxa"/>
            <w:tcBorders>
              <w:bottom w:val="single" w:sz="4" w:space="0" w:color="000000"/>
              <w:right w:val="single" w:sz="4" w:space="0" w:color="000000"/>
            </w:tcBorders>
            <w:shd w:color="auto" w:fill="auto" w:val="clear"/>
          </w:tcPr>
          <w:p>
            <w:pPr>
              <w:pStyle w:val="Normal"/>
              <w:spacing w:lineRule="auto" w:line="480"/>
              <w:rPr/>
            </w:pPr>
            <w:r>
              <w:rPr/>
              <w:t>30.0 ± 0.0</w:t>
            </w:r>
          </w:p>
        </w:tc>
        <w:tc>
          <w:tcPr>
            <w:tcW w:w="2410" w:type="dxa"/>
            <w:tcBorders>
              <w:bottom w:val="single" w:sz="4" w:space="0" w:color="000000"/>
              <w:right w:val="single" w:sz="8" w:space="0" w:color="000000"/>
            </w:tcBorders>
            <w:shd w:color="auto" w:fill="auto" w:val="clear"/>
          </w:tcPr>
          <w:p>
            <w:pPr>
              <w:pStyle w:val="Normal"/>
              <w:spacing w:lineRule="auto" w:line="480"/>
              <w:rPr/>
            </w:pPr>
            <w:r>
              <w:rPr/>
              <w:t>30.0 ± 0.6</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tcPr>
          <w:p>
            <w:pPr>
              <w:pStyle w:val="Normal"/>
              <w:spacing w:lineRule="auto" w:line="480"/>
              <w:rPr/>
            </w:pPr>
            <w:r>
              <w:rPr/>
              <w:t>24.7 ± 1.2</w:t>
            </w:r>
          </w:p>
        </w:tc>
        <w:tc>
          <w:tcPr>
            <w:tcW w:w="2409" w:type="dxa"/>
            <w:tcBorders>
              <w:bottom w:val="single" w:sz="4" w:space="0" w:color="000000"/>
              <w:right w:val="single" w:sz="4" w:space="0" w:color="000000"/>
            </w:tcBorders>
            <w:shd w:color="auto" w:fill="auto" w:val="clear"/>
          </w:tcPr>
          <w:p>
            <w:pPr>
              <w:pStyle w:val="Normal"/>
              <w:spacing w:lineRule="auto" w:line="480"/>
              <w:rPr/>
            </w:pPr>
            <w:r>
              <w:rPr/>
              <w:t>24.7 ± 1.2</w:t>
            </w:r>
          </w:p>
        </w:tc>
        <w:tc>
          <w:tcPr>
            <w:tcW w:w="2411" w:type="dxa"/>
            <w:tcBorders>
              <w:bottom w:val="single" w:sz="4" w:space="0" w:color="000000"/>
              <w:right w:val="single" w:sz="4" w:space="0" w:color="000000"/>
            </w:tcBorders>
            <w:shd w:color="auto" w:fill="auto" w:val="clear"/>
          </w:tcPr>
          <w:p>
            <w:pPr>
              <w:pStyle w:val="Normal"/>
              <w:spacing w:lineRule="auto" w:line="480"/>
              <w:rPr/>
            </w:pPr>
            <w:r>
              <w:rPr/>
              <w:t>31.0 ± 1.4</w:t>
            </w:r>
          </w:p>
        </w:tc>
        <w:tc>
          <w:tcPr>
            <w:tcW w:w="2410" w:type="dxa"/>
            <w:tcBorders>
              <w:bottom w:val="single" w:sz="4" w:space="0" w:color="000000"/>
              <w:right w:val="single" w:sz="8" w:space="0" w:color="000000"/>
            </w:tcBorders>
            <w:shd w:color="auto" w:fill="auto" w:val="clear"/>
          </w:tcPr>
          <w:p>
            <w:pPr>
              <w:pStyle w:val="Normal"/>
              <w:spacing w:lineRule="auto" w:line="480"/>
              <w:rPr/>
            </w:pPr>
            <w:r>
              <w:rPr/>
              <w:t>24.0 ± 0.4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63</w:t>
            </w:r>
          </w:p>
        </w:tc>
        <w:tc>
          <w:tcPr>
            <w:tcW w:w="1521" w:type="dxa"/>
            <w:tcBorders>
              <w:bottom w:val="single" w:sz="4" w:space="0" w:color="000000"/>
              <w:right w:val="single" w:sz="4" w:space="0" w:color="000000"/>
            </w:tcBorders>
            <w:shd w:color="auto" w:fill="auto" w:val="clear"/>
          </w:tcPr>
          <w:p>
            <w:pPr>
              <w:pStyle w:val="Normal"/>
              <w:spacing w:lineRule="auto" w:line="480"/>
              <w:rPr/>
            </w:pPr>
            <w:r>
              <w:rPr/>
              <w:t>---</w:t>
            </w:r>
          </w:p>
        </w:tc>
        <w:tc>
          <w:tcPr>
            <w:tcW w:w="2409" w:type="dxa"/>
            <w:tcBorders>
              <w:bottom w:val="single" w:sz="4" w:space="0" w:color="000000"/>
              <w:right w:val="single" w:sz="4" w:space="0" w:color="000000"/>
            </w:tcBorders>
            <w:shd w:color="auto" w:fill="auto" w:val="clear"/>
          </w:tcPr>
          <w:p>
            <w:pPr>
              <w:pStyle w:val="Normal"/>
              <w:spacing w:lineRule="auto" w:line="480"/>
              <w:rPr/>
            </w:pPr>
            <w:r>
              <w:rPr/>
              <w:t>24.0 ± 0.0</w:t>
            </w:r>
          </w:p>
        </w:tc>
        <w:tc>
          <w:tcPr>
            <w:tcW w:w="2411" w:type="dxa"/>
            <w:tcBorders>
              <w:bottom w:val="single" w:sz="4" w:space="0" w:color="000000"/>
              <w:right w:val="single" w:sz="4" w:space="0" w:color="000000"/>
            </w:tcBorders>
            <w:shd w:color="auto" w:fill="auto" w:val="clear"/>
          </w:tcPr>
          <w:p>
            <w:pPr>
              <w:pStyle w:val="Normal"/>
              <w:spacing w:lineRule="auto" w:line="480"/>
              <w:rPr/>
            </w:pPr>
            <w:r>
              <w:rPr/>
              <w:t>24.0 ± 0.0</w:t>
            </w:r>
          </w:p>
        </w:tc>
        <w:tc>
          <w:tcPr>
            <w:tcW w:w="2410" w:type="dxa"/>
            <w:tcBorders>
              <w:bottom w:val="single" w:sz="4" w:space="0" w:color="000000"/>
              <w:right w:val="single" w:sz="8" w:space="0" w:color="000000"/>
            </w:tcBorders>
            <w:shd w:color="auto" w:fill="auto" w:val="clear"/>
          </w:tcPr>
          <w:p>
            <w:pPr>
              <w:pStyle w:val="Normal"/>
              <w:spacing w:lineRule="auto" w:line="480"/>
              <w:rPr/>
            </w:pPr>
            <w:r>
              <w:rPr/>
              <w:t>28.0 ± 0.8</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70</w:t>
            </w:r>
          </w:p>
        </w:tc>
        <w:tc>
          <w:tcPr>
            <w:tcW w:w="1521" w:type="dxa"/>
            <w:tcBorders>
              <w:bottom w:val="single" w:sz="4" w:space="0" w:color="000000"/>
              <w:right w:val="single" w:sz="4" w:space="0" w:color="000000"/>
            </w:tcBorders>
            <w:shd w:color="auto" w:fill="auto" w:val="clear"/>
          </w:tcPr>
          <w:p>
            <w:pPr>
              <w:pStyle w:val="Normal"/>
              <w:spacing w:lineRule="auto" w:line="480"/>
              <w:rPr/>
            </w:pPr>
            <w:r>
              <w:rPr/>
              <w:t>35.0 ± 7.1</w:t>
            </w:r>
          </w:p>
        </w:tc>
        <w:tc>
          <w:tcPr>
            <w:tcW w:w="2409" w:type="dxa"/>
            <w:tcBorders>
              <w:bottom w:val="single" w:sz="4" w:space="0" w:color="000000"/>
              <w:right w:val="single" w:sz="4" w:space="0" w:color="000000"/>
            </w:tcBorders>
            <w:shd w:color="auto" w:fill="auto" w:val="clear"/>
          </w:tcPr>
          <w:p>
            <w:pPr>
              <w:pStyle w:val="Normal"/>
              <w:spacing w:lineRule="auto" w:line="480"/>
              <w:rPr/>
            </w:pPr>
            <w:r>
              <w:rPr/>
              <w:t>30.3 ± 4.0</w:t>
            </w:r>
          </w:p>
        </w:tc>
        <w:tc>
          <w:tcPr>
            <w:tcW w:w="2411" w:type="dxa"/>
            <w:tcBorders>
              <w:bottom w:val="single" w:sz="4" w:space="0" w:color="000000"/>
              <w:right w:val="single" w:sz="4" w:space="0" w:color="000000"/>
            </w:tcBorders>
            <w:shd w:color="auto" w:fill="auto" w:val="clear"/>
          </w:tcPr>
          <w:p>
            <w:pPr>
              <w:pStyle w:val="Normal"/>
              <w:spacing w:lineRule="auto" w:line="480"/>
              <w:rPr/>
            </w:pPr>
            <w:r>
              <w:rPr/>
              <w:t>35.0 ± 7.1</w:t>
            </w:r>
          </w:p>
        </w:tc>
        <w:tc>
          <w:tcPr>
            <w:tcW w:w="2410" w:type="dxa"/>
            <w:tcBorders>
              <w:bottom w:val="single" w:sz="4" w:space="0" w:color="000000"/>
              <w:right w:val="single" w:sz="8" w:space="0" w:color="000000"/>
            </w:tcBorders>
            <w:shd w:color="auto" w:fill="auto" w:val="clear"/>
          </w:tcPr>
          <w:p>
            <w:pPr>
              <w:pStyle w:val="Normal"/>
              <w:spacing w:lineRule="auto" w:line="480"/>
              <w:rPr/>
            </w:pPr>
            <w:r>
              <w:rPr/>
              <w:t>45.0 ± 0.4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77</w:t>
            </w:r>
          </w:p>
        </w:tc>
        <w:tc>
          <w:tcPr>
            <w:tcW w:w="1521" w:type="dxa"/>
            <w:tcBorders>
              <w:bottom w:val="single" w:sz="4" w:space="0" w:color="000000"/>
              <w:right w:val="single" w:sz="4" w:space="0" w:color="000000"/>
            </w:tcBorders>
            <w:shd w:color="auto" w:fill="auto" w:val="clear"/>
          </w:tcPr>
          <w:p>
            <w:pPr>
              <w:pStyle w:val="Normal"/>
              <w:spacing w:lineRule="auto" w:line="480"/>
              <w:rPr/>
            </w:pPr>
            <w:r>
              <w:rPr/>
              <w:t>26.5 ± 2.1</w:t>
            </w:r>
          </w:p>
        </w:tc>
        <w:tc>
          <w:tcPr>
            <w:tcW w:w="2409" w:type="dxa"/>
            <w:tcBorders>
              <w:bottom w:val="single" w:sz="4" w:space="0" w:color="000000"/>
              <w:right w:val="single" w:sz="4" w:space="0" w:color="000000"/>
            </w:tcBorders>
            <w:shd w:color="auto" w:fill="auto" w:val="clear"/>
          </w:tcPr>
          <w:p>
            <w:pPr>
              <w:pStyle w:val="Normal"/>
              <w:spacing w:lineRule="auto" w:line="480"/>
              <w:rPr/>
            </w:pPr>
            <w:r>
              <w:rPr/>
              <w:t>37.3 ± 4.6</w:t>
            </w:r>
          </w:p>
        </w:tc>
        <w:tc>
          <w:tcPr>
            <w:tcW w:w="2411" w:type="dxa"/>
            <w:tcBorders>
              <w:bottom w:val="single" w:sz="4" w:space="0" w:color="000000"/>
              <w:right w:val="single" w:sz="4" w:space="0" w:color="000000"/>
            </w:tcBorders>
            <w:shd w:color="auto" w:fill="auto" w:val="clear"/>
          </w:tcPr>
          <w:p>
            <w:pPr>
              <w:pStyle w:val="Normal"/>
              <w:spacing w:lineRule="auto" w:line="480"/>
              <w:rPr/>
            </w:pPr>
            <w:r>
              <w:rPr/>
              <w:t>---</w:t>
            </w:r>
          </w:p>
        </w:tc>
        <w:tc>
          <w:tcPr>
            <w:tcW w:w="2410" w:type="dxa"/>
            <w:tcBorders>
              <w:bottom w:val="single" w:sz="4" w:space="0" w:color="000000"/>
              <w:right w:val="single" w:sz="8" w:space="0" w:color="000000"/>
            </w:tcBorders>
            <w:shd w:color="auto" w:fill="auto" w:val="clear"/>
          </w:tcPr>
          <w:p>
            <w:pPr>
              <w:pStyle w:val="Normal"/>
              <w:spacing w:lineRule="auto" w:line="480"/>
              <w:rPr/>
            </w:pPr>
            <w:r>
              <w:rPr/>
              <w:t>43.0 ± 0.4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84</w:t>
            </w:r>
          </w:p>
        </w:tc>
        <w:tc>
          <w:tcPr>
            <w:tcW w:w="1521" w:type="dxa"/>
            <w:tcBorders>
              <w:bottom w:val="single" w:sz="4" w:space="0" w:color="000000"/>
              <w:right w:val="single" w:sz="4" w:space="0" w:color="000000"/>
            </w:tcBorders>
            <w:shd w:color="auto" w:fill="auto" w:val="clear"/>
          </w:tcPr>
          <w:p>
            <w:pPr>
              <w:pStyle w:val="Normal"/>
              <w:spacing w:lineRule="auto" w:line="480"/>
              <w:rPr/>
            </w:pPr>
            <w:r>
              <w:rPr/>
              <w:t>33.0 ± 6.2</w:t>
            </w:r>
          </w:p>
        </w:tc>
        <w:tc>
          <w:tcPr>
            <w:tcW w:w="2409" w:type="dxa"/>
            <w:tcBorders>
              <w:bottom w:val="single" w:sz="4" w:space="0" w:color="000000"/>
              <w:right w:val="single" w:sz="4" w:space="0" w:color="000000"/>
            </w:tcBorders>
            <w:shd w:color="auto" w:fill="auto" w:val="clear"/>
          </w:tcPr>
          <w:p>
            <w:pPr>
              <w:pStyle w:val="Normal"/>
              <w:spacing w:lineRule="auto" w:line="480"/>
              <w:rPr/>
            </w:pPr>
            <w:r>
              <w:rPr/>
              <w:t>20.0 ± 5.7</w:t>
            </w:r>
          </w:p>
        </w:tc>
        <w:tc>
          <w:tcPr>
            <w:tcW w:w="2411" w:type="dxa"/>
            <w:tcBorders>
              <w:bottom w:val="single" w:sz="4" w:space="0" w:color="000000"/>
              <w:right w:val="single" w:sz="4" w:space="0" w:color="000000"/>
            </w:tcBorders>
            <w:shd w:color="auto" w:fill="auto" w:val="clear"/>
          </w:tcPr>
          <w:p>
            <w:pPr>
              <w:pStyle w:val="Normal"/>
              <w:spacing w:lineRule="auto" w:line="480"/>
              <w:rPr/>
            </w:pPr>
            <w:r>
              <w:rPr/>
              <w:t>29.3 ± 12.9</w:t>
            </w:r>
          </w:p>
        </w:tc>
        <w:tc>
          <w:tcPr>
            <w:tcW w:w="2410" w:type="dxa"/>
            <w:tcBorders>
              <w:bottom w:val="single" w:sz="4" w:space="0" w:color="000000"/>
              <w:right w:val="single" w:sz="8" w:space="0" w:color="000000"/>
            </w:tcBorders>
            <w:shd w:color="auto" w:fill="auto" w:val="clear"/>
          </w:tcPr>
          <w:p>
            <w:pPr>
              <w:pStyle w:val="Normal"/>
              <w:spacing w:lineRule="auto" w:line="480"/>
              <w:rPr/>
            </w:pPr>
            <w:r>
              <w:rPr/>
              <w:t>36.0 ± 0.2</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tcPr>
          <w:p>
            <w:pPr>
              <w:pStyle w:val="Normal"/>
              <w:spacing w:lineRule="auto" w:line="480"/>
              <w:rPr/>
            </w:pPr>
            <w:r>
              <w:rPr/>
              <w:t>31.5 ± 4.9</w:t>
            </w:r>
          </w:p>
        </w:tc>
        <w:tc>
          <w:tcPr>
            <w:tcW w:w="2409" w:type="dxa"/>
            <w:tcBorders>
              <w:bottom w:val="single" w:sz="4" w:space="0" w:color="000000"/>
              <w:right w:val="single" w:sz="4" w:space="0" w:color="000000"/>
            </w:tcBorders>
            <w:shd w:color="auto" w:fill="auto" w:val="clear"/>
          </w:tcPr>
          <w:p>
            <w:pPr>
              <w:pStyle w:val="Normal"/>
              <w:spacing w:lineRule="auto" w:line="480"/>
              <w:rPr/>
            </w:pPr>
            <w:r>
              <w:rPr/>
              <w:t>26.7 ± 4.2</w:t>
            </w:r>
          </w:p>
        </w:tc>
        <w:tc>
          <w:tcPr>
            <w:tcW w:w="2411" w:type="dxa"/>
            <w:tcBorders>
              <w:bottom w:val="single" w:sz="4" w:space="0" w:color="000000"/>
              <w:right w:val="single" w:sz="4" w:space="0" w:color="000000"/>
            </w:tcBorders>
            <w:shd w:color="auto" w:fill="auto" w:val="clear"/>
          </w:tcPr>
          <w:p>
            <w:pPr>
              <w:pStyle w:val="Normal"/>
              <w:spacing w:lineRule="auto" w:line="480"/>
              <w:rPr/>
            </w:pPr>
            <w:r>
              <w:rPr/>
              <w:t>32.5 ± 0.7</w:t>
            </w:r>
          </w:p>
        </w:tc>
        <w:tc>
          <w:tcPr>
            <w:tcW w:w="2410" w:type="dxa"/>
            <w:tcBorders>
              <w:bottom w:val="single" w:sz="4" w:space="0" w:color="000000"/>
              <w:right w:val="single" w:sz="8" w:space="0" w:color="000000"/>
            </w:tcBorders>
            <w:shd w:color="auto" w:fill="auto" w:val="clear"/>
          </w:tcPr>
          <w:p>
            <w:pPr>
              <w:pStyle w:val="Normal"/>
              <w:spacing w:lineRule="auto" w:line="480"/>
              <w:rPr/>
            </w:pPr>
            <w:r>
              <w:rPr/>
              <w:t>30.0 ± 0.6</w:t>
            </w:r>
          </w:p>
        </w:tc>
      </w:tr>
      <w:tr>
        <w:trPr>
          <w:trHeight w:val="300" w:hRule="atLeast"/>
        </w:trPr>
        <w:tc>
          <w:tcPr>
            <w:tcW w:w="9924" w:type="dxa"/>
            <w:gridSpan w:val="5"/>
            <w:tcBorders>
              <w:top w:val="single" w:sz="4" w:space="0" w:color="000000"/>
              <w:left w:val="single" w:sz="8" w:space="0" w:color="000000"/>
              <w:bottom w:val="single" w:sz="4" w:space="0" w:color="000000"/>
              <w:right w:val="single" w:sz="8" w:space="0" w:color="000000"/>
            </w:tcBorders>
            <w:shd w:color="auto" w:fill="auto" w:val="clear"/>
          </w:tcPr>
          <w:p>
            <w:pPr>
              <w:pStyle w:val="Normal"/>
              <w:spacing w:lineRule="auto" w:line="480"/>
              <w:rPr/>
            </w:pPr>
            <w:r>
              <w:rPr/>
              <w:t>Rectal Temperature (°C)</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0</w:t>
            </w:r>
          </w:p>
        </w:tc>
        <w:tc>
          <w:tcPr>
            <w:tcW w:w="1521" w:type="dxa"/>
            <w:tcBorders>
              <w:bottom w:val="single" w:sz="4" w:space="0" w:color="000000"/>
              <w:right w:val="single" w:sz="4" w:space="0" w:color="000000"/>
            </w:tcBorders>
            <w:shd w:color="auto" w:fill="auto" w:val="clear"/>
          </w:tcPr>
          <w:p>
            <w:pPr>
              <w:pStyle w:val="Normal"/>
              <w:spacing w:lineRule="auto" w:line="480"/>
              <w:rPr/>
            </w:pPr>
            <w:r>
              <w:rPr/>
              <w:t>38.6 ± 0.2</w:t>
            </w:r>
          </w:p>
        </w:tc>
        <w:tc>
          <w:tcPr>
            <w:tcW w:w="2409" w:type="dxa"/>
            <w:tcBorders>
              <w:bottom w:val="single" w:sz="4" w:space="0" w:color="000000"/>
              <w:right w:val="single" w:sz="4" w:space="0" w:color="000000"/>
            </w:tcBorders>
            <w:shd w:color="auto" w:fill="auto" w:val="clear"/>
          </w:tcPr>
          <w:p>
            <w:pPr>
              <w:pStyle w:val="Normal"/>
              <w:spacing w:lineRule="auto" w:line="480"/>
              <w:rPr/>
            </w:pPr>
            <w:r>
              <w:rPr/>
              <w:t>38.4 ± 0.1</w:t>
            </w:r>
          </w:p>
        </w:tc>
        <w:tc>
          <w:tcPr>
            <w:tcW w:w="2411" w:type="dxa"/>
            <w:tcBorders>
              <w:bottom w:val="single" w:sz="4" w:space="0" w:color="000000"/>
              <w:right w:val="single" w:sz="4" w:space="0" w:color="000000"/>
            </w:tcBorders>
            <w:shd w:color="auto" w:fill="auto" w:val="clear"/>
          </w:tcPr>
          <w:p>
            <w:pPr>
              <w:pStyle w:val="Normal"/>
              <w:spacing w:lineRule="auto" w:line="480"/>
              <w:rPr/>
            </w:pPr>
            <w:r>
              <w:rPr/>
              <w:t>38.1 ± 0.2</w:t>
            </w:r>
          </w:p>
        </w:tc>
        <w:tc>
          <w:tcPr>
            <w:tcW w:w="2410" w:type="dxa"/>
            <w:tcBorders>
              <w:bottom w:val="single" w:sz="4" w:space="0" w:color="000000"/>
              <w:right w:val="single" w:sz="8" w:space="0" w:color="000000"/>
            </w:tcBorders>
            <w:shd w:color="auto" w:fill="auto" w:val="clear"/>
          </w:tcPr>
          <w:p>
            <w:pPr>
              <w:pStyle w:val="Normal"/>
              <w:spacing w:lineRule="auto" w:line="480"/>
              <w:rPr/>
            </w:pPr>
            <w:r>
              <w:rPr/>
              <w:t>38.4 ± 0.3</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w:t>
            </w:r>
          </w:p>
        </w:tc>
        <w:tc>
          <w:tcPr>
            <w:tcW w:w="1521" w:type="dxa"/>
            <w:tcBorders>
              <w:bottom w:val="single" w:sz="4" w:space="0" w:color="000000"/>
              <w:right w:val="single" w:sz="4" w:space="0" w:color="000000"/>
            </w:tcBorders>
            <w:shd w:color="auto" w:fill="auto" w:val="clear"/>
          </w:tcPr>
          <w:p>
            <w:pPr>
              <w:pStyle w:val="Normal"/>
              <w:spacing w:lineRule="auto" w:line="480"/>
              <w:rPr/>
            </w:pPr>
            <w:r>
              <w:rPr/>
              <w:t>38.4 ± 0.2</w:t>
            </w:r>
          </w:p>
        </w:tc>
        <w:tc>
          <w:tcPr>
            <w:tcW w:w="2409" w:type="dxa"/>
            <w:tcBorders>
              <w:bottom w:val="single" w:sz="4" w:space="0" w:color="000000"/>
              <w:right w:val="single" w:sz="4" w:space="0" w:color="000000"/>
            </w:tcBorders>
            <w:shd w:color="auto" w:fill="auto" w:val="clear"/>
          </w:tcPr>
          <w:p>
            <w:pPr>
              <w:pStyle w:val="Normal"/>
              <w:spacing w:lineRule="auto" w:line="480"/>
              <w:rPr/>
            </w:pPr>
            <w:r>
              <w:rPr/>
              <w:t>38.4 ± 0.3</w:t>
            </w:r>
          </w:p>
        </w:tc>
        <w:tc>
          <w:tcPr>
            <w:tcW w:w="2411" w:type="dxa"/>
            <w:tcBorders>
              <w:bottom w:val="single" w:sz="4" w:space="0" w:color="000000"/>
              <w:right w:val="single" w:sz="4" w:space="0" w:color="000000"/>
            </w:tcBorders>
            <w:shd w:color="auto" w:fill="auto" w:val="clear"/>
          </w:tcPr>
          <w:p>
            <w:pPr>
              <w:pStyle w:val="Normal"/>
              <w:spacing w:lineRule="auto" w:line="480"/>
              <w:rPr/>
            </w:pPr>
            <w:r>
              <w:rPr/>
              <w:t>38.4 ± 0.3</w:t>
            </w:r>
          </w:p>
        </w:tc>
        <w:tc>
          <w:tcPr>
            <w:tcW w:w="2410" w:type="dxa"/>
            <w:tcBorders>
              <w:bottom w:val="single" w:sz="4" w:space="0" w:color="000000"/>
              <w:right w:val="single" w:sz="8" w:space="0" w:color="000000"/>
            </w:tcBorders>
            <w:shd w:color="auto" w:fill="auto" w:val="clear"/>
          </w:tcPr>
          <w:p>
            <w:pPr>
              <w:pStyle w:val="Normal"/>
              <w:spacing w:lineRule="auto" w:line="480"/>
              <w:rPr/>
            </w:pPr>
            <w:r>
              <w:rPr/>
              <w:t>38.7 ± 0.1</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tcPr>
          <w:p>
            <w:pPr>
              <w:pStyle w:val="Normal"/>
              <w:spacing w:lineRule="auto" w:line="480"/>
              <w:rPr/>
            </w:pPr>
            <w:r>
              <w:rPr/>
              <w:t>38.6 ± 0.2</w:t>
            </w:r>
          </w:p>
        </w:tc>
        <w:tc>
          <w:tcPr>
            <w:tcW w:w="2409" w:type="dxa"/>
            <w:tcBorders>
              <w:bottom w:val="single" w:sz="4" w:space="0" w:color="000000"/>
              <w:right w:val="single" w:sz="4" w:space="0" w:color="000000"/>
            </w:tcBorders>
            <w:shd w:color="auto" w:fill="auto" w:val="clear"/>
          </w:tcPr>
          <w:p>
            <w:pPr>
              <w:pStyle w:val="Normal"/>
              <w:spacing w:lineRule="auto" w:line="480"/>
              <w:rPr/>
            </w:pPr>
            <w:r>
              <w:rPr/>
              <w:t>38.4 ± 0.3</w:t>
            </w:r>
          </w:p>
        </w:tc>
        <w:tc>
          <w:tcPr>
            <w:tcW w:w="2411" w:type="dxa"/>
            <w:tcBorders>
              <w:bottom w:val="single" w:sz="4" w:space="0" w:color="000000"/>
              <w:right w:val="single" w:sz="4" w:space="0" w:color="000000"/>
            </w:tcBorders>
            <w:shd w:color="auto" w:fill="auto" w:val="clear"/>
          </w:tcPr>
          <w:p>
            <w:pPr>
              <w:pStyle w:val="Normal"/>
              <w:spacing w:lineRule="auto" w:line="480"/>
              <w:rPr/>
            </w:pPr>
            <w:r>
              <w:rPr/>
              <w:t>38.3 ± 0.2</w:t>
            </w:r>
          </w:p>
        </w:tc>
        <w:tc>
          <w:tcPr>
            <w:tcW w:w="2410" w:type="dxa"/>
            <w:tcBorders>
              <w:bottom w:val="single" w:sz="4" w:space="0" w:color="000000"/>
              <w:right w:val="single" w:sz="8" w:space="0" w:color="000000"/>
            </w:tcBorders>
            <w:shd w:color="auto" w:fill="auto" w:val="clear"/>
          </w:tcPr>
          <w:p>
            <w:pPr>
              <w:pStyle w:val="Normal"/>
              <w:spacing w:lineRule="auto" w:line="480"/>
              <w:rPr/>
            </w:pPr>
            <w:r>
              <w:rPr/>
              <w:t>38.7 ± 0.4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21</w:t>
            </w:r>
          </w:p>
        </w:tc>
        <w:tc>
          <w:tcPr>
            <w:tcW w:w="1521" w:type="dxa"/>
            <w:tcBorders>
              <w:bottom w:val="single" w:sz="4" w:space="0" w:color="000000"/>
              <w:right w:val="single" w:sz="4" w:space="0" w:color="000000"/>
            </w:tcBorders>
            <w:shd w:color="auto" w:fill="auto" w:val="clear"/>
          </w:tcPr>
          <w:p>
            <w:pPr>
              <w:pStyle w:val="Normal"/>
              <w:spacing w:lineRule="auto" w:line="480"/>
              <w:rPr/>
            </w:pPr>
            <w:r>
              <w:rPr/>
              <w:t>38.4 ± 0.2</w:t>
            </w:r>
          </w:p>
        </w:tc>
        <w:tc>
          <w:tcPr>
            <w:tcW w:w="2409" w:type="dxa"/>
            <w:tcBorders>
              <w:bottom w:val="single" w:sz="4" w:space="0" w:color="000000"/>
              <w:right w:val="single" w:sz="4" w:space="0" w:color="000000"/>
            </w:tcBorders>
            <w:shd w:color="auto" w:fill="auto" w:val="clear"/>
          </w:tcPr>
          <w:p>
            <w:pPr>
              <w:pStyle w:val="Normal"/>
              <w:spacing w:lineRule="auto" w:line="480"/>
              <w:rPr/>
            </w:pPr>
            <w:r>
              <w:rPr/>
              <w:t>38.6 ± 0.5</w:t>
            </w:r>
          </w:p>
        </w:tc>
        <w:tc>
          <w:tcPr>
            <w:tcW w:w="2411" w:type="dxa"/>
            <w:tcBorders>
              <w:bottom w:val="single" w:sz="4" w:space="0" w:color="000000"/>
              <w:right w:val="single" w:sz="4" w:space="0" w:color="000000"/>
            </w:tcBorders>
            <w:shd w:color="auto" w:fill="auto" w:val="clear"/>
          </w:tcPr>
          <w:p>
            <w:pPr>
              <w:pStyle w:val="Normal"/>
              <w:spacing w:lineRule="auto" w:line="480"/>
              <w:rPr/>
            </w:pPr>
            <w:r>
              <w:rPr/>
              <w:t>38.4 ± 0.3</w:t>
            </w:r>
          </w:p>
        </w:tc>
        <w:tc>
          <w:tcPr>
            <w:tcW w:w="2410" w:type="dxa"/>
            <w:tcBorders>
              <w:bottom w:val="single" w:sz="4" w:space="0" w:color="000000"/>
              <w:right w:val="single" w:sz="8" w:space="0" w:color="000000"/>
            </w:tcBorders>
            <w:shd w:color="auto" w:fill="auto" w:val="clear"/>
          </w:tcPr>
          <w:p>
            <w:pPr>
              <w:pStyle w:val="Normal"/>
              <w:spacing w:lineRule="auto" w:line="480"/>
              <w:rPr/>
            </w:pPr>
            <w:r>
              <w:rPr/>
              <w:t>38.7 ± 0.3</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tcPr>
          <w:p>
            <w:pPr>
              <w:pStyle w:val="Normal"/>
              <w:spacing w:lineRule="auto" w:line="480"/>
              <w:rPr/>
            </w:pPr>
            <w:r>
              <w:rPr/>
              <w:t>38.4 ± 0.3</w:t>
            </w:r>
          </w:p>
        </w:tc>
        <w:tc>
          <w:tcPr>
            <w:tcW w:w="2409" w:type="dxa"/>
            <w:tcBorders>
              <w:bottom w:val="single" w:sz="4" w:space="0" w:color="000000"/>
              <w:right w:val="single" w:sz="4" w:space="0" w:color="000000"/>
            </w:tcBorders>
            <w:shd w:color="auto" w:fill="auto" w:val="clear"/>
          </w:tcPr>
          <w:p>
            <w:pPr>
              <w:pStyle w:val="Normal"/>
              <w:spacing w:lineRule="auto" w:line="480"/>
              <w:rPr/>
            </w:pPr>
            <w:r>
              <w:rPr/>
              <w:t>38.5 ± 0.2</w:t>
            </w:r>
          </w:p>
        </w:tc>
        <w:tc>
          <w:tcPr>
            <w:tcW w:w="2411" w:type="dxa"/>
            <w:tcBorders>
              <w:bottom w:val="single" w:sz="4" w:space="0" w:color="000000"/>
              <w:right w:val="single" w:sz="4" w:space="0" w:color="000000"/>
            </w:tcBorders>
            <w:shd w:color="auto" w:fill="auto" w:val="clear"/>
          </w:tcPr>
          <w:p>
            <w:pPr>
              <w:pStyle w:val="Normal"/>
              <w:spacing w:lineRule="auto" w:line="480"/>
              <w:rPr/>
            </w:pPr>
            <w:r>
              <w:rPr/>
              <w:t>38.2 ± 0.2</w:t>
            </w:r>
          </w:p>
        </w:tc>
        <w:tc>
          <w:tcPr>
            <w:tcW w:w="2410" w:type="dxa"/>
            <w:tcBorders>
              <w:bottom w:val="single" w:sz="4" w:space="0" w:color="000000"/>
              <w:right w:val="single" w:sz="8" w:space="0" w:color="000000"/>
            </w:tcBorders>
            <w:shd w:color="auto" w:fill="auto" w:val="clear"/>
          </w:tcPr>
          <w:p>
            <w:pPr>
              <w:pStyle w:val="Normal"/>
              <w:spacing w:lineRule="auto" w:line="480"/>
              <w:rPr/>
            </w:pPr>
            <w:r>
              <w:rPr/>
              <w:t>38.2 ± 0.8</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35</w:t>
            </w:r>
          </w:p>
        </w:tc>
        <w:tc>
          <w:tcPr>
            <w:tcW w:w="1521" w:type="dxa"/>
            <w:tcBorders>
              <w:bottom w:val="single" w:sz="4" w:space="0" w:color="000000"/>
              <w:right w:val="single" w:sz="4" w:space="0" w:color="000000"/>
            </w:tcBorders>
            <w:shd w:color="auto" w:fill="auto" w:val="clear"/>
          </w:tcPr>
          <w:p>
            <w:pPr>
              <w:pStyle w:val="Normal"/>
              <w:spacing w:lineRule="auto" w:line="480"/>
              <w:rPr/>
            </w:pPr>
            <w:r>
              <w:rPr/>
              <w:t>38.1 ± 0.2</w:t>
            </w:r>
          </w:p>
        </w:tc>
        <w:tc>
          <w:tcPr>
            <w:tcW w:w="2409" w:type="dxa"/>
            <w:tcBorders>
              <w:bottom w:val="single" w:sz="4" w:space="0" w:color="000000"/>
              <w:right w:val="single" w:sz="4" w:space="0" w:color="000000"/>
            </w:tcBorders>
            <w:shd w:color="auto" w:fill="auto" w:val="clear"/>
          </w:tcPr>
          <w:p>
            <w:pPr>
              <w:pStyle w:val="Normal"/>
              <w:spacing w:lineRule="auto" w:line="480"/>
              <w:rPr/>
            </w:pPr>
            <w:r>
              <w:rPr/>
              <w:t>38.2 ± 0.3</w:t>
            </w:r>
          </w:p>
        </w:tc>
        <w:tc>
          <w:tcPr>
            <w:tcW w:w="2411" w:type="dxa"/>
            <w:tcBorders>
              <w:bottom w:val="single" w:sz="4" w:space="0" w:color="000000"/>
              <w:right w:val="single" w:sz="4" w:space="0" w:color="000000"/>
            </w:tcBorders>
            <w:shd w:color="auto" w:fill="auto" w:val="clear"/>
          </w:tcPr>
          <w:p>
            <w:pPr>
              <w:pStyle w:val="Normal"/>
              <w:spacing w:lineRule="auto" w:line="480"/>
              <w:rPr/>
            </w:pPr>
            <w:r>
              <w:rPr/>
              <w:t>38.2 ± 0.5</w:t>
            </w:r>
          </w:p>
        </w:tc>
        <w:tc>
          <w:tcPr>
            <w:tcW w:w="2410" w:type="dxa"/>
            <w:tcBorders>
              <w:bottom w:val="single" w:sz="4" w:space="0" w:color="000000"/>
              <w:right w:val="single" w:sz="8" w:space="0" w:color="000000"/>
            </w:tcBorders>
            <w:shd w:color="auto" w:fill="auto" w:val="clear"/>
          </w:tcPr>
          <w:p>
            <w:pPr>
              <w:pStyle w:val="Normal"/>
              <w:spacing w:lineRule="auto" w:line="480"/>
              <w:rPr/>
            </w:pPr>
            <w:r>
              <w:rPr/>
              <w:t>38.3 ± 0.4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42</w:t>
            </w:r>
          </w:p>
        </w:tc>
        <w:tc>
          <w:tcPr>
            <w:tcW w:w="1521" w:type="dxa"/>
            <w:tcBorders>
              <w:bottom w:val="single" w:sz="4" w:space="0" w:color="000000"/>
              <w:right w:val="single" w:sz="4" w:space="0" w:color="000000"/>
            </w:tcBorders>
            <w:shd w:color="auto" w:fill="auto" w:val="clear"/>
          </w:tcPr>
          <w:p>
            <w:pPr>
              <w:pStyle w:val="Normal"/>
              <w:spacing w:lineRule="auto" w:line="480"/>
              <w:rPr/>
            </w:pPr>
            <w:r>
              <w:rPr/>
              <w:t>38.5 ± 0.4</w:t>
            </w:r>
          </w:p>
        </w:tc>
        <w:tc>
          <w:tcPr>
            <w:tcW w:w="2409" w:type="dxa"/>
            <w:tcBorders>
              <w:bottom w:val="single" w:sz="4" w:space="0" w:color="000000"/>
              <w:right w:val="single" w:sz="4" w:space="0" w:color="000000"/>
            </w:tcBorders>
            <w:shd w:color="auto" w:fill="auto" w:val="clear"/>
          </w:tcPr>
          <w:p>
            <w:pPr>
              <w:pStyle w:val="Normal"/>
              <w:spacing w:lineRule="auto" w:line="480"/>
              <w:rPr/>
            </w:pPr>
            <w:r>
              <w:rPr/>
              <w:t>38.4 ± 0.5</w:t>
            </w:r>
          </w:p>
        </w:tc>
        <w:tc>
          <w:tcPr>
            <w:tcW w:w="2411" w:type="dxa"/>
            <w:tcBorders>
              <w:bottom w:val="single" w:sz="4" w:space="0" w:color="000000"/>
              <w:right w:val="single" w:sz="4" w:space="0" w:color="000000"/>
            </w:tcBorders>
            <w:shd w:color="auto" w:fill="auto" w:val="clear"/>
          </w:tcPr>
          <w:p>
            <w:pPr>
              <w:pStyle w:val="Normal"/>
              <w:spacing w:lineRule="auto" w:line="480"/>
              <w:rPr/>
            </w:pPr>
            <w:r>
              <w:rPr/>
              <w:t>38.4 ± 0.2</w:t>
            </w:r>
          </w:p>
        </w:tc>
        <w:tc>
          <w:tcPr>
            <w:tcW w:w="2410" w:type="dxa"/>
            <w:tcBorders>
              <w:bottom w:val="single" w:sz="4" w:space="0" w:color="000000"/>
              <w:right w:val="single" w:sz="8" w:space="0" w:color="000000"/>
            </w:tcBorders>
            <w:shd w:color="auto" w:fill="auto" w:val="clear"/>
          </w:tcPr>
          <w:p>
            <w:pPr>
              <w:pStyle w:val="Normal"/>
              <w:spacing w:lineRule="auto" w:line="480"/>
              <w:rPr/>
            </w:pPr>
            <w:r>
              <w:rPr/>
              <w:t>38.5 ± 0.2</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49</w:t>
            </w:r>
          </w:p>
        </w:tc>
        <w:tc>
          <w:tcPr>
            <w:tcW w:w="1521" w:type="dxa"/>
            <w:tcBorders>
              <w:bottom w:val="single" w:sz="4" w:space="0" w:color="000000"/>
              <w:right w:val="single" w:sz="4" w:space="0" w:color="000000"/>
            </w:tcBorders>
            <w:shd w:color="auto" w:fill="auto" w:val="clear"/>
          </w:tcPr>
          <w:p>
            <w:pPr>
              <w:pStyle w:val="Normal"/>
              <w:spacing w:lineRule="auto" w:line="480"/>
              <w:rPr/>
            </w:pPr>
            <w:r>
              <w:rPr/>
              <w:t>38.2 ± 0.1</w:t>
            </w:r>
          </w:p>
        </w:tc>
        <w:tc>
          <w:tcPr>
            <w:tcW w:w="2409" w:type="dxa"/>
            <w:tcBorders>
              <w:bottom w:val="single" w:sz="4" w:space="0" w:color="000000"/>
              <w:right w:val="single" w:sz="4" w:space="0" w:color="000000"/>
            </w:tcBorders>
            <w:shd w:color="auto" w:fill="auto" w:val="clear"/>
          </w:tcPr>
          <w:p>
            <w:pPr>
              <w:pStyle w:val="Normal"/>
              <w:spacing w:lineRule="auto" w:line="480"/>
              <w:rPr/>
            </w:pPr>
            <w:r>
              <w:rPr/>
              <w:t>38.4 ± 0.4</w:t>
            </w:r>
          </w:p>
        </w:tc>
        <w:tc>
          <w:tcPr>
            <w:tcW w:w="2411" w:type="dxa"/>
            <w:tcBorders>
              <w:bottom w:val="single" w:sz="4" w:space="0" w:color="000000"/>
              <w:right w:val="single" w:sz="4" w:space="0" w:color="000000"/>
            </w:tcBorders>
            <w:shd w:color="auto" w:fill="auto" w:val="clear"/>
          </w:tcPr>
          <w:p>
            <w:pPr>
              <w:pStyle w:val="Normal"/>
              <w:spacing w:lineRule="auto" w:line="480"/>
              <w:rPr/>
            </w:pPr>
            <w:r>
              <w:rPr/>
              <w:t>38.1 ± 0.4</w:t>
            </w:r>
          </w:p>
        </w:tc>
        <w:tc>
          <w:tcPr>
            <w:tcW w:w="2410" w:type="dxa"/>
            <w:tcBorders>
              <w:bottom w:val="single" w:sz="4" w:space="0" w:color="000000"/>
              <w:right w:val="single" w:sz="8" w:space="0" w:color="000000"/>
            </w:tcBorders>
            <w:shd w:color="auto" w:fill="auto" w:val="clear"/>
          </w:tcPr>
          <w:p>
            <w:pPr>
              <w:pStyle w:val="Normal"/>
              <w:spacing w:lineRule="auto" w:line="480"/>
              <w:rPr/>
            </w:pPr>
            <w:r>
              <w:rPr/>
              <w:t>38.3 ± 0.6</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tcPr>
          <w:p>
            <w:pPr>
              <w:pStyle w:val="Normal"/>
              <w:spacing w:lineRule="auto" w:line="480"/>
              <w:rPr/>
            </w:pPr>
            <w:r>
              <w:rPr/>
              <w:t>38.2 ± 0.4</w:t>
            </w:r>
          </w:p>
        </w:tc>
        <w:tc>
          <w:tcPr>
            <w:tcW w:w="2409" w:type="dxa"/>
            <w:tcBorders>
              <w:bottom w:val="single" w:sz="4" w:space="0" w:color="000000"/>
              <w:right w:val="single" w:sz="4" w:space="0" w:color="000000"/>
            </w:tcBorders>
            <w:shd w:color="auto" w:fill="auto" w:val="clear"/>
          </w:tcPr>
          <w:p>
            <w:pPr>
              <w:pStyle w:val="Normal"/>
              <w:spacing w:lineRule="auto" w:line="480"/>
              <w:rPr/>
            </w:pPr>
            <w:r>
              <w:rPr/>
              <w:t>38.4 ± 0.6</w:t>
            </w:r>
          </w:p>
        </w:tc>
        <w:tc>
          <w:tcPr>
            <w:tcW w:w="2411" w:type="dxa"/>
            <w:tcBorders>
              <w:bottom w:val="single" w:sz="4" w:space="0" w:color="000000"/>
              <w:right w:val="single" w:sz="4" w:space="0" w:color="000000"/>
            </w:tcBorders>
            <w:shd w:color="auto" w:fill="auto" w:val="clear"/>
          </w:tcPr>
          <w:p>
            <w:pPr>
              <w:pStyle w:val="Normal"/>
              <w:spacing w:lineRule="auto" w:line="480"/>
              <w:rPr/>
            </w:pPr>
            <w:r>
              <w:rPr/>
              <w:t>38.3 ± 0.4</w:t>
            </w:r>
          </w:p>
        </w:tc>
        <w:tc>
          <w:tcPr>
            <w:tcW w:w="2410" w:type="dxa"/>
            <w:tcBorders>
              <w:bottom w:val="single" w:sz="4" w:space="0" w:color="000000"/>
              <w:right w:val="single" w:sz="8" w:space="0" w:color="000000"/>
            </w:tcBorders>
            <w:shd w:color="auto" w:fill="auto" w:val="clear"/>
          </w:tcPr>
          <w:p>
            <w:pPr>
              <w:pStyle w:val="Normal"/>
              <w:spacing w:lineRule="auto" w:line="480"/>
              <w:rPr/>
            </w:pPr>
            <w:r>
              <w:rPr/>
              <w:t>38.2 ± 0.4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63</w:t>
            </w:r>
          </w:p>
        </w:tc>
        <w:tc>
          <w:tcPr>
            <w:tcW w:w="1521" w:type="dxa"/>
            <w:tcBorders>
              <w:bottom w:val="single" w:sz="4" w:space="0" w:color="000000"/>
              <w:right w:val="single" w:sz="4" w:space="0" w:color="000000"/>
            </w:tcBorders>
            <w:shd w:color="auto" w:fill="auto" w:val="clear"/>
          </w:tcPr>
          <w:p>
            <w:pPr>
              <w:pStyle w:val="Normal"/>
              <w:spacing w:lineRule="auto" w:line="480"/>
              <w:rPr/>
            </w:pPr>
            <w:r>
              <w:rPr/>
              <w:t>38.4 ± 0.4</w:t>
            </w:r>
          </w:p>
        </w:tc>
        <w:tc>
          <w:tcPr>
            <w:tcW w:w="2409" w:type="dxa"/>
            <w:tcBorders>
              <w:bottom w:val="single" w:sz="4" w:space="0" w:color="000000"/>
              <w:right w:val="single" w:sz="4" w:space="0" w:color="000000"/>
            </w:tcBorders>
            <w:shd w:color="auto" w:fill="auto" w:val="clear"/>
          </w:tcPr>
          <w:p>
            <w:pPr>
              <w:pStyle w:val="Normal"/>
              <w:spacing w:lineRule="auto" w:line="480"/>
              <w:rPr/>
            </w:pPr>
            <w:r>
              <w:rPr/>
              <w:t>38.4 ± 0.4</w:t>
            </w:r>
          </w:p>
        </w:tc>
        <w:tc>
          <w:tcPr>
            <w:tcW w:w="2411" w:type="dxa"/>
            <w:tcBorders>
              <w:bottom w:val="single" w:sz="4" w:space="0" w:color="000000"/>
              <w:right w:val="single" w:sz="4" w:space="0" w:color="000000"/>
            </w:tcBorders>
            <w:shd w:color="auto" w:fill="auto" w:val="clear"/>
          </w:tcPr>
          <w:p>
            <w:pPr>
              <w:pStyle w:val="Normal"/>
              <w:spacing w:lineRule="auto" w:line="480"/>
              <w:rPr/>
            </w:pPr>
            <w:r>
              <w:rPr/>
              <w:t>38.7 ± 0.3</w:t>
            </w:r>
          </w:p>
        </w:tc>
        <w:tc>
          <w:tcPr>
            <w:tcW w:w="2410" w:type="dxa"/>
            <w:tcBorders>
              <w:bottom w:val="single" w:sz="4" w:space="0" w:color="000000"/>
              <w:right w:val="single" w:sz="8" w:space="0" w:color="000000"/>
            </w:tcBorders>
            <w:shd w:color="auto" w:fill="auto" w:val="clear"/>
          </w:tcPr>
          <w:p>
            <w:pPr>
              <w:pStyle w:val="Normal"/>
              <w:spacing w:lineRule="auto" w:line="480"/>
              <w:rPr/>
            </w:pPr>
            <w:r>
              <w:rPr/>
              <w:t>38.6 ± 0.8</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70</w:t>
            </w:r>
          </w:p>
        </w:tc>
        <w:tc>
          <w:tcPr>
            <w:tcW w:w="1521" w:type="dxa"/>
            <w:tcBorders>
              <w:bottom w:val="single" w:sz="4" w:space="0" w:color="000000"/>
              <w:right w:val="single" w:sz="4" w:space="0" w:color="000000"/>
            </w:tcBorders>
            <w:shd w:color="auto" w:fill="auto" w:val="clear"/>
          </w:tcPr>
          <w:p>
            <w:pPr>
              <w:pStyle w:val="Normal"/>
              <w:spacing w:lineRule="auto" w:line="480"/>
              <w:rPr/>
            </w:pPr>
            <w:r>
              <w:rPr/>
              <w:t>38.6 ± 0.2</w:t>
            </w:r>
          </w:p>
        </w:tc>
        <w:tc>
          <w:tcPr>
            <w:tcW w:w="2409" w:type="dxa"/>
            <w:tcBorders>
              <w:bottom w:val="single" w:sz="4" w:space="0" w:color="000000"/>
              <w:right w:val="single" w:sz="4" w:space="0" w:color="000000"/>
            </w:tcBorders>
            <w:shd w:color="auto" w:fill="auto" w:val="clear"/>
          </w:tcPr>
          <w:p>
            <w:pPr>
              <w:pStyle w:val="Normal"/>
              <w:spacing w:lineRule="auto" w:line="480"/>
              <w:rPr/>
            </w:pPr>
            <w:r>
              <w:rPr/>
              <w:t>38.3 ± 0.4</w:t>
            </w:r>
          </w:p>
        </w:tc>
        <w:tc>
          <w:tcPr>
            <w:tcW w:w="2411" w:type="dxa"/>
            <w:tcBorders>
              <w:bottom w:val="single" w:sz="4" w:space="0" w:color="000000"/>
              <w:right w:val="single" w:sz="4" w:space="0" w:color="000000"/>
            </w:tcBorders>
            <w:shd w:color="auto" w:fill="auto" w:val="clear"/>
          </w:tcPr>
          <w:p>
            <w:pPr>
              <w:pStyle w:val="Normal"/>
              <w:spacing w:lineRule="auto" w:line="480"/>
              <w:rPr/>
            </w:pPr>
            <w:r>
              <w:rPr/>
              <w:t>38.1 ± 0.2</w:t>
            </w:r>
          </w:p>
        </w:tc>
        <w:tc>
          <w:tcPr>
            <w:tcW w:w="2410" w:type="dxa"/>
            <w:tcBorders>
              <w:bottom w:val="single" w:sz="4" w:space="0" w:color="000000"/>
              <w:right w:val="single" w:sz="8" w:space="0" w:color="000000"/>
            </w:tcBorders>
            <w:shd w:color="auto" w:fill="auto" w:val="clear"/>
          </w:tcPr>
          <w:p>
            <w:pPr>
              <w:pStyle w:val="Normal"/>
              <w:spacing w:lineRule="auto" w:line="480"/>
              <w:rPr/>
            </w:pPr>
            <w:r>
              <w:rPr/>
              <w:t>38.7 ± 0.4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77</w:t>
            </w:r>
          </w:p>
        </w:tc>
        <w:tc>
          <w:tcPr>
            <w:tcW w:w="1521" w:type="dxa"/>
            <w:tcBorders>
              <w:bottom w:val="single" w:sz="4" w:space="0" w:color="000000"/>
              <w:right w:val="single" w:sz="4" w:space="0" w:color="000000"/>
            </w:tcBorders>
            <w:shd w:color="auto" w:fill="auto" w:val="clear"/>
          </w:tcPr>
          <w:p>
            <w:pPr>
              <w:pStyle w:val="Normal"/>
              <w:spacing w:lineRule="auto" w:line="480"/>
              <w:rPr/>
            </w:pPr>
            <w:r>
              <w:rPr/>
              <w:t>38.6 ± 0.3</w:t>
            </w:r>
          </w:p>
        </w:tc>
        <w:tc>
          <w:tcPr>
            <w:tcW w:w="2409" w:type="dxa"/>
            <w:tcBorders>
              <w:bottom w:val="single" w:sz="4" w:space="0" w:color="000000"/>
              <w:right w:val="single" w:sz="4" w:space="0" w:color="000000"/>
            </w:tcBorders>
            <w:shd w:color="auto" w:fill="auto" w:val="clear"/>
          </w:tcPr>
          <w:p>
            <w:pPr>
              <w:pStyle w:val="Normal"/>
              <w:spacing w:lineRule="auto" w:line="480"/>
              <w:rPr/>
            </w:pPr>
            <w:r>
              <w:rPr/>
              <w:t>38.3 ± 0.5</w:t>
            </w:r>
          </w:p>
        </w:tc>
        <w:tc>
          <w:tcPr>
            <w:tcW w:w="2411" w:type="dxa"/>
            <w:tcBorders>
              <w:bottom w:val="single" w:sz="4" w:space="0" w:color="000000"/>
              <w:right w:val="single" w:sz="4" w:space="0" w:color="000000"/>
            </w:tcBorders>
            <w:shd w:color="auto" w:fill="auto" w:val="clear"/>
          </w:tcPr>
          <w:p>
            <w:pPr>
              <w:pStyle w:val="Normal"/>
              <w:spacing w:lineRule="auto" w:line="480"/>
              <w:rPr/>
            </w:pPr>
            <w:r>
              <w:rPr/>
              <w:t>38.0 ± 0.2</w:t>
            </w:r>
          </w:p>
        </w:tc>
        <w:tc>
          <w:tcPr>
            <w:tcW w:w="2410" w:type="dxa"/>
            <w:tcBorders>
              <w:bottom w:val="single" w:sz="4" w:space="0" w:color="000000"/>
              <w:right w:val="single" w:sz="8" w:space="0" w:color="000000"/>
            </w:tcBorders>
            <w:shd w:color="auto" w:fill="auto" w:val="clear"/>
          </w:tcPr>
          <w:p>
            <w:pPr>
              <w:pStyle w:val="Normal"/>
              <w:spacing w:lineRule="auto" w:line="480"/>
              <w:rPr/>
            </w:pPr>
            <w:r>
              <w:rPr/>
              <w:t>38.4 ± 0.4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84</w:t>
            </w:r>
          </w:p>
        </w:tc>
        <w:tc>
          <w:tcPr>
            <w:tcW w:w="1521" w:type="dxa"/>
            <w:tcBorders>
              <w:bottom w:val="single" w:sz="4" w:space="0" w:color="000000"/>
              <w:right w:val="single" w:sz="4" w:space="0" w:color="000000"/>
            </w:tcBorders>
            <w:shd w:color="auto" w:fill="auto" w:val="clear"/>
          </w:tcPr>
          <w:p>
            <w:pPr>
              <w:pStyle w:val="Normal"/>
              <w:spacing w:lineRule="auto" w:line="480"/>
              <w:rPr/>
            </w:pPr>
            <w:r>
              <w:rPr/>
              <w:t>38.3 ± 0.4</w:t>
            </w:r>
          </w:p>
        </w:tc>
        <w:tc>
          <w:tcPr>
            <w:tcW w:w="2409" w:type="dxa"/>
            <w:tcBorders>
              <w:bottom w:val="single" w:sz="4" w:space="0" w:color="000000"/>
              <w:right w:val="single" w:sz="4" w:space="0" w:color="000000"/>
            </w:tcBorders>
            <w:shd w:color="auto" w:fill="auto" w:val="clear"/>
          </w:tcPr>
          <w:p>
            <w:pPr>
              <w:pStyle w:val="Normal"/>
              <w:spacing w:lineRule="auto" w:line="480"/>
              <w:rPr/>
            </w:pPr>
            <w:r>
              <w:rPr/>
              <w:t>38.5 ± 0.3</w:t>
            </w:r>
          </w:p>
        </w:tc>
        <w:tc>
          <w:tcPr>
            <w:tcW w:w="2411" w:type="dxa"/>
            <w:tcBorders>
              <w:bottom w:val="single" w:sz="4" w:space="0" w:color="000000"/>
              <w:right w:val="single" w:sz="4" w:space="0" w:color="000000"/>
            </w:tcBorders>
            <w:shd w:color="auto" w:fill="auto" w:val="clear"/>
          </w:tcPr>
          <w:p>
            <w:pPr>
              <w:pStyle w:val="Normal"/>
              <w:spacing w:lineRule="auto" w:line="480"/>
              <w:rPr/>
            </w:pPr>
            <w:r>
              <w:rPr/>
              <w:t>38.3 ± 0.2</w:t>
            </w:r>
          </w:p>
        </w:tc>
        <w:tc>
          <w:tcPr>
            <w:tcW w:w="2410" w:type="dxa"/>
            <w:tcBorders>
              <w:bottom w:val="single" w:sz="4" w:space="0" w:color="000000"/>
              <w:right w:val="single" w:sz="8" w:space="0" w:color="000000"/>
            </w:tcBorders>
            <w:shd w:color="auto" w:fill="auto" w:val="clear"/>
          </w:tcPr>
          <w:p>
            <w:pPr>
              <w:pStyle w:val="Normal"/>
              <w:spacing w:lineRule="auto" w:line="480"/>
              <w:rPr/>
            </w:pPr>
            <w:r>
              <w:rPr/>
              <w:t>38.3 ± 0.2</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tcPr>
          <w:p>
            <w:pPr>
              <w:pStyle w:val="Normal"/>
              <w:spacing w:lineRule="auto" w:line="480"/>
              <w:rPr/>
            </w:pPr>
            <w:r>
              <w:rPr/>
              <w:t>38.7 ± 0.2</w:t>
            </w:r>
          </w:p>
        </w:tc>
        <w:tc>
          <w:tcPr>
            <w:tcW w:w="2409" w:type="dxa"/>
            <w:tcBorders>
              <w:bottom w:val="single" w:sz="4" w:space="0" w:color="000000"/>
              <w:right w:val="single" w:sz="4" w:space="0" w:color="000000"/>
            </w:tcBorders>
            <w:shd w:color="auto" w:fill="auto" w:val="clear"/>
          </w:tcPr>
          <w:p>
            <w:pPr>
              <w:pStyle w:val="Normal"/>
              <w:spacing w:lineRule="auto" w:line="480"/>
              <w:rPr/>
            </w:pPr>
            <w:r>
              <w:rPr/>
              <w:t>38.2 ± 0.4</w:t>
            </w:r>
          </w:p>
        </w:tc>
        <w:tc>
          <w:tcPr>
            <w:tcW w:w="2411" w:type="dxa"/>
            <w:tcBorders>
              <w:bottom w:val="single" w:sz="4" w:space="0" w:color="000000"/>
              <w:right w:val="single" w:sz="4" w:space="0" w:color="000000"/>
            </w:tcBorders>
            <w:shd w:color="auto" w:fill="auto" w:val="clear"/>
          </w:tcPr>
          <w:p>
            <w:pPr>
              <w:pStyle w:val="Normal"/>
              <w:spacing w:lineRule="auto" w:line="480"/>
              <w:rPr/>
            </w:pPr>
            <w:r>
              <w:rPr/>
              <w:t>38.0 ± 0.1</w:t>
            </w:r>
          </w:p>
        </w:tc>
        <w:tc>
          <w:tcPr>
            <w:tcW w:w="2410" w:type="dxa"/>
            <w:tcBorders>
              <w:bottom w:val="single" w:sz="4" w:space="0" w:color="000000"/>
              <w:right w:val="single" w:sz="8" w:space="0" w:color="000000"/>
            </w:tcBorders>
            <w:shd w:color="auto" w:fill="auto" w:val="clear"/>
          </w:tcPr>
          <w:p>
            <w:pPr>
              <w:pStyle w:val="Normal"/>
              <w:spacing w:lineRule="auto" w:line="480"/>
              <w:rPr/>
            </w:pPr>
            <w:r>
              <w:rPr/>
              <w:t>38.0 ± 0.6</w:t>
            </w:r>
          </w:p>
        </w:tc>
      </w:tr>
      <w:tr>
        <w:trPr>
          <w:trHeight w:val="300" w:hRule="atLeast"/>
        </w:trPr>
        <w:tc>
          <w:tcPr>
            <w:tcW w:w="9924" w:type="dxa"/>
            <w:gridSpan w:val="5"/>
            <w:tcBorders>
              <w:top w:val="single" w:sz="4" w:space="0" w:color="000000"/>
              <w:left w:val="single" w:sz="8" w:space="0" w:color="000000"/>
              <w:bottom w:val="single" w:sz="4" w:space="0" w:color="000000"/>
              <w:right w:val="single" w:sz="8" w:space="0" w:color="000000"/>
            </w:tcBorders>
            <w:shd w:color="auto" w:fill="auto" w:val="clear"/>
          </w:tcPr>
          <w:p>
            <w:pPr>
              <w:pStyle w:val="Normal"/>
              <w:spacing w:lineRule="auto" w:line="480"/>
              <w:rPr/>
            </w:pPr>
            <w:r>
              <w:rPr/>
              <w:t>Bodyweight (kg)</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0</w:t>
            </w:r>
          </w:p>
        </w:tc>
        <w:tc>
          <w:tcPr>
            <w:tcW w:w="1521" w:type="dxa"/>
            <w:tcBorders>
              <w:bottom w:val="single" w:sz="4" w:space="0" w:color="000000"/>
              <w:right w:val="single" w:sz="4" w:space="0" w:color="000000"/>
            </w:tcBorders>
            <w:shd w:color="auto" w:fill="auto" w:val="clear"/>
          </w:tcPr>
          <w:p>
            <w:pPr>
              <w:pStyle w:val="Normal"/>
              <w:spacing w:lineRule="auto" w:line="480"/>
              <w:rPr/>
            </w:pPr>
            <w:r>
              <w:rPr/>
              <w:t>29.8 ± 11.6</w:t>
            </w:r>
          </w:p>
        </w:tc>
        <w:tc>
          <w:tcPr>
            <w:tcW w:w="2409" w:type="dxa"/>
            <w:tcBorders>
              <w:bottom w:val="single" w:sz="4" w:space="0" w:color="000000"/>
              <w:right w:val="single" w:sz="4" w:space="0" w:color="000000"/>
            </w:tcBorders>
            <w:shd w:color="auto" w:fill="auto" w:val="clear"/>
          </w:tcPr>
          <w:p>
            <w:pPr>
              <w:pStyle w:val="Normal"/>
              <w:spacing w:lineRule="auto" w:line="480"/>
              <w:rPr/>
            </w:pPr>
            <w:r>
              <w:rPr/>
              <w:t>30.1 ± 13.0</w:t>
            </w:r>
          </w:p>
        </w:tc>
        <w:tc>
          <w:tcPr>
            <w:tcW w:w="2411" w:type="dxa"/>
            <w:tcBorders>
              <w:bottom w:val="single" w:sz="4" w:space="0" w:color="000000"/>
              <w:right w:val="single" w:sz="4" w:space="0" w:color="000000"/>
            </w:tcBorders>
            <w:shd w:color="auto" w:fill="auto" w:val="clear"/>
          </w:tcPr>
          <w:p>
            <w:pPr>
              <w:pStyle w:val="Normal"/>
              <w:spacing w:lineRule="auto" w:line="480"/>
              <w:rPr/>
            </w:pPr>
            <w:r>
              <w:rPr/>
              <w:t>24.2 ± 10.3</w:t>
            </w:r>
          </w:p>
        </w:tc>
        <w:tc>
          <w:tcPr>
            <w:tcW w:w="2410" w:type="dxa"/>
            <w:tcBorders>
              <w:bottom w:val="single" w:sz="4" w:space="0" w:color="000000"/>
              <w:right w:val="single" w:sz="8" w:space="0" w:color="000000"/>
            </w:tcBorders>
            <w:shd w:color="auto" w:fill="auto" w:val="clear"/>
          </w:tcPr>
          <w:p>
            <w:pPr>
              <w:pStyle w:val="Normal"/>
              <w:spacing w:lineRule="auto" w:line="480"/>
              <w:rPr/>
            </w:pPr>
            <w:r>
              <w:rPr/>
              <w:t>21.6 ± 7.6</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w:t>
            </w:r>
          </w:p>
        </w:tc>
        <w:tc>
          <w:tcPr>
            <w:tcW w:w="1521" w:type="dxa"/>
            <w:tcBorders>
              <w:bottom w:val="single" w:sz="4" w:space="0" w:color="000000"/>
              <w:right w:val="single" w:sz="4" w:space="0" w:color="000000"/>
            </w:tcBorders>
            <w:shd w:color="auto" w:fill="auto" w:val="clear"/>
          </w:tcPr>
          <w:p>
            <w:pPr>
              <w:pStyle w:val="Normal"/>
              <w:spacing w:lineRule="auto" w:line="480"/>
              <w:rPr/>
            </w:pPr>
            <w:r>
              <w:rPr/>
              <w:t>29.9 ± 11.4</w:t>
            </w:r>
          </w:p>
        </w:tc>
        <w:tc>
          <w:tcPr>
            <w:tcW w:w="2409" w:type="dxa"/>
            <w:tcBorders>
              <w:bottom w:val="single" w:sz="4" w:space="0" w:color="000000"/>
              <w:right w:val="single" w:sz="4" w:space="0" w:color="000000"/>
            </w:tcBorders>
            <w:shd w:color="auto" w:fill="auto" w:val="clear"/>
          </w:tcPr>
          <w:p>
            <w:pPr>
              <w:pStyle w:val="Normal"/>
              <w:spacing w:lineRule="auto" w:line="480"/>
              <w:rPr/>
            </w:pPr>
            <w:r>
              <w:rPr/>
              <w:t>30.8 ± 13.3</w:t>
            </w:r>
          </w:p>
        </w:tc>
        <w:tc>
          <w:tcPr>
            <w:tcW w:w="2411" w:type="dxa"/>
            <w:tcBorders>
              <w:bottom w:val="single" w:sz="4" w:space="0" w:color="000000"/>
              <w:right w:val="single" w:sz="4" w:space="0" w:color="000000"/>
            </w:tcBorders>
            <w:shd w:color="auto" w:fill="auto" w:val="clear"/>
          </w:tcPr>
          <w:p>
            <w:pPr>
              <w:pStyle w:val="Normal"/>
              <w:spacing w:lineRule="auto" w:line="480"/>
              <w:rPr/>
            </w:pPr>
            <w:r>
              <w:rPr/>
              <w:t>24.4 ± 10.2</w:t>
            </w:r>
          </w:p>
        </w:tc>
        <w:tc>
          <w:tcPr>
            <w:tcW w:w="2410" w:type="dxa"/>
            <w:tcBorders>
              <w:bottom w:val="single" w:sz="4" w:space="0" w:color="000000"/>
              <w:right w:val="single" w:sz="8" w:space="0" w:color="000000"/>
            </w:tcBorders>
            <w:shd w:color="auto" w:fill="auto" w:val="clear"/>
          </w:tcPr>
          <w:p>
            <w:pPr>
              <w:pStyle w:val="Normal"/>
              <w:spacing w:lineRule="auto" w:line="480"/>
              <w:rPr/>
            </w:pPr>
            <w:r>
              <w:rPr/>
              <w:t>22.1 ± 8.4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tcPr>
          <w:p>
            <w:pPr>
              <w:pStyle w:val="Normal"/>
              <w:spacing w:lineRule="auto" w:line="480"/>
              <w:rPr/>
            </w:pPr>
            <w:r>
              <w:rPr/>
              <w:t>29.3 ± 11.5</w:t>
            </w:r>
          </w:p>
        </w:tc>
        <w:tc>
          <w:tcPr>
            <w:tcW w:w="2409" w:type="dxa"/>
            <w:tcBorders>
              <w:bottom w:val="single" w:sz="4" w:space="0" w:color="000000"/>
              <w:right w:val="single" w:sz="4" w:space="0" w:color="000000"/>
            </w:tcBorders>
            <w:shd w:color="auto" w:fill="auto" w:val="clear"/>
          </w:tcPr>
          <w:p>
            <w:pPr>
              <w:pStyle w:val="Normal"/>
              <w:spacing w:lineRule="auto" w:line="480"/>
              <w:rPr/>
            </w:pPr>
            <w:r>
              <w:rPr/>
              <w:t>30.2 ± 12.7</w:t>
            </w:r>
          </w:p>
        </w:tc>
        <w:tc>
          <w:tcPr>
            <w:tcW w:w="2411" w:type="dxa"/>
            <w:tcBorders>
              <w:bottom w:val="single" w:sz="4" w:space="0" w:color="000000"/>
              <w:right w:val="single" w:sz="4" w:space="0" w:color="000000"/>
            </w:tcBorders>
            <w:shd w:color="auto" w:fill="auto" w:val="clear"/>
          </w:tcPr>
          <w:p>
            <w:pPr>
              <w:pStyle w:val="Normal"/>
              <w:spacing w:lineRule="auto" w:line="480"/>
              <w:rPr/>
            </w:pPr>
            <w:r>
              <w:rPr/>
              <w:t>24.3 ± 9.4</w:t>
            </w:r>
          </w:p>
        </w:tc>
        <w:tc>
          <w:tcPr>
            <w:tcW w:w="2410" w:type="dxa"/>
            <w:tcBorders>
              <w:bottom w:val="single" w:sz="4" w:space="0" w:color="000000"/>
              <w:right w:val="single" w:sz="8" w:space="0" w:color="000000"/>
            </w:tcBorders>
            <w:shd w:color="auto" w:fill="auto" w:val="clear"/>
          </w:tcPr>
          <w:p>
            <w:pPr>
              <w:pStyle w:val="Normal"/>
              <w:spacing w:lineRule="auto" w:line="480"/>
              <w:rPr/>
            </w:pPr>
            <w:r>
              <w:rPr/>
              <w:t>22.0 ± 8.4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21</w:t>
            </w:r>
          </w:p>
        </w:tc>
        <w:tc>
          <w:tcPr>
            <w:tcW w:w="1521" w:type="dxa"/>
            <w:tcBorders>
              <w:bottom w:val="single" w:sz="4" w:space="0" w:color="000000"/>
              <w:right w:val="single" w:sz="4" w:space="0" w:color="000000"/>
            </w:tcBorders>
            <w:shd w:color="auto" w:fill="auto" w:val="clear"/>
          </w:tcPr>
          <w:p>
            <w:pPr>
              <w:pStyle w:val="Normal"/>
              <w:spacing w:lineRule="auto" w:line="480"/>
              <w:rPr/>
            </w:pPr>
            <w:r>
              <w:rPr/>
              <w:t>29.3 ± 11.3</w:t>
            </w:r>
          </w:p>
        </w:tc>
        <w:tc>
          <w:tcPr>
            <w:tcW w:w="2409" w:type="dxa"/>
            <w:tcBorders>
              <w:bottom w:val="single" w:sz="4" w:space="0" w:color="000000"/>
              <w:right w:val="single" w:sz="4" w:space="0" w:color="000000"/>
            </w:tcBorders>
            <w:shd w:color="auto" w:fill="auto" w:val="clear"/>
          </w:tcPr>
          <w:p>
            <w:pPr>
              <w:pStyle w:val="Normal"/>
              <w:spacing w:lineRule="auto" w:line="480"/>
              <w:rPr/>
            </w:pPr>
            <w:r>
              <w:rPr/>
              <w:t>30.6 ± 13.1</w:t>
            </w:r>
          </w:p>
        </w:tc>
        <w:tc>
          <w:tcPr>
            <w:tcW w:w="2411" w:type="dxa"/>
            <w:tcBorders>
              <w:bottom w:val="single" w:sz="4" w:space="0" w:color="000000"/>
              <w:right w:val="single" w:sz="4" w:space="0" w:color="000000"/>
            </w:tcBorders>
            <w:shd w:color="auto" w:fill="auto" w:val="clear"/>
          </w:tcPr>
          <w:p>
            <w:pPr>
              <w:pStyle w:val="Normal"/>
              <w:spacing w:lineRule="auto" w:line="480"/>
              <w:rPr/>
            </w:pPr>
            <w:r>
              <w:rPr/>
              <w:t>24.0 ± 8.8</w:t>
            </w:r>
          </w:p>
        </w:tc>
        <w:tc>
          <w:tcPr>
            <w:tcW w:w="2410" w:type="dxa"/>
            <w:tcBorders>
              <w:bottom w:val="single" w:sz="4" w:space="0" w:color="000000"/>
              <w:right w:val="single" w:sz="8" w:space="0" w:color="000000"/>
            </w:tcBorders>
            <w:shd w:color="auto" w:fill="auto" w:val="clear"/>
          </w:tcPr>
          <w:p>
            <w:pPr>
              <w:pStyle w:val="Normal"/>
              <w:spacing w:lineRule="auto" w:line="480"/>
              <w:rPr/>
            </w:pPr>
            <w:r>
              <w:rPr/>
              <w:t>22.3 ± 8.8</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tcPr>
          <w:p>
            <w:pPr>
              <w:pStyle w:val="Normal"/>
              <w:spacing w:lineRule="auto" w:line="480"/>
              <w:rPr/>
            </w:pPr>
            <w:r>
              <w:rPr/>
              <w:t>29.2 ± 11.4</w:t>
            </w:r>
          </w:p>
        </w:tc>
        <w:tc>
          <w:tcPr>
            <w:tcW w:w="2409" w:type="dxa"/>
            <w:tcBorders>
              <w:bottom w:val="single" w:sz="4" w:space="0" w:color="000000"/>
              <w:right w:val="single" w:sz="4" w:space="0" w:color="000000"/>
            </w:tcBorders>
            <w:shd w:color="auto" w:fill="auto" w:val="clear"/>
          </w:tcPr>
          <w:p>
            <w:pPr>
              <w:pStyle w:val="Normal"/>
              <w:spacing w:lineRule="auto" w:line="480"/>
              <w:rPr/>
            </w:pPr>
            <w:r>
              <w:rPr/>
              <w:t>30.2 ± 13.5</w:t>
            </w:r>
          </w:p>
        </w:tc>
        <w:tc>
          <w:tcPr>
            <w:tcW w:w="2411" w:type="dxa"/>
            <w:tcBorders>
              <w:bottom w:val="single" w:sz="4" w:space="0" w:color="000000"/>
              <w:right w:val="single" w:sz="4" w:space="0" w:color="000000"/>
            </w:tcBorders>
            <w:shd w:color="auto" w:fill="auto" w:val="clear"/>
          </w:tcPr>
          <w:p>
            <w:pPr>
              <w:pStyle w:val="Normal"/>
              <w:spacing w:lineRule="auto" w:line="480"/>
              <w:rPr/>
            </w:pPr>
            <w:r>
              <w:rPr/>
              <w:t>24.5 ± 9.2</w:t>
            </w:r>
          </w:p>
        </w:tc>
        <w:tc>
          <w:tcPr>
            <w:tcW w:w="2410" w:type="dxa"/>
            <w:tcBorders>
              <w:bottom w:val="single" w:sz="4" w:space="0" w:color="000000"/>
              <w:right w:val="single" w:sz="8" w:space="0" w:color="000000"/>
            </w:tcBorders>
            <w:shd w:color="auto" w:fill="auto" w:val="clear"/>
          </w:tcPr>
          <w:p>
            <w:pPr>
              <w:pStyle w:val="Normal"/>
              <w:spacing w:lineRule="auto" w:line="480"/>
              <w:rPr/>
            </w:pPr>
            <w:r>
              <w:rPr/>
              <w:t>22.2 ± 8.1</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35</w:t>
            </w:r>
          </w:p>
        </w:tc>
        <w:tc>
          <w:tcPr>
            <w:tcW w:w="1521" w:type="dxa"/>
            <w:tcBorders>
              <w:bottom w:val="single" w:sz="4" w:space="0" w:color="000000"/>
              <w:right w:val="single" w:sz="4" w:space="0" w:color="000000"/>
            </w:tcBorders>
            <w:shd w:color="auto" w:fill="auto" w:val="clear"/>
          </w:tcPr>
          <w:p>
            <w:pPr>
              <w:pStyle w:val="Normal"/>
              <w:spacing w:lineRule="auto" w:line="480"/>
              <w:rPr/>
            </w:pPr>
            <w:r>
              <w:rPr/>
              <w:t>29.8 ± 11.7</w:t>
            </w:r>
          </w:p>
        </w:tc>
        <w:tc>
          <w:tcPr>
            <w:tcW w:w="2409" w:type="dxa"/>
            <w:tcBorders>
              <w:bottom w:val="single" w:sz="4" w:space="0" w:color="000000"/>
              <w:right w:val="single" w:sz="4" w:space="0" w:color="000000"/>
            </w:tcBorders>
            <w:shd w:color="auto" w:fill="auto" w:val="clear"/>
          </w:tcPr>
          <w:p>
            <w:pPr>
              <w:pStyle w:val="Normal"/>
              <w:spacing w:lineRule="auto" w:line="480"/>
              <w:rPr/>
            </w:pPr>
            <w:r>
              <w:rPr/>
              <w:t>30.5 ± 12.4</w:t>
            </w:r>
          </w:p>
        </w:tc>
        <w:tc>
          <w:tcPr>
            <w:tcW w:w="2411" w:type="dxa"/>
            <w:tcBorders>
              <w:bottom w:val="single" w:sz="4" w:space="0" w:color="000000"/>
              <w:right w:val="single" w:sz="4" w:space="0" w:color="000000"/>
            </w:tcBorders>
            <w:shd w:color="auto" w:fill="auto" w:val="clear"/>
          </w:tcPr>
          <w:p>
            <w:pPr>
              <w:pStyle w:val="Normal"/>
              <w:spacing w:lineRule="auto" w:line="480"/>
              <w:rPr/>
            </w:pPr>
            <w:r>
              <w:rPr/>
              <w:t>24.7 ± 9.0</w:t>
            </w:r>
          </w:p>
        </w:tc>
        <w:tc>
          <w:tcPr>
            <w:tcW w:w="2410" w:type="dxa"/>
            <w:tcBorders>
              <w:bottom w:val="single" w:sz="4" w:space="0" w:color="000000"/>
              <w:right w:val="single" w:sz="8" w:space="0" w:color="000000"/>
            </w:tcBorders>
            <w:shd w:color="auto" w:fill="auto" w:val="clear"/>
          </w:tcPr>
          <w:p>
            <w:pPr>
              <w:pStyle w:val="Normal"/>
              <w:spacing w:lineRule="auto" w:line="480"/>
              <w:rPr/>
            </w:pPr>
            <w:r>
              <w:rPr/>
              <w:t>23.0 ± 9.2</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42</w:t>
            </w:r>
          </w:p>
        </w:tc>
        <w:tc>
          <w:tcPr>
            <w:tcW w:w="1521" w:type="dxa"/>
            <w:tcBorders>
              <w:bottom w:val="single" w:sz="4" w:space="0" w:color="000000"/>
              <w:right w:val="single" w:sz="4" w:space="0" w:color="000000"/>
            </w:tcBorders>
            <w:shd w:color="auto" w:fill="auto" w:val="clear"/>
          </w:tcPr>
          <w:p>
            <w:pPr>
              <w:pStyle w:val="Normal"/>
              <w:spacing w:lineRule="auto" w:line="480"/>
              <w:rPr/>
            </w:pPr>
            <w:r>
              <w:rPr/>
              <w:t>29.3 ± 11.7</w:t>
            </w:r>
          </w:p>
        </w:tc>
        <w:tc>
          <w:tcPr>
            <w:tcW w:w="2409" w:type="dxa"/>
            <w:tcBorders>
              <w:bottom w:val="single" w:sz="4" w:space="0" w:color="000000"/>
              <w:right w:val="single" w:sz="4" w:space="0" w:color="000000"/>
            </w:tcBorders>
            <w:shd w:color="auto" w:fill="auto" w:val="clear"/>
          </w:tcPr>
          <w:p>
            <w:pPr>
              <w:pStyle w:val="Normal"/>
              <w:spacing w:lineRule="auto" w:line="480"/>
              <w:rPr/>
            </w:pPr>
            <w:r>
              <w:rPr/>
              <w:t>30.2 ± 12.5</w:t>
            </w:r>
          </w:p>
        </w:tc>
        <w:tc>
          <w:tcPr>
            <w:tcW w:w="2411" w:type="dxa"/>
            <w:tcBorders>
              <w:bottom w:val="single" w:sz="4" w:space="0" w:color="000000"/>
              <w:right w:val="single" w:sz="4" w:space="0" w:color="000000"/>
            </w:tcBorders>
            <w:shd w:color="auto" w:fill="auto" w:val="clear"/>
          </w:tcPr>
          <w:p>
            <w:pPr>
              <w:pStyle w:val="Normal"/>
              <w:spacing w:lineRule="auto" w:line="480"/>
              <w:rPr/>
            </w:pPr>
            <w:r>
              <w:rPr/>
              <w:t>24.2 ± 8.5</w:t>
            </w:r>
          </w:p>
        </w:tc>
        <w:tc>
          <w:tcPr>
            <w:tcW w:w="2410" w:type="dxa"/>
            <w:tcBorders>
              <w:bottom w:val="single" w:sz="4" w:space="0" w:color="000000"/>
              <w:right w:val="single" w:sz="8" w:space="0" w:color="000000"/>
            </w:tcBorders>
            <w:shd w:color="auto" w:fill="auto" w:val="clear"/>
          </w:tcPr>
          <w:p>
            <w:pPr>
              <w:pStyle w:val="Normal"/>
              <w:spacing w:lineRule="auto" w:line="480"/>
              <w:rPr/>
            </w:pPr>
            <w:r>
              <w:rPr/>
              <w:t>22.6 ± 9.3</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49</w:t>
            </w:r>
          </w:p>
        </w:tc>
        <w:tc>
          <w:tcPr>
            <w:tcW w:w="1521" w:type="dxa"/>
            <w:tcBorders>
              <w:bottom w:val="single" w:sz="4" w:space="0" w:color="000000"/>
              <w:right w:val="single" w:sz="4" w:space="0" w:color="000000"/>
            </w:tcBorders>
            <w:shd w:color="auto" w:fill="auto" w:val="clear"/>
          </w:tcPr>
          <w:p>
            <w:pPr>
              <w:pStyle w:val="Normal"/>
              <w:spacing w:lineRule="auto" w:line="480"/>
              <w:rPr/>
            </w:pPr>
            <w:r>
              <w:rPr/>
              <w:t>29.1 ± 11.8</w:t>
            </w:r>
          </w:p>
        </w:tc>
        <w:tc>
          <w:tcPr>
            <w:tcW w:w="2409" w:type="dxa"/>
            <w:tcBorders>
              <w:bottom w:val="single" w:sz="4" w:space="0" w:color="000000"/>
              <w:right w:val="single" w:sz="4" w:space="0" w:color="000000"/>
            </w:tcBorders>
            <w:shd w:color="auto" w:fill="auto" w:val="clear"/>
          </w:tcPr>
          <w:p>
            <w:pPr>
              <w:pStyle w:val="Normal"/>
              <w:spacing w:lineRule="auto" w:line="480"/>
              <w:rPr/>
            </w:pPr>
            <w:r>
              <w:rPr/>
              <w:t>30.4 ± 12.7</w:t>
            </w:r>
          </w:p>
        </w:tc>
        <w:tc>
          <w:tcPr>
            <w:tcW w:w="2411" w:type="dxa"/>
            <w:tcBorders>
              <w:bottom w:val="single" w:sz="4" w:space="0" w:color="000000"/>
              <w:right w:val="single" w:sz="4" w:space="0" w:color="000000"/>
            </w:tcBorders>
            <w:shd w:color="auto" w:fill="auto" w:val="clear"/>
          </w:tcPr>
          <w:p>
            <w:pPr>
              <w:pStyle w:val="Normal"/>
              <w:spacing w:lineRule="auto" w:line="480"/>
              <w:rPr/>
            </w:pPr>
            <w:r>
              <w:rPr/>
              <w:t>24.2 ± 9.0</w:t>
            </w:r>
          </w:p>
        </w:tc>
        <w:tc>
          <w:tcPr>
            <w:tcW w:w="2410" w:type="dxa"/>
            <w:tcBorders>
              <w:bottom w:val="single" w:sz="4" w:space="0" w:color="000000"/>
              <w:right w:val="single" w:sz="8" w:space="0" w:color="000000"/>
            </w:tcBorders>
            <w:shd w:color="auto" w:fill="auto" w:val="clear"/>
          </w:tcPr>
          <w:p>
            <w:pPr>
              <w:pStyle w:val="Normal"/>
              <w:spacing w:lineRule="auto" w:line="480"/>
              <w:rPr/>
            </w:pPr>
            <w:r>
              <w:rPr/>
              <w:t>22.7 ± 9.3</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tcPr>
          <w:p>
            <w:pPr>
              <w:pStyle w:val="Normal"/>
              <w:spacing w:lineRule="auto" w:line="480"/>
              <w:rPr/>
            </w:pPr>
            <w:r>
              <w:rPr/>
              <w:t>28.9 ± 11.7</w:t>
            </w:r>
          </w:p>
        </w:tc>
        <w:tc>
          <w:tcPr>
            <w:tcW w:w="2409" w:type="dxa"/>
            <w:tcBorders>
              <w:bottom w:val="single" w:sz="4" w:space="0" w:color="000000"/>
              <w:right w:val="single" w:sz="4" w:space="0" w:color="000000"/>
            </w:tcBorders>
            <w:shd w:color="auto" w:fill="auto" w:val="clear"/>
          </w:tcPr>
          <w:p>
            <w:pPr>
              <w:pStyle w:val="Normal"/>
              <w:spacing w:lineRule="auto" w:line="480"/>
              <w:rPr/>
            </w:pPr>
            <w:r>
              <w:rPr/>
              <w:t>30.1 ± 12.5</w:t>
            </w:r>
          </w:p>
        </w:tc>
        <w:tc>
          <w:tcPr>
            <w:tcW w:w="2411" w:type="dxa"/>
            <w:tcBorders>
              <w:bottom w:val="single" w:sz="4" w:space="0" w:color="000000"/>
              <w:right w:val="single" w:sz="4" w:space="0" w:color="000000"/>
            </w:tcBorders>
            <w:shd w:color="auto" w:fill="auto" w:val="clear"/>
          </w:tcPr>
          <w:p>
            <w:pPr>
              <w:pStyle w:val="Normal"/>
              <w:spacing w:lineRule="auto" w:line="480"/>
              <w:rPr/>
            </w:pPr>
            <w:r>
              <w:rPr/>
              <w:t>24.6 ± 9.5</w:t>
            </w:r>
          </w:p>
        </w:tc>
        <w:tc>
          <w:tcPr>
            <w:tcW w:w="2410" w:type="dxa"/>
            <w:tcBorders>
              <w:bottom w:val="single" w:sz="4" w:space="0" w:color="000000"/>
              <w:right w:val="single" w:sz="8" w:space="0" w:color="000000"/>
            </w:tcBorders>
            <w:shd w:color="auto" w:fill="auto" w:val="clear"/>
          </w:tcPr>
          <w:p>
            <w:pPr>
              <w:pStyle w:val="Normal"/>
              <w:spacing w:lineRule="auto" w:line="480"/>
              <w:rPr/>
            </w:pPr>
            <w:r>
              <w:rPr/>
              <w:t>22.9 ± 9.4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63</w:t>
            </w:r>
          </w:p>
        </w:tc>
        <w:tc>
          <w:tcPr>
            <w:tcW w:w="1521" w:type="dxa"/>
            <w:tcBorders>
              <w:bottom w:val="single" w:sz="4" w:space="0" w:color="000000"/>
              <w:right w:val="single" w:sz="4" w:space="0" w:color="000000"/>
            </w:tcBorders>
            <w:shd w:color="auto" w:fill="auto" w:val="clear"/>
          </w:tcPr>
          <w:p>
            <w:pPr>
              <w:pStyle w:val="Normal"/>
              <w:spacing w:lineRule="auto" w:line="480"/>
              <w:rPr/>
            </w:pPr>
            <w:r>
              <w:rPr/>
              <w:t>28.9 ± 11.8</w:t>
            </w:r>
          </w:p>
        </w:tc>
        <w:tc>
          <w:tcPr>
            <w:tcW w:w="2409" w:type="dxa"/>
            <w:tcBorders>
              <w:bottom w:val="single" w:sz="4" w:space="0" w:color="000000"/>
              <w:right w:val="single" w:sz="4" w:space="0" w:color="000000"/>
            </w:tcBorders>
            <w:shd w:color="auto" w:fill="auto" w:val="clear"/>
          </w:tcPr>
          <w:p>
            <w:pPr>
              <w:pStyle w:val="Normal"/>
              <w:spacing w:lineRule="auto" w:line="480"/>
              <w:rPr/>
            </w:pPr>
            <w:r>
              <w:rPr/>
              <w:t>30.4 ± 12.5</w:t>
            </w:r>
          </w:p>
        </w:tc>
        <w:tc>
          <w:tcPr>
            <w:tcW w:w="2411" w:type="dxa"/>
            <w:tcBorders>
              <w:bottom w:val="single" w:sz="4" w:space="0" w:color="000000"/>
              <w:right w:val="single" w:sz="4" w:space="0" w:color="000000"/>
            </w:tcBorders>
            <w:shd w:color="auto" w:fill="auto" w:val="clear"/>
          </w:tcPr>
          <w:p>
            <w:pPr>
              <w:pStyle w:val="Normal"/>
              <w:spacing w:lineRule="auto" w:line="480"/>
              <w:rPr/>
            </w:pPr>
            <w:r>
              <w:rPr/>
              <w:t>24.2 ± 8.5</w:t>
            </w:r>
          </w:p>
        </w:tc>
        <w:tc>
          <w:tcPr>
            <w:tcW w:w="2410" w:type="dxa"/>
            <w:tcBorders>
              <w:bottom w:val="single" w:sz="4" w:space="0" w:color="000000"/>
              <w:right w:val="single" w:sz="8" w:space="0" w:color="000000"/>
            </w:tcBorders>
            <w:shd w:color="auto" w:fill="auto" w:val="clear"/>
          </w:tcPr>
          <w:p>
            <w:pPr>
              <w:pStyle w:val="Normal"/>
              <w:spacing w:lineRule="auto" w:line="480"/>
              <w:rPr/>
            </w:pPr>
            <w:r>
              <w:rPr/>
              <w:t>22.7 ± 9.3</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70</w:t>
            </w:r>
          </w:p>
        </w:tc>
        <w:tc>
          <w:tcPr>
            <w:tcW w:w="1521" w:type="dxa"/>
            <w:tcBorders>
              <w:bottom w:val="single" w:sz="4" w:space="0" w:color="000000"/>
              <w:right w:val="single" w:sz="4" w:space="0" w:color="000000"/>
            </w:tcBorders>
            <w:shd w:color="auto" w:fill="auto" w:val="clear"/>
          </w:tcPr>
          <w:p>
            <w:pPr>
              <w:pStyle w:val="Normal"/>
              <w:spacing w:lineRule="auto" w:line="480"/>
              <w:rPr/>
            </w:pPr>
            <w:r>
              <w:rPr/>
              <w:t>29.2 ± 11.9</w:t>
            </w:r>
          </w:p>
        </w:tc>
        <w:tc>
          <w:tcPr>
            <w:tcW w:w="2409" w:type="dxa"/>
            <w:tcBorders>
              <w:bottom w:val="single" w:sz="4" w:space="0" w:color="000000"/>
              <w:right w:val="single" w:sz="4" w:space="0" w:color="000000"/>
            </w:tcBorders>
            <w:shd w:color="auto" w:fill="auto" w:val="clear"/>
          </w:tcPr>
          <w:p>
            <w:pPr>
              <w:pStyle w:val="Normal"/>
              <w:spacing w:lineRule="auto" w:line="480"/>
              <w:rPr/>
            </w:pPr>
            <w:r>
              <w:rPr/>
              <w:t>30.6 ± 12.5</w:t>
            </w:r>
          </w:p>
        </w:tc>
        <w:tc>
          <w:tcPr>
            <w:tcW w:w="2411" w:type="dxa"/>
            <w:tcBorders>
              <w:bottom w:val="single" w:sz="4" w:space="0" w:color="000000"/>
              <w:right w:val="single" w:sz="4" w:space="0" w:color="000000"/>
            </w:tcBorders>
            <w:shd w:color="auto" w:fill="auto" w:val="clear"/>
          </w:tcPr>
          <w:p>
            <w:pPr>
              <w:pStyle w:val="Normal"/>
              <w:spacing w:lineRule="auto" w:line="480"/>
              <w:rPr/>
            </w:pPr>
            <w:r>
              <w:rPr/>
              <w:t>24.7 ± 8.2</w:t>
            </w:r>
          </w:p>
        </w:tc>
        <w:tc>
          <w:tcPr>
            <w:tcW w:w="2410" w:type="dxa"/>
            <w:tcBorders>
              <w:bottom w:val="single" w:sz="4" w:space="0" w:color="000000"/>
              <w:right w:val="single" w:sz="8" w:space="0" w:color="000000"/>
            </w:tcBorders>
            <w:shd w:color="auto" w:fill="auto" w:val="clear"/>
          </w:tcPr>
          <w:p>
            <w:pPr>
              <w:pStyle w:val="Normal"/>
              <w:spacing w:lineRule="auto" w:line="480"/>
              <w:rPr/>
            </w:pPr>
            <w:r>
              <w:rPr/>
              <w:t>22.9 ± 9.4</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77</w:t>
            </w:r>
          </w:p>
        </w:tc>
        <w:tc>
          <w:tcPr>
            <w:tcW w:w="1521" w:type="dxa"/>
            <w:tcBorders>
              <w:bottom w:val="single" w:sz="4" w:space="0" w:color="000000"/>
              <w:right w:val="single" w:sz="4" w:space="0" w:color="000000"/>
            </w:tcBorders>
            <w:shd w:color="auto" w:fill="auto" w:val="clear"/>
          </w:tcPr>
          <w:p>
            <w:pPr>
              <w:pStyle w:val="Normal"/>
              <w:spacing w:lineRule="auto" w:line="480"/>
              <w:rPr/>
            </w:pPr>
            <w:r>
              <w:rPr/>
              <w:t>29.4 ± 12.3</w:t>
            </w:r>
          </w:p>
        </w:tc>
        <w:tc>
          <w:tcPr>
            <w:tcW w:w="2409" w:type="dxa"/>
            <w:tcBorders>
              <w:bottom w:val="single" w:sz="4" w:space="0" w:color="000000"/>
              <w:right w:val="single" w:sz="4" w:space="0" w:color="000000"/>
            </w:tcBorders>
            <w:shd w:color="auto" w:fill="auto" w:val="clear"/>
          </w:tcPr>
          <w:p>
            <w:pPr>
              <w:pStyle w:val="Normal"/>
              <w:spacing w:lineRule="auto" w:line="480"/>
              <w:rPr/>
            </w:pPr>
            <w:r>
              <w:rPr/>
              <w:t>31.0 ± 12.5</w:t>
            </w:r>
          </w:p>
        </w:tc>
        <w:tc>
          <w:tcPr>
            <w:tcW w:w="2411" w:type="dxa"/>
            <w:tcBorders>
              <w:bottom w:val="single" w:sz="4" w:space="0" w:color="000000"/>
              <w:right w:val="single" w:sz="4" w:space="0" w:color="000000"/>
            </w:tcBorders>
            <w:shd w:color="auto" w:fill="auto" w:val="clear"/>
          </w:tcPr>
          <w:p>
            <w:pPr>
              <w:pStyle w:val="Normal"/>
              <w:spacing w:lineRule="auto" w:line="480"/>
              <w:rPr/>
            </w:pPr>
            <w:r>
              <w:rPr/>
              <w:t>25.3 ± 8.4</w:t>
            </w:r>
          </w:p>
        </w:tc>
        <w:tc>
          <w:tcPr>
            <w:tcW w:w="2410" w:type="dxa"/>
            <w:tcBorders>
              <w:bottom w:val="single" w:sz="4" w:space="0" w:color="000000"/>
              <w:right w:val="single" w:sz="8" w:space="0" w:color="000000"/>
            </w:tcBorders>
            <w:shd w:color="auto" w:fill="auto" w:val="clear"/>
          </w:tcPr>
          <w:p>
            <w:pPr>
              <w:pStyle w:val="Normal"/>
              <w:spacing w:lineRule="auto" w:line="480"/>
              <w:rPr/>
            </w:pPr>
            <w:r>
              <w:rPr/>
              <w:t>23.5 ± 9.7</w:t>
            </w:r>
          </w:p>
        </w:tc>
      </w:tr>
      <w:tr>
        <w:trPr>
          <w:trHeight w:val="300" w:hRule="atLeast"/>
        </w:trPr>
        <w:tc>
          <w:tcPr>
            <w:tcW w:w="1173" w:type="dxa"/>
            <w:tcBorders>
              <w:left w:val="single" w:sz="8" w:space="0" w:color="000000"/>
              <w:bottom w:val="single" w:sz="4" w:space="0" w:color="000000"/>
              <w:right w:val="single" w:sz="4" w:space="0" w:color="000000"/>
            </w:tcBorders>
            <w:shd w:color="auto" w:fill="auto" w:val="clear"/>
          </w:tcPr>
          <w:p>
            <w:pPr>
              <w:pStyle w:val="Normal"/>
              <w:spacing w:lineRule="auto" w:line="480"/>
              <w:rPr/>
            </w:pPr>
            <w:r>
              <w:rPr/>
              <w:t>84</w:t>
            </w:r>
          </w:p>
        </w:tc>
        <w:tc>
          <w:tcPr>
            <w:tcW w:w="1521" w:type="dxa"/>
            <w:tcBorders>
              <w:bottom w:val="single" w:sz="4" w:space="0" w:color="000000"/>
              <w:right w:val="single" w:sz="4" w:space="0" w:color="000000"/>
            </w:tcBorders>
            <w:shd w:color="auto" w:fill="auto" w:val="clear"/>
          </w:tcPr>
          <w:p>
            <w:pPr>
              <w:pStyle w:val="Normal"/>
              <w:spacing w:lineRule="auto" w:line="480"/>
              <w:rPr/>
            </w:pPr>
            <w:r>
              <w:rPr/>
              <w:t>29.2 ± 11.6</w:t>
            </w:r>
          </w:p>
        </w:tc>
        <w:tc>
          <w:tcPr>
            <w:tcW w:w="2409" w:type="dxa"/>
            <w:tcBorders>
              <w:bottom w:val="single" w:sz="4" w:space="0" w:color="000000"/>
              <w:right w:val="single" w:sz="4" w:space="0" w:color="000000"/>
            </w:tcBorders>
            <w:shd w:color="auto" w:fill="auto" w:val="clear"/>
          </w:tcPr>
          <w:p>
            <w:pPr>
              <w:pStyle w:val="Normal"/>
              <w:spacing w:lineRule="auto" w:line="480"/>
              <w:rPr/>
            </w:pPr>
            <w:r>
              <w:rPr/>
              <w:t>30.4 ± 12.7</w:t>
            </w:r>
          </w:p>
        </w:tc>
        <w:tc>
          <w:tcPr>
            <w:tcW w:w="2411" w:type="dxa"/>
            <w:tcBorders>
              <w:bottom w:val="single" w:sz="4" w:space="0" w:color="000000"/>
              <w:right w:val="single" w:sz="4" w:space="0" w:color="000000"/>
            </w:tcBorders>
            <w:shd w:color="auto" w:fill="auto" w:val="clear"/>
          </w:tcPr>
          <w:p>
            <w:pPr>
              <w:pStyle w:val="Normal"/>
              <w:spacing w:lineRule="auto" w:line="480"/>
              <w:rPr/>
            </w:pPr>
            <w:r>
              <w:rPr/>
              <w:t>25.4 ± 8.5</w:t>
            </w:r>
          </w:p>
        </w:tc>
        <w:tc>
          <w:tcPr>
            <w:tcW w:w="2410" w:type="dxa"/>
            <w:tcBorders>
              <w:bottom w:val="single" w:sz="4" w:space="0" w:color="000000"/>
              <w:right w:val="single" w:sz="8" w:space="0" w:color="000000"/>
            </w:tcBorders>
            <w:shd w:color="auto" w:fill="auto" w:val="clear"/>
          </w:tcPr>
          <w:p>
            <w:pPr>
              <w:pStyle w:val="Normal"/>
              <w:spacing w:lineRule="auto" w:line="480"/>
              <w:rPr/>
            </w:pPr>
            <w:r>
              <w:rPr/>
              <w:t>23.3 ± 10.0</w:t>
            </w:r>
          </w:p>
        </w:tc>
      </w:tr>
      <w:tr>
        <w:trPr>
          <w:trHeight w:val="315" w:hRule="atLeast"/>
        </w:trPr>
        <w:tc>
          <w:tcPr>
            <w:tcW w:w="1173" w:type="dxa"/>
            <w:tcBorders>
              <w:left w:val="single" w:sz="8" w:space="0" w:color="000000"/>
              <w:bottom w:val="single" w:sz="8" w:space="0" w:color="000000"/>
              <w:right w:val="single" w:sz="4" w:space="0" w:color="000000"/>
            </w:tcBorders>
            <w:shd w:color="auto" w:fill="auto" w:val="clear"/>
          </w:tcPr>
          <w:p>
            <w:pPr>
              <w:pStyle w:val="Normal"/>
              <w:spacing w:lineRule="auto" w:line="480"/>
              <w:rPr/>
            </w:pPr>
            <w:r>
              <w:rPr/>
              <w:t>90</w:t>
            </w:r>
          </w:p>
        </w:tc>
        <w:tc>
          <w:tcPr>
            <w:tcW w:w="1521" w:type="dxa"/>
            <w:tcBorders>
              <w:bottom w:val="single" w:sz="8" w:space="0" w:color="000000"/>
              <w:right w:val="single" w:sz="4" w:space="0" w:color="000000"/>
            </w:tcBorders>
            <w:shd w:color="auto" w:fill="auto" w:val="clear"/>
          </w:tcPr>
          <w:p>
            <w:pPr>
              <w:pStyle w:val="Normal"/>
              <w:spacing w:lineRule="auto" w:line="480"/>
              <w:rPr/>
            </w:pPr>
            <w:r>
              <w:rPr/>
              <w:t>28.7 ± 12.2</w:t>
            </w:r>
          </w:p>
        </w:tc>
        <w:tc>
          <w:tcPr>
            <w:tcW w:w="2409" w:type="dxa"/>
            <w:tcBorders>
              <w:bottom w:val="single" w:sz="8" w:space="0" w:color="000000"/>
              <w:right w:val="single" w:sz="4" w:space="0" w:color="000000"/>
            </w:tcBorders>
            <w:shd w:color="auto" w:fill="auto" w:val="clear"/>
          </w:tcPr>
          <w:p>
            <w:pPr>
              <w:pStyle w:val="Normal"/>
              <w:spacing w:lineRule="auto" w:line="480"/>
              <w:rPr/>
            </w:pPr>
            <w:r>
              <w:rPr/>
              <w:t>30.2 ± 12.6</w:t>
            </w:r>
          </w:p>
        </w:tc>
        <w:tc>
          <w:tcPr>
            <w:tcW w:w="2411" w:type="dxa"/>
            <w:tcBorders>
              <w:bottom w:val="single" w:sz="8" w:space="0" w:color="000000"/>
              <w:right w:val="single" w:sz="4" w:space="0" w:color="000000"/>
            </w:tcBorders>
            <w:shd w:color="auto" w:fill="auto" w:val="clear"/>
          </w:tcPr>
          <w:p>
            <w:pPr>
              <w:pStyle w:val="Normal"/>
              <w:spacing w:lineRule="auto" w:line="480"/>
              <w:rPr/>
            </w:pPr>
            <w:r>
              <w:rPr/>
              <w:t>25.1 ± 8.4</w:t>
            </w:r>
          </w:p>
        </w:tc>
        <w:tc>
          <w:tcPr>
            <w:tcW w:w="2410" w:type="dxa"/>
            <w:tcBorders>
              <w:bottom w:val="single" w:sz="8" w:space="0" w:color="000000"/>
              <w:right w:val="single" w:sz="8" w:space="0" w:color="000000"/>
            </w:tcBorders>
            <w:shd w:color="auto" w:fill="auto" w:val="clear"/>
          </w:tcPr>
          <w:p>
            <w:pPr>
              <w:pStyle w:val="Normal"/>
              <w:spacing w:lineRule="auto" w:line="480"/>
              <w:rPr/>
            </w:pPr>
            <w:r>
              <w:rPr/>
              <w:t>23.1 ± 10.0</w:t>
            </w:r>
          </w:p>
        </w:tc>
      </w:tr>
    </w:tbl>
    <w:p>
      <w:pPr>
        <w:pStyle w:val="Normal"/>
        <w:spacing w:lineRule="auto" w:line="480"/>
        <w:rPr>
          <w:lang w:bidi="en-US"/>
        </w:rPr>
      </w:pPr>
      <w:r>
        <w:rPr>
          <w:lang w:bidi="en-US"/>
        </w:rPr>
      </w:r>
    </w:p>
    <w:p>
      <w:pPr>
        <w:pStyle w:val="Normal"/>
        <w:spacing w:lineRule="auto" w:line="480"/>
        <w:rPr/>
      </w:pPr>
      <w:r>
        <w:rPr/>
      </w:r>
      <w:r>
        <w:br w:type="page"/>
      </w:r>
    </w:p>
    <w:p>
      <w:pPr>
        <w:pStyle w:val="Normal"/>
        <w:spacing w:lineRule="auto" w:line="480" w:before="0" w:after="0"/>
        <w:rPr/>
      </w:pPr>
      <w:bookmarkStart w:id="2" w:name="_Hlk171502667"/>
      <w:bookmarkStart w:id="3" w:name="_Hlk176427072"/>
      <w:r>
        <w:rPr/>
        <w:t>Supplementary Table 2:</w:t>
        <w:tab/>
        <w:t xml:space="preserve">Clinical pathology parameters. </w:t>
      </w:r>
      <w:bookmarkEnd w:id="3"/>
      <w:r>
        <w:rPr/>
        <w:t>Group means ± 1 standard deviation. Reference range is listed for each parameter</w:t>
      </w:r>
      <w:bookmarkEnd w:id="2"/>
      <w:r>
        <w:rPr/>
        <w:t>.</w:t>
      </w:r>
    </w:p>
    <w:p>
      <w:pPr>
        <w:pStyle w:val="Normal"/>
        <w:spacing w:lineRule="auto" w:line="480"/>
        <w:rPr/>
      </w:pPr>
      <w:r>
        <w:rPr/>
      </w:r>
    </w:p>
    <w:tbl>
      <w:tblPr>
        <w:tblW w:w="9990" w:type="dxa"/>
        <w:jc w:val="left"/>
        <w:tblInd w:w="-460" w:type="dxa"/>
        <w:tblLayout w:type="fixed"/>
        <w:tblCellMar>
          <w:top w:w="0" w:type="dxa"/>
          <w:left w:w="108" w:type="dxa"/>
          <w:bottom w:w="0" w:type="dxa"/>
          <w:right w:w="108" w:type="dxa"/>
        </w:tblCellMar>
        <w:tblLook w:firstRow="1" w:noVBand="1" w:lastRow="0" w:firstColumn="1" w:lastColumn="0" w:noHBand="0" w:val="04a0"/>
      </w:tblPr>
      <w:tblGrid>
        <w:gridCol w:w="1169"/>
        <w:gridCol w:w="1521"/>
        <w:gridCol w:w="2439"/>
        <w:gridCol w:w="2431"/>
        <w:gridCol w:w="2430"/>
      </w:tblGrid>
      <w:tr>
        <w:trPr>
          <w:tblHeader w:val="true"/>
          <w:trHeight w:val="600" w:hRule="atLeast"/>
        </w:trPr>
        <w:tc>
          <w:tcPr>
            <w:tcW w:w="1169" w:type="dxa"/>
            <w:tcBorders>
              <w:top w:val="single" w:sz="8" w:space="0" w:color="000000"/>
              <w:left w:val="single" w:sz="8" w:space="0" w:color="000000"/>
              <w:bottom w:val="single" w:sz="4" w:space="0" w:color="000000"/>
              <w:right w:val="single" w:sz="4" w:space="0" w:color="000000"/>
            </w:tcBorders>
            <w:shd w:color="auto" w:fill="auto" w:val="clear"/>
          </w:tcPr>
          <w:p>
            <w:pPr>
              <w:pStyle w:val="Normal"/>
              <w:spacing w:lineRule="auto" w:line="480"/>
              <w:rPr/>
            </w:pPr>
            <w:r>
              <w:rPr/>
              <w:t>Study Day</w:t>
            </w:r>
          </w:p>
        </w:tc>
        <w:tc>
          <w:tcPr>
            <w:tcW w:w="1521" w:type="dxa"/>
            <w:tcBorders>
              <w:top w:val="single" w:sz="8" w:space="0" w:color="000000"/>
              <w:bottom w:val="single" w:sz="4" w:space="0" w:color="000000"/>
              <w:right w:val="single" w:sz="4" w:space="0" w:color="000000"/>
            </w:tcBorders>
            <w:shd w:color="auto" w:fill="auto" w:val="clear"/>
          </w:tcPr>
          <w:p>
            <w:pPr>
              <w:pStyle w:val="Normal"/>
              <w:spacing w:lineRule="auto" w:line="480"/>
              <w:rPr/>
            </w:pPr>
            <w:r>
              <w:rPr/>
              <w:t>Control</w:t>
            </w:r>
          </w:p>
        </w:tc>
        <w:tc>
          <w:tcPr>
            <w:tcW w:w="2439" w:type="dxa"/>
            <w:tcBorders>
              <w:top w:val="single" w:sz="8" w:space="0" w:color="000000"/>
              <w:bottom w:val="single" w:sz="4" w:space="0" w:color="000000"/>
              <w:right w:val="single" w:sz="4" w:space="0" w:color="000000"/>
            </w:tcBorders>
            <w:shd w:color="auto" w:fill="auto" w:val="clear"/>
          </w:tcPr>
          <w:p>
            <w:pPr>
              <w:pStyle w:val="Normal"/>
              <w:spacing w:lineRule="auto" w:line="480"/>
              <w:rPr/>
            </w:pPr>
            <w:r>
              <w:rPr/>
              <w:t>Group 1x</w:t>
            </w:r>
          </w:p>
        </w:tc>
        <w:tc>
          <w:tcPr>
            <w:tcW w:w="2431" w:type="dxa"/>
            <w:tcBorders>
              <w:top w:val="single" w:sz="8" w:space="0" w:color="000000"/>
              <w:bottom w:val="single" w:sz="4" w:space="0" w:color="000000"/>
              <w:right w:val="single" w:sz="4" w:space="0" w:color="000000"/>
            </w:tcBorders>
            <w:shd w:color="auto" w:fill="auto" w:val="clear"/>
          </w:tcPr>
          <w:p>
            <w:pPr>
              <w:pStyle w:val="Normal"/>
              <w:spacing w:lineRule="auto" w:line="480"/>
              <w:rPr/>
            </w:pPr>
            <w:r>
              <w:rPr/>
              <w:t>Group 3x</w:t>
            </w:r>
          </w:p>
        </w:tc>
        <w:tc>
          <w:tcPr>
            <w:tcW w:w="2430" w:type="dxa"/>
            <w:tcBorders>
              <w:top w:val="single" w:sz="8" w:space="0" w:color="000000"/>
              <w:bottom w:val="single" w:sz="4" w:space="0" w:color="000000"/>
              <w:right w:val="single" w:sz="8" w:space="0" w:color="000000"/>
            </w:tcBorders>
            <w:shd w:color="auto" w:fill="auto" w:val="clear"/>
          </w:tcPr>
          <w:p>
            <w:pPr>
              <w:pStyle w:val="Normal"/>
              <w:spacing w:lineRule="auto" w:line="480"/>
              <w:rPr/>
            </w:pPr>
            <w:r>
              <w:rPr/>
              <w:t>Group 5x</w:t>
            </w:r>
          </w:p>
        </w:tc>
      </w:tr>
      <w:tr>
        <w:trPr>
          <w:trHeight w:val="345"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pPr>
            <w:r>
              <w:rPr/>
              <w:t>White Blood Cells (x 10</w:t>
            </w:r>
            <w:r>
              <w:rPr>
                <w:vertAlign w:val="superscript"/>
              </w:rPr>
              <w:t>9</w:t>
            </w:r>
            <w:r>
              <w:rPr/>
              <w:t>/L) (5.3 - 14.9)</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12.6 ± 4.71</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11.8 ± 2.40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13.3 ± 0.55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15.5 ± 2.62</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12.9 ± 1.77</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13.8 ± 1.17</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15.8 ± 2.46</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13.5 ± 3.56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12.5 ± 2.77</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12.9 ± 1.60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15.0 ± 1.67</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12.3 ± 3.27</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11.7 ± 1.88</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12.4 ± 0.65</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13.4 ± 1.02</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13.6 ± 1.74</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12.1 ± 1.50</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13.9 ± 1.27</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14.3 ± 2.44</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13.1 ± 3.40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13.9 ± 1.01</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12.6 ± 0.21</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13.8 ± 2.10</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12.3 ± 4.04</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pPr>
            <w:r>
              <w:rPr/>
              <w:t>Hemoglobin (g/L) (130 - 200)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149.3 ± 18.3</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142.7 ± 14.5</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140.0 ± 9.0</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159.7 ± 18.1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142.3 ± 21.2</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142.7 ± 9.5</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144.7 ± 7.5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153.0 ± 23.4</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139.7 ± 12.2</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137.0 ± 10.0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143.7 ± 2.1</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151.3 ± 16.2</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140.0 ± 13.2</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138.7 ± 12.5</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150.3 ± 2.3</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157.3 ± 24.8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137.0 ± 13.1</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140.7 ± 14.0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144.3 ± 6.0</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157.0 ± 26.3</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134.0 ± 11.4</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151.3 ± 5.1</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149.3 ± 3.8</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164.3 ± 30.0</w:t>
            </w:r>
          </w:p>
        </w:tc>
      </w:tr>
      <w:tr>
        <w:trPr>
          <w:trHeight w:val="345"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rFonts w:ascii="Calibri" w:hAnsi="Calibri" w:eastAsia="Times New Roman" w:cs="Calibri"/>
                <w:color w:val="000000"/>
                <w:lang w:eastAsia="en-AU"/>
              </w:rPr>
            </w:pPr>
            <w:r>
              <w:rPr>
                <w:rFonts w:eastAsia="Times New Roman" w:cs="Calibri" w:ascii="Calibri" w:hAnsi="Calibri"/>
                <w:color w:val="000000"/>
                <w:lang w:eastAsia="en-AU"/>
              </w:rPr>
              <w:t>Red Blood Cells (x 10</w:t>
            </w:r>
            <w:r>
              <w:rPr>
                <w:rFonts w:eastAsia="Times New Roman" w:cs="Calibri" w:ascii="Calibri" w:hAnsi="Calibri"/>
                <w:color w:val="000000"/>
                <w:vertAlign w:val="superscript"/>
                <w:lang w:eastAsia="en-AU"/>
              </w:rPr>
              <w:t>12</w:t>
            </w:r>
            <w:r>
              <w:rPr>
                <w:rFonts w:eastAsia="Times New Roman" w:cs="Calibri" w:ascii="Calibri" w:hAnsi="Calibri"/>
                <w:color w:val="000000"/>
                <w:lang w:eastAsia="en-AU"/>
              </w:rPr>
              <w:t>/L) (5.5 - 8.4)</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6.3 ± 0.64</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6.7 ± 0.96</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5.9 ± 0.47</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6.7 ± 0.81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5.9 ± 0.78</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6.7 ± 0.96</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6.1 ± 0.36</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6.5 ± 1.03</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5.8 ± 0.35</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6.5 ± 1.00</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6.0 ± 0.12</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6.3 ± 0.56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5.8 ± 0.45</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6.4 ± 0.97</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6.2 ± 0.12</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6.5 ± 0.95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5.7 ± 0.60</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6.6 ± 0.96</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6.1 ± 0.29</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6.6 ± 0.98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5.6 ± 0.26</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7.0 ± 0.79</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6.3 ± 0.15</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6.9 ± 1.18</w:t>
            </w:r>
          </w:p>
        </w:tc>
      </w:tr>
      <w:tr>
        <w:trPr>
          <w:trHeight w:val="300" w:hRule="atLeast"/>
        </w:trPr>
        <w:tc>
          <w:tcPr>
            <w:tcW w:w="9990" w:type="dxa"/>
            <w:gridSpan w:val="5"/>
            <w:tcBorders>
              <w:top w:val="single" w:sz="4" w:space="0" w:color="000000"/>
              <w:left w:val="single" w:sz="8" w:space="0" w:color="000000"/>
              <w:right w:val="single" w:sz="8" w:space="0" w:color="000000"/>
            </w:tcBorders>
            <w:shd w:color="auto" w:fill="auto" w:val="clear"/>
            <w:vAlign w:val="bottom"/>
          </w:tcPr>
          <w:p>
            <w:pPr>
              <w:pStyle w:val="Normal"/>
              <w:spacing w:lineRule="auto" w:line="480"/>
              <w:rPr>
                <w:rFonts w:ascii="Calibri" w:hAnsi="Calibri" w:eastAsia="Times New Roman" w:cs="Calibri"/>
                <w:color w:val="000000"/>
                <w:lang w:eastAsia="en-AU"/>
              </w:rPr>
            </w:pPr>
            <w:r>
              <w:rPr>
                <w:rFonts w:eastAsia="Times New Roman" w:cs="Calibri" w:ascii="Calibri" w:hAnsi="Calibri"/>
                <w:color w:val="000000"/>
                <w:lang w:eastAsia="en-AU"/>
              </w:rPr>
              <w:t>Hematocrit (L/L) (0.37 - 0.55)</w:t>
            </w:r>
          </w:p>
        </w:tc>
      </w:tr>
      <w:tr>
        <w:trPr>
          <w:trHeight w:val="300" w:hRule="atLeast"/>
        </w:trPr>
        <w:tc>
          <w:tcPr>
            <w:tcW w:w="1169" w:type="dxa"/>
            <w:tcBorders>
              <w:top w:val="single" w:sz="4" w:space="0" w:color="000000"/>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w:t>
            </w:r>
          </w:p>
        </w:tc>
        <w:tc>
          <w:tcPr>
            <w:tcW w:w="1521" w:type="dxa"/>
            <w:tcBorders>
              <w:top w:val="single" w:sz="4"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0.44 ± 0.05</w:t>
            </w:r>
          </w:p>
        </w:tc>
        <w:tc>
          <w:tcPr>
            <w:tcW w:w="2439" w:type="dxa"/>
            <w:tcBorders>
              <w:top w:val="single" w:sz="4"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0.42 ± 0.03</w:t>
            </w:r>
          </w:p>
        </w:tc>
        <w:tc>
          <w:tcPr>
            <w:tcW w:w="2431" w:type="dxa"/>
            <w:tcBorders>
              <w:top w:val="single" w:sz="4"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0.41 ± 0.03</w:t>
            </w:r>
          </w:p>
        </w:tc>
        <w:tc>
          <w:tcPr>
            <w:tcW w:w="2430" w:type="dxa"/>
            <w:tcBorders>
              <w:top w:val="single" w:sz="4" w:space="0" w:color="000000"/>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0.46 ± 0.05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0.41 ± 0.05</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0.43 ± 0.02</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0.43 ± 0.02</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0.45 ± 0.06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0.41 ± 0.03</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0.42 ± 0.02</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0.42 ± 0.01</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0.44 ± 0.04</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0.42 ± 0.03</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0.42 ± 0.03</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0.44 ± 0.00</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0.46 ± 0.06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0.40 ± 0.04</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0.42 ± 0.03</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0.42 ± 0.01</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0.45 ± 0.06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0.40 ± 0.03</w:t>
            </w:r>
          </w:p>
        </w:tc>
        <w:tc>
          <w:tcPr>
            <w:tcW w:w="2439"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0.46 ± 0.01</w:t>
            </w:r>
          </w:p>
        </w:tc>
        <w:tc>
          <w:tcPr>
            <w:tcW w:w="2431" w:type="dxa"/>
            <w:tcBorders>
              <w:bottom w:val="single" w:sz="4" w:space="0" w:color="000000"/>
              <w:right w:val="single" w:sz="4"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0.43 ± 0.01</w:t>
            </w:r>
          </w:p>
        </w:tc>
        <w:tc>
          <w:tcPr>
            <w:tcW w:w="2430" w:type="dxa"/>
            <w:tcBorders>
              <w:bottom w:val="single" w:sz="4" w:space="0" w:color="000000"/>
              <w:right w:val="single" w:sz="8" w:space="0" w:color="000000"/>
            </w:tcBorders>
            <w:shd w:color="auto" w:fill="auto" w:val="clear"/>
            <w:vAlign w:val="bottom"/>
          </w:tcPr>
          <w:p>
            <w:pPr>
              <w:pStyle w:val="Normal"/>
              <w:spacing w:lineRule="auto" w:line="480"/>
              <w:jc w:val="center"/>
              <w:rPr>
                <w:rFonts w:ascii="Calibri" w:hAnsi="Calibri" w:eastAsia="Times New Roman" w:cs="Calibri"/>
                <w:color w:val="000000"/>
                <w:lang w:eastAsia="en-AU"/>
              </w:rPr>
            </w:pPr>
            <w:r>
              <w:rPr>
                <w:rFonts w:eastAsia="Times New Roman" w:cs="Calibri" w:ascii="Calibri" w:hAnsi="Calibri"/>
                <w:color w:val="000000"/>
                <w:lang w:eastAsia="en-AU"/>
              </w:rPr>
              <w:t>0.47 ± 0.07</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pPr>
            <w:r>
              <w:rPr/>
              <w:t>Alkaline Phosphatase (U/L) (1 - 182)</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43.0 ± 18.2</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43.0 ± 28.8</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38.0 ± 17.7</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45.7 ± 25.5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40.3 ± 19.9</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50.0 ± 32.9</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40.0 ± 21.1</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46.3 ± 26.3</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45.7 ± 36.0</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42.7 ± 28.5</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40.3 ± 23.1</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50.3 ± 24.8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37.3 ± 17.9</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40.3 ± 26.1</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42.3 ± 23.5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44.0 ± 21.6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32.7 ± 15.0</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36.3 ± 17.4</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32.3 ± 11.9</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36.0 ± 13.1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26.0 ± 12.2</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32.7 ± 14.4</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31.3 ± 9.9</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27.3 ± 7.5</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pPr>
            <w:r>
              <w:rPr/>
              <w:t>Alanine Aminotransferase (U/L) (1 - 80)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33.7 ± 5.9</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32.0 ± 4.0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30.0 ± 6.2</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29.3 ± 5.9</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32.3 ± 6.4</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32.3 ± 3.8</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40.3 ± 19.6</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26.3 ± 4.0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30.7 ± 6.0</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25.7 ± 4.6</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30.0 ± 6.1</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26.0 ± 4.4</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40.0 ± 13.1</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28.7 ± 6.1</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43.7 ± 22.5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32.0 ± 6.9</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30.7 ± 5.0</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26.0 ± 2.0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29.0 ± 6.1</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35.0 ± 13.1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31.0 ± 4.6</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31.3 ± 8.1</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37.3 ± 3.2</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36.7 ± 7.4</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pPr>
            <w:r>
              <w:rPr/>
              <w:t>Urea (mmol/L) (2.5 - 9.0)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4.87 ± 0.49</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4.73 ± 1.46</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4.23 ± 1.02</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4.70 ± 0.40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5.23 ± 0.47</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5.60 ± 2.15</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3.70 ± 0.75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3.93 ± 0.25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5.03 ± 0.65</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4.43 ± 1.17</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4.07 ± 0.38</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4.03 ± 0.21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4.70 ± 0.44</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4.30 ± 0.87</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3.30 ± 0.53</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3.97 ± 0.21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4.50 ± 0.46</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4.47 ± 1.36</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3.73 ± 0.64</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4.53 ± 0.75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4.27 ± 0.25</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4.10 ± 0.82</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3.57 ± 0.76</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5.00 ± 0.75</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pPr>
            <w:r>
              <w:rPr/>
              <w:t>Creatinine (µmol/L) (44 - 125)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88.7 ± 4.2</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82.7 ± 5.5</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73.0 ± 10.8</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87.0 ± 7.0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79.0 ± 7.5</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77.7 ± 7.0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68.0 ± 8.2</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77.0 ± 1.0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83.7 ± 6.4</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79.0 ± 8.2</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76.0 ± 12.5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79.7 ± 5.7</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84.7 ± 6.5</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82.0 ± 7.8</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74.0 ± 11.5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80.0 ± 4.4</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85.0 ± 3.6</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78.3 ± 10.1</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70.0 ± 12.1</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76.3 ± 0.6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82.0 ± 5.6</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78.3 ± 6.7</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72.0 ± 16.5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85.7 ± 9.9</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pPr>
            <w:r>
              <w:rPr/>
              <w:t>Protein (g/L) (53 - 73)</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64.0 ± 2.65</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64.3 ± 3.06</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64.0 ± 3.46</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64.0 ± 2.65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63.3 ± 5.86</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65.0 ± 3.00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68.3 ± 5.51</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66.0 ± 6.24</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64.7 ± 4.93</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66.3 ± 1.53</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68.7 ± 5.03</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65.3 ± 4.62</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63.0 ± 4.58</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67.3 ± 3.51</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68.7 ± 5.51</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67.0 ± 6.00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71.0 ± 5.20</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69.3 ± 5.03</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68.7 ± 10.02</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68.0 ± 2.65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76.7 ± 12.34</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71.0 ± 4.58</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73.0 ± 3.61</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70.0 ± 4.36</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pPr>
            <w:r>
              <w:rPr/>
              <w:t>Sodium (mmol/L) (140 - 155)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145 ± 1.15</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146 ± 1.53</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145 ± 1.73</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145 ± 1.00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145 ± 0.58</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146 ± 2.52</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145 ± 1.00</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145 ± 1.00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144 ± 2.89</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145 ± 0.58</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146 ± 0.00</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144 ± 1.15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145 ± 1.73</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146 ± 1.00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145 ± 1.00</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145 ± 0.58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145 ± 0.58</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146 ± 0.00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147 ± 0.58</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146 ± 0.00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144 ± 1.00</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145 ± 0.58</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146 ± 0.58</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146 ± 0.58</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pPr>
            <w:r>
              <w:rPr/>
              <w:t>Potassium (mmol/L) (3.8 - 5.8)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5.00 ± 0.30</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4.60 ± 0.10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4.77 ± 0.15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5.17 ± 0.21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4.87 ± 0.23</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4.77 ± 0.29</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4.87 ± 0.15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5.10 ± 0.10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4.83 ± 0.06</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4.63 ± 0.25</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4.83 ± 0.21</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5.07 ± 0.12</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5.27 ± 0.38</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4.93 ± 0.21</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5.37 ± 0.06</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5.57 ± 0.23</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4.87 ± 0.25</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4.67 ± 0.15</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4.73 ± 0.12</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5.17 ± 0.25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90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4.93 ± 0.23</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4.67 ± 0.06</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4.73 ± 0.15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4.87 ± 0.25</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bottom"/>
          </w:tcPr>
          <w:p>
            <w:pPr>
              <w:pStyle w:val="Normal"/>
              <w:spacing w:lineRule="auto" w:line="480"/>
              <w:rPr/>
            </w:pPr>
            <w:r>
              <w:rPr/>
              <w:t>Glucose (mmol/L) (3.5 - 6.7)</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0</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2.93 ± 0.55</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2.97 ± 0.38</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2.87 ± 0.12</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2.10 ± 0.17</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7</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2.33 ± 0.47</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1.90 ± 0.36</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2.07 ± 0.45</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1.97 ± 0.78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14</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3.10 ± 0.35</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2.23 ± 0.32</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1.70 ± 0.46</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2.03 ± 0.38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28</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1.97 ± 0.50</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1.87 ± 0.75</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1.77 ± 0.12</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1.77 ± 0.15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bottom"/>
          </w:tcPr>
          <w:p>
            <w:pPr>
              <w:pStyle w:val="Normal"/>
              <w:spacing w:lineRule="auto" w:line="480"/>
              <w:rPr/>
            </w:pPr>
            <w:r>
              <w:rPr/>
              <w:t>56</w:t>
            </w:r>
          </w:p>
        </w:tc>
        <w:tc>
          <w:tcPr>
            <w:tcW w:w="1521" w:type="dxa"/>
            <w:tcBorders>
              <w:bottom w:val="single" w:sz="4" w:space="0" w:color="000000"/>
              <w:right w:val="single" w:sz="4" w:space="0" w:color="000000"/>
            </w:tcBorders>
            <w:shd w:color="auto" w:fill="auto" w:val="clear"/>
            <w:vAlign w:val="bottom"/>
          </w:tcPr>
          <w:p>
            <w:pPr>
              <w:pStyle w:val="Normal"/>
              <w:spacing w:lineRule="auto" w:line="480"/>
              <w:rPr/>
            </w:pPr>
            <w:r>
              <w:rPr/>
              <w:t>1.80 ± 0.10</w:t>
            </w:r>
          </w:p>
        </w:tc>
        <w:tc>
          <w:tcPr>
            <w:tcW w:w="2439" w:type="dxa"/>
            <w:tcBorders>
              <w:bottom w:val="single" w:sz="4" w:space="0" w:color="000000"/>
              <w:right w:val="single" w:sz="4" w:space="0" w:color="000000"/>
            </w:tcBorders>
            <w:shd w:color="auto" w:fill="auto" w:val="clear"/>
            <w:vAlign w:val="bottom"/>
          </w:tcPr>
          <w:p>
            <w:pPr>
              <w:pStyle w:val="Normal"/>
              <w:spacing w:lineRule="auto" w:line="480"/>
              <w:rPr/>
            </w:pPr>
            <w:r>
              <w:rPr/>
              <w:t>1.30 ± 0.70</w:t>
            </w:r>
          </w:p>
        </w:tc>
        <w:tc>
          <w:tcPr>
            <w:tcW w:w="2431" w:type="dxa"/>
            <w:tcBorders>
              <w:bottom w:val="single" w:sz="4" w:space="0" w:color="000000"/>
              <w:right w:val="single" w:sz="4" w:space="0" w:color="000000"/>
            </w:tcBorders>
            <w:shd w:color="auto" w:fill="auto" w:val="clear"/>
            <w:vAlign w:val="bottom"/>
          </w:tcPr>
          <w:p>
            <w:pPr>
              <w:pStyle w:val="Normal"/>
              <w:spacing w:lineRule="auto" w:line="480"/>
              <w:rPr/>
            </w:pPr>
            <w:r>
              <w:rPr/>
              <w:t>1.60 ± 0.40</w:t>
            </w:r>
          </w:p>
        </w:tc>
        <w:tc>
          <w:tcPr>
            <w:tcW w:w="2430" w:type="dxa"/>
            <w:tcBorders>
              <w:bottom w:val="single" w:sz="4" w:space="0" w:color="000000"/>
              <w:right w:val="single" w:sz="8" w:space="0" w:color="000000"/>
            </w:tcBorders>
            <w:shd w:color="auto" w:fill="auto" w:val="clear"/>
            <w:vAlign w:val="bottom"/>
          </w:tcPr>
          <w:p>
            <w:pPr>
              <w:pStyle w:val="Normal"/>
              <w:spacing w:lineRule="auto" w:line="480"/>
              <w:rPr/>
            </w:pPr>
            <w:r>
              <w:rPr/>
              <w:t>1.17 ± 0.12</w:t>
            </w:r>
          </w:p>
        </w:tc>
      </w:tr>
      <w:tr>
        <w:trPr>
          <w:trHeight w:val="315" w:hRule="atLeast"/>
        </w:trPr>
        <w:tc>
          <w:tcPr>
            <w:tcW w:w="1169" w:type="dxa"/>
            <w:tcBorders>
              <w:left w:val="single" w:sz="8" w:space="0" w:color="000000"/>
              <w:bottom w:val="single" w:sz="8" w:space="0" w:color="000000"/>
              <w:right w:val="single" w:sz="4" w:space="0" w:color="000000"/>
            </w:tcBorders>
            <w:shd w:color="auto" w:fill="auto" w:val="clear"/>
            <w:vAlign w:val="bottom"/>
          </w:tcPr>
          <w:p>
            <w:pPr>
              <w:pStyle w:val="Normal"/>
              <w:spacing w:lineRule="auto" w:line="480"/>
              <w:rPr/>
            </w:pPr>
            <w:r>
              <w:rPr/>
              <w:t>90</w:t>
            </w:r>
          </w:p>
        </w:tc>
        <w:tc>
          <w:tcPr>
            <w:tcW w:w="1521" w:type="dxa"/>
            <w:tcBorders>
              <w:bottom w:val="single" w:sz="8" w:space="0" w:color="000000"/>
              <w:right w:val="single" w:sz="4" w:space="0" w:color="000000"/>
            </w:tcBorders>
            <w:shd w:color="auto" w:fill="auto" w:val="clear"/>
            <w:vAlign w:val="bottom"/>
          </w:tcPr>
          <w:p>
            <w:pPr>
              <w:pStyle w:val="Normal"/>
              <w:spacing w:lineRule="auto" w:line="480"/>
              <w:rPr/>
            </w:pPr>
            <w:r>
              <w:rPr/>
              <w:t>2.53 ± 0.32</w:t>
            </w:r>
          </w:p>
        </w:tc>
        <w:tc>
          <w:tcPr>
            <w:tcW w:w="2439" w:type="dxa"/>
            <w:tcBorders>
              <w:bottom w:val="single" w:sz="8" w:space="0" w:color="000000"/>
              <w:right w:val="single" w:sz="4" w:space="0" w:color="000000"/>
            </w:tcBorders>
            <w:shd w:color="auto" w:fill="auto" w:val="clear"/>
            <w:vAlign w:val="bottom"/>
          </w:tcPr>
          <w:p>
            <w:pPr>
              <w:pStyle w:val="Normal"/>
              <w:spacing w:lineRule="auto" w:line="480"/>
              <w:rPr/>
            </w:pPr>
            <w:r>
              <w:rPr/>
              <w:t>2.37 ± 0.21</w:t>
            </w:r>
          </w:p>
        </w:tc>
        <w:tc>
          <w:tcPr>
            <w:tcW w:w="2431" w:type="dxa"/>
            <w:tcBorders>
              <w:bottom w:val="single" w:sz="8" w:space="0" w:color="000000"/>
              <w:right w:val="single" w:sz="4" w:space="0" w:color="000000"/>
            </w:tcBorders>
            <w:shd w:color="auto" w:fill="auto" w:val="clear"/>
            <w:vAlign w:val="bottom"/>
          </w:tcPr>
          <w:p>
            <w:pPr>
              <w:pStyle w:val="Normal"/>
              <w:spacing w:lineRule="auto" w:line="480"/>
              <w:rPr/>
            </w:pPr>
            <w:r>
              <w:rPr/>
              <w:t>2.07 ± 0.49</w:t>
            </w:r>
          </w:p>
        </w:tc>
        <w:tc>
          <w:tcPr>
            <w:tcW w:w="2430" w:type="dxa"/>
            <w:tcBorders>
              <w:bottom w:val="single" w:sz="8" w:space="0" w:color="000000"/>
              <w:right w:val="single" w:sz="8" w:space="0" w:color="000000"/>
            </w:tcBorders>
            <w:shd w:color="auto" w:fill="auto" w:val="clear"/>
            <w:vAlign w:val="bottom"/>
          </w:tcPr>
          <w:p>
            <w:pPr>
              <w:pStyle w:val="Normal"/>
              <w:spacing w:lineRule="auto" w:line="480"/>
              <w:rPr/>
            </w:pPr>
            <w:r>
              <w:rPr/>
              <w:t>1.87 ± 0.78</w:t>
            </w:r>
          </w:p>
        </w:tc>
      </w:tr>
    </w:tbl>
    <w:p>
      <w:pPr>
        <w:pStyle w:val="Normal"/>
        <w:spacing w:lineRule="auto" w:line="480"/>
        <w:rPr>
          <w:lang w:bidi="en-US"/>
        </w:rPr>
      </w:pPr>
      <w:r>
        <w:rPr>
          <w:lang w:bidi="en-US"/>
        </w:rPr>
      </w:r>
    </w:p>
    <w:p>
      <w:pPr>
        <w:pStyle w:val="Normal"/>
        <w:spacing w:lineRule="auto" w:line="480"/>
        <w:rPr>
          <w:lang w:bidi="en-US"/>
        </w:rPr>
      </w:pPr>
      <w:r>
        <w:rPr>
          <w:lang w:bidi="en-US"/>
        </w:rPr>
      </w:r>
      <w:r>
        <w:br w:type="page"/>
      </w:r>
    </w:p>
    <w:p>
      <w:pPr>
        <w:pStyle w:val="Normal"/>
        <w:spacing w:lineRule="auto" w:line="480" w:before="0" w:after="0"/>
        <w:rPr>
          <w:lang w:bidi="en-US"/>
        </w:rPr>
      </w:pPr>
      <w:bookmarkStart w:id="4" w:name="_Hlk176427122"/>
      <w:r>
        <w:rPr>
          <w:lang w:bidi="en-US"/>
        </w:rPr>
        <w:t>Supplementary Table 3:</w:t>
        <w:tab/>
        <w:t>Endocrine parameters</w:t>
      </w:r>
      <w:bookmarkEnd w:id="4"/>
      <w:r>
        <w:rPr>
          <w:lang w:bidi="en-US"/>
        </w:rPr>
        <w:t xml:space="preserve">. Group means ± 1 standard deviation. </w:t>
      </w:r>
    </w:p>
    <w:p>
      <w:pPr>
        <w:pStyle w:val="Normal"/>
        <w:spacing w:lineRule="auto" w:line="480"/>
        <w:rPr>
          <w:lang w:bidi="en-US"/>
        </w:rPr>
      </w:pPr>
      <w:r>
        <w:rPr>
          <w:lang w:bidi="en-US"/>
        </w:rPr>
      </w:r>
    </w:p>
    <w:tbl>
      <w:tblPr>
        <w:tblW w:w="9990" w:type="dxa"/>
        <w:jc w:val="left"/>
        <w:tblInd w:w="-460" w:type="dxa"/>
        <w:tblLayout w:type="fixed"/>
        <w:tblCellMar>
          <w:top w:w="0" w:type="dxa"/>
          <w:left w:w="108" w:type="dxa"/>
          <w:bottom w:w="0" w:type="dxa"/>
          <w:right w:w="108" w:type="dxa"/>
        </w:tblCellMar>
        <w:tblLook w:firstRow="1" w:noVBand="1" w:lastRow="0" w:firstColumn="1" w:lastColumn="0" w:noHBand="0" w:val="04a0"/>
      </w:tblPr>
      <w:tblGrid>
        <w:gridCol w:w="1169"/>
        <w:gridCol w:w="1531"/>
        <w:gridCol w:w="2429"/>
        <w:gridCol w:w="2431"/>
        <w:gridCol w:w="2430"/>
      </w:tblGrid>
      <w:tr>
        <w:trPr>
          <w:tblHeader w:val="true"/>
          <w:trHeight w:val="600" w:hRule="atLeast"/>
        </w:trPr>
        <w:tc>
          <w:tcPr>
            <w:tcW w:w="1169" w:type="dxa"/>
            <w:tcBorders>
              <w:top w:val="single" w:sz="8" w:space="0" w:color="000000"/>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Study Day</w:t>
            </w:r>
          </w:p>
        </w:tc>
        <w:tc>
          <w:tcPr>
            <w:tcW w:w="1531" w:type="dxa"/>
            <w:tcBorders>
              <w:top w:val="single" w:sz="8" w:space="0" w:color="000000"/>
              <w:bottom w:val="single" w:sz="4" w:space="0" w:color="000000"/>
              <w:right w:val="single" w:sz="4" w:space="0" w:color="000000"/>
            </w:tcBorders>
            <w:shd w:color="auto" w:fill="auto" w:val="clear"/>
            <w:vAlign w:val="center"/>
          </w:tcPr>
          <w:p>
            <w:pPr>
              <w:pStyle w:val="Normal"/>
              <w:spacing w:lineRule="auto" w:line="480"/>
              <w:rPr/>
            </w:pPr>
            <w:r>
              <w:rPr/>
              <w:t>Control</w:t>
            </w:r>
          </w:p>
        </w:tc>
        <w:tc>
          <w:tcPr>
            <w:tcW w:w="2429" w:type="dxa"/>
            <w:tcBorders>
              <w:top w:val="single" w:sz="8" w:space="0" w:color="000000"/>
              <w:bottom w:val="single" w:sz="4" w:space="0" w:color="000000"/>
              <w:right w:val="single" w:sz="4" w:space="0" w:color="000000"/>
            </w:tcBorders>
            <w:shd w:color="auto" w:fill="auto" w:val="clear"/>
            <w:vAlign w:val="center"/>
          </w:tcPr>
          <w:p>
            <w:pPr>
              <w:pStyle w:val="Normal"/>
              <w:spacing w:lineRule="auto" w:line="480"/>
              <w:rPr/>
            </w:pPr>
            <w:r>
              <w:rPr/>
              <w:t>Group 1x</w:t>
            </w:r>
          </w:p>
        </w:tc>
        <w:tc>
          <w:tcPr>
            <w:tcW w:w="2431" w:type="dxa"/>
            <w:tcBorders>
              <w:top w:val="single" w:sz="8" w:space="0" w:color="000000"/>
              <w:bottom w:val="single" w:sz="4" w:space="0" w:color="000000"/>
              <w:right w:val="single" w:sz="4" w:space="0" w:color="000000"/>
            </w:tcBorders>
            <w:shd w:color="auto" w:fill="auto" w:val="clear"/>
            <w:vAlign w:val="center"/>
          </w:tcPr>
          <w:p>
            <w:pPr>
              <w:pStyle w:val="Normal"/>
              <w:spacing w:lineRule="auto" w:line="480"/>
              <w:rPr/>
            </w:pPr>
            <w:r>
              <w:rPr/>
              <w:t>Group 3x</w:t>
            </w:r>
          </w:p>
        </w:tc>
        <w:tc>
          <w:tcPr>
            <w:tcW w:w="2430" w:type="dxa"/>
            <w:tcBorders>
              <w:top w:val="single" w:sz="8" w:space="0" w:color="000000"/>
              <w:bottom w:val="single" w:sz="4" w:space="0" w:color="000000"/>
              <w:right w:val="single" w:sz="8" w:space="0" w:color="000000"/>
            </w:tcBorders>
            <w:shd w:color="auto" w:fill="auto" w:val="clear"/>
            <w:vAlign w:val="center"/>
          </w:tcPr>
          <w:p>
            <w:pPr>
              <w:pStyle w:val="Normal"/>
              <w:spacing w:lineRule="auto" w:line="480"/>
              <w:rPr/>
            </w:pPr>
            <w:r>
              <w:rPr/>
              <w:t>Group 5x</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480"/>
              <w:rPr/>
            </w:pPr>
            <w:r>
              <w:rPr/>
              <w:t>Progesterone (ng/mL)</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0.02 ± 0.03</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7</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0.07 ± 0.06</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0.08 ± 0.04</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0.02 ± 0.03</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0.00 ± 0.00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14</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0.06 ± 0.07</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0.17 ± 0.12</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28</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0.03 ± 0.03</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0.02 ± 0.04</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0.00 ± 0.00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56</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0.04 ± 0.01</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0.09 ± 0.09</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0.05 ± 0.05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90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0.09 ± 0.01</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0.05 ± 0.08</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0.04 ± 0.08</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0.06 ± 0.02</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480"/>
              <w:rPr/>
            </w:pPr>
            <w:r>
              <w:rPr/>
              <w:t>Testosterone (ng/mL)</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0.02 ± 0.02</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0.01 ± 0.01</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0.02 ± 0.01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7</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0.01 ± 0.00</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0.28 ± 0.17</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1.02 ± 0.38</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1.25 ± 0.20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14</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0.02 ± 0.01</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0.34 ± 0.10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1.40 ± 0.39</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1.93 ± 0.39</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28</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0.01 ± 0.00</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0.33 ± 0.25</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1.01 ± 0.15</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1.54 ± 0.15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56</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0.01 ± 0.01</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0.23 ± 0.11</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1.21 ± 0.38</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2.25 ± 0.52</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90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0.01 ± 0.00</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0.50 ± 0.49</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2.04 ± 0.31</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2.29 ± 0.46</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480"/>
              <w:rPr/>
            </w:pPr>
            <w:r>
              <w:rPr/>
              <w:t>Estradiol (pg/mL)</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0.18 ± 0.31</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0.34 ± 0.59</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0.46 ± 0.41</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0.00 ± 0.00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7</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0.33 ± 0.58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14</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0.34 ± 0.59</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28</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0.46 ± 0.42</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0.22 ± 0.38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56</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0.22 ± 0.38</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0.20 ± 0.35</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0.00 ± 0.00</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0.51 ± 0.46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90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0.31 ± 0.53</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0.61 ± 0.64</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1.25 ± 1.51</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1.08 ± 0.51</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480"/>
              <w:rPr/>
            </w:pPr>
            <w:r>
              <w:rPr/>
              <w:t>Cortisol (ng/mL)</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15.3 ± 5.73</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15.4 ± 2.79</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13.8 ± 1.47</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18.0 ± 3.56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7</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15.8 ± 2.27</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14.7 ± 3.09</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15.0 ± 0.72</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17.7 ± 6.38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14</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26.9 ± 19.69</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15.3 ± 2.71</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15.4 ± 0.25</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18.8 ± 7.06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28</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17.5 ± 1.58</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13.0 ± 3.17</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11.2 ± 1.52</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9.9 ± 0.65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56</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14.5 ± 0.66</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12.8 ± 2.25</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11.3 ± 1.88</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13.6 ± 3.94</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90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15.6 ± 3.71</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13.8 ± 4.30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11.0 ± 0.47</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11.7 ± 0.57</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480"/>
              <w:rPr/>
            </w:pPr>
            <w:r>
              <w:rPr/>
              <w:t>Thyroid Stimulating Hormone (ng/mL)</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0.16 ± 0.04</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0.10 ± 0.03</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0.15 ± 0.02</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0.19 ± 0.06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7</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0.11 ± 0.03</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0.12 ± 0.01</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0.10 ± 0.04</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0.15 ± 0.01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14</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0.09 ± 0.03</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0.14 ± 0.04</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0.11 ± 0.05</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0.19 ± 0.05</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28</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0.15 ± 0.08</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0.14 ± 0.04</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0.17 ± 0.07</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0.14 ± 0.03</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56</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0.13 ± 0.10</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0.16 ± 0.10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0.10 ± 0.01</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0.16 ± 0.01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90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0.15 ± 0.02</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0.11 ± 0.03</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0.15 ± 0.01</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0.16 ± 0.05</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480"/>
              <w:rPr/>
            </w:pPr>
            <w:r>
              <w:rPr/>
              <w:t>Thyroid Hormone (T4) (ng/mL)</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36.2 ± 4.45</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34.3 ± 0.91</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35.2 ± 2.25</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34.9 ± 2.80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7</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35.5 ± 4.01</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34.1 ± 1.50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34.6 ± 1.16</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34.1 ± 3.06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14</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34.9 ± 2.80</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35.0 ± 0.90</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34.6 ± 1.58</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34.9 ± 1.56</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28</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34.9 ± 5.57</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33.3 ± 0.18</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34.8 ± 2.42</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35.1 ± 4.27</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56</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36.9 ± 5.58</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34.5 ± 1.47</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33.1 ± 1.42</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36.7 ± 3.38</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90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35.9 ± 4.47</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34.9 ± 0.22</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34.3 ± 2.71</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35.5 ± 1.70</w:t>
            </w:r>
          </w:p>
        </w:tc>
      </w:tr>
      <w:tr>
        <w:trPr>
          <w:trHeight w:val="300" w:hRule="atLeast"/>
        </w:trPr>
        <w:tc>
          <w:tcPr>
            <w:tcW w:w="9990" w:type="dxa"/>
            <w:gridSpan w:val="5"/>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480"/>
              <w:rPr/>
            </w:pPr>
            <w:r>
              <w:rPr/>
              <w:t>Luteinizing Hormone (ng/mL)</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0</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26.9 ± 23.54</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25.9 ± 14.39</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41.7 ± 21.99</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33.1 ± 22.61</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7</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23.0 ± 17.32</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22.6 ± 9.67</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35.8 ± 7.85</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26.4 ± 32.62</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14</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31.5 ± 23.09</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24.9 ± 9.83</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36.6 ± 18.08</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54.3 ± 93.30</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28</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28.2 ± 16.39</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28.8 ± 10.88</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52.4 ± 69.12</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1.2 ± 1.44</w:t>
            </w:r>
          </w:p>
        </w:tc>
      </w:tr>
      <w:tr>
        <w:trPr>
          <w:trHeight w:val="300" w:hRule="atLeast"/>
        </w:trPr>
        <w:tc>
          <w:tcPr>
            <w:tcW w:w="1169"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480"/>
              <w:rPr/>
            </w:pPr>
            <w:r>
              <w:rPr/>
              <w:t>56</w:t>
            </w:r>
          </w:p>
        </w:tc>
        <w:tc>
          <w:tcPr>
            <w:tcW w:w="1531" w:type="dxa"/>
            <w:tcBorders>
              <w:bottom w:val="single" w:sz="4" w:space="0" w:color="000000"/>
              <w:right w:val="single" w:sz="4" w:space="0" w:color="000000"/>
            </w:tcBorders>
            <w:shd w:color="auto" w:fill="auto" w:val="clear"/>
            <w:vAlign w:val="center"/>
          </w:tcPr>
          <w:p>
            <w:pPr>
              <w:pStyle w:val="Normal"/>
              <w:spacing w:lineRule="auto" w:line="480"/>
              <w:rPr/>
            </w:pPr>
            <w:r>
              <w:rPr/>
              <w:t>46.9 ± 36.68</w:t>
            </w:r>
          </w:p>
        </w:tc>
        <w:tc>
          <w:tcPr>
            <w:tcW w:w="2429" w:type="dxa"/>
            <w:tcBorders>
              <w:bottom w:val="single" w:sz="4" w:space="0" w:color="000000"/>
              <w:right w:val="single" w:sz="4" w:space="0" w:color="000000"/>
            </w:tcBorders>
            <w:shd w:color="auto" w:fill="auto" w:val="clear"/>
            <w:vAlign w:val="center"/>
          </w:tcPr>
          <w:p>
            <w:pPr>
              <w:pStyle w:val="Normal"/>
              <w:spacing w:lineRule="auto" w:line="480"/>
              <w:rPr/>
            </w:pPr>
            <w:r>
              <w:rPr/>
              <w:t>29.7 ± 10.78</w:t>
            </w:r>
          </w:p>
        </w:tc>
        <w:tc>
          <w:tcPr>
            <w:tcW w:w="2431" w:type="dxa"/>
            <w:tcBorders>
              <w:bottom w:val="single" w:sz="4" w:space="0" w:color="000000"/>
              <w:right w:val="single" w:sz="4" w:space="0" w:color="000000"/>
            </w:tcBorders>
            <w:shd w:color="auto" w:fill="auto" w:val="clear"/>
            <w:vAlign w:val="center"/>
          </w:tcPr>
          <w:p>
            <w:pPr>
              <w:pStyle w:val="Normal"/>
              <w:spacing w:lineRule="auto" w:line="480"/>
              <w:rPr/>
            </w:pPr>
            <w:r>
              <w:rPr/>
              <w:t>31.9 ± 28.14</w:t>
            </w:r>
          </w:p>
        </w:tc>
        <w:tc>
          <w:tcPr>
            <w:tcW w:w="2430" w:type="dxa"/>
            <w:tcBorders>
              <w:bottom w:val="single" w:sz="4" w:space="0" w:color="000000"/>
              <w:right w:val="single" w:sz="8" w:space="0" w:color="000000"/>
            </w:tcBorders>
            <w:shd w:color="auto" w:fill="auto" w:val="clear"/>
            <w:vAlign w:val="center"/>
          </w:tcPr>
          <w:p>
            <w:pPr>
              <w:pStyle w:val="Normal"/>
              <w:spacing w:lineRule="auto" w:line="480"/>
              <w:rPr/>
            </w:pPr>
            <w:r>
              <w:rPr/>
              <w:t>0.4 ± 0.72</w:t>
            </w:r>
          </w:p>
        </w:tc>
      </w:tr>
      <w:tr>
        <w:trPr>
          <w:trHeight w:val="315" w:hRule="atLeast"/>
        </w:trPr>
        <w:tc>
          <w:tcPr>
            <w:tcW w:w="1169" w:type="dxa"/>
            <w:tcBorders>
              <w:left w:val="single" w:sz="8" w:space="0" w:color="000000"/>
              <w:bottom w:val="single" w:sz="8" w:space="0" w:color="000000"/>
              <w:right w:val="single" w:sz="4" w:space="0" w:color="000000"/>
            </w:tcBorders>
            <w:shd w:color="auto" w:fill="auto" w:val="clear"/>
            <w:vAlign w:val="center"/>
          </w:tcPr>
          <w:p>
            <w:pPr>
              <w:pStyle w:val="Normal"/>
              <w:spacing w:lineRule="auto" w:line="480"/>
              <w:rPr/>
            </w:pPr>
            <w:r>
              <w:rPr/>
              <w:t>90</w:t>
            </w:r>
          </w:p>
        </w:tc>
        <w:tc>
          <w:tcPr>
            <w:tcW w:w="1531" w:type="dxa"/>
            <w:tcBorders>
              <w:bottom w:val="single" w:sz="8" w:space="0" w:color="000000"/>
              <w:right w:val="single" w:sz="4" w:space="0" w:color="000000"/>
            </w:tcBorders>
            <w:shd w:color="auto" w:fill="auto" w:val="clear"/>
            <w:vAlign w:val="center"/>
          </w:tcPr>
          <w:p>
            <w:pPr>
              <w:pStyle w:val="Normal"/>
              <w:spacing w:lineRule="auto" w:line="480"/>
              <w:rPr/>
            </w:pPr>
            <w:r>
              <w:rPr/>
              <w:t>42.0 ± 31.85</w:t>
            </w:r>
          </w:p>
        </w:tc>
        <w:tc>
          <w:tcPr>
            <w:tcW w:w="2429" w:type="dxa"/>
            <w:tcBorders>
              <w:bottom w:val="single" w:sz="8" w:space="0" w:color="000000"/>
              <w:right w:val="single" w:sz="4" w:space="0" w:color="000000"/>
            </w:tcBorders>
            <w:shd w:color="auto" w:fill="auto" w:val="clear"/>
            <w:vAlign w:val="center"/>
          </w:tcPr>
          <w:p>
            <w:pPr>
              <w:pStyle w:val="Normal"/>
              <w:spacing w:lineRule="auto" w:line="480"/>
              <w:rPr/>
            </w:pPr>
            <w:r>
              <w:rPr/>
              <w:t>27.5 ± 8.26</w:t>
            </w:r>
          </w:p>
        </w:tc>
        <w:tc>
          <w:tcPr>
            <w:tcW w:w="2431" w:type="dxa"/>
            <w:tcBorders>
              <w:bottom w:val="single" w:sz="8" w:space="0" w:color="000000"/>
              <w:right w:val="single" w:sz="4" w:space="0" w:color="000000"/>
            </w:tcBorders>
            <w:shd w:color="auto" w:fill="auto" w:val="clear"/>
            <w:vAlign w:val="center"/>
          </w:tcPr>
          <w:p>
            <w:pPr>
              <w:pStyle w:val="Normal"/>
              <w:spacing w:lineRule="auto" w:line="480"/>
              <w:rPr/>
            </w:pPr>
            <w:r>
              <w:rPr/>
              <w:t>10.6 ± 10.34</w:t>
            </w:r>
          </w:p>
        </w:tc>
        <w:tc>
          <w:tcPr>
            <w:tcW w:w="2430" w:type="dxa"/>
            <w:tcBorders>
              <w:bottom w:val="single" w:sz="8" w:space="0" w:color="000000"/>
              <w:right w:val="single" w:sz="8" w:space="0" w:color="000000"/>
            </w:tcBorders>
            <w:shd w:color="auto" w:fill="auto" w:val="clear"/>
            <w:vAlign w:val="center"/>
          </w:tcPr>
          <w:p>
            <w:pPr>
              <w:pStyle w:val="Normal"/>
              <w:spacing w:lineRule="auto" w:line="480"/>
              <w:rPr/>
            </w:pPr>
            <w:r>
              <w:rPr/>
              <w:t>0.6 ± 0.56</w:t>
            </w:r>
          </w:p>
        </w:tc>
      </w:tr>
    </w:tbl>
    <w:p>
      <w:pPr>
        <w:pStyle w:val="Normal"/>
        <w:spacing w:lineRule="auto" w:line="480"/>
        <w:rPr>
          <w:lang w:bidi="en-US"/>
        </w:rPr>
      </w:pPr>
      <w:r>
        <w:rPr>
          <w:lang w:bidi="en-US"/>
        </w:rPr>
      </w:r>
    </w:p>
    <w:p>
      <w:pPr>
        <w:pStyle w:val="Normal"/>
        <w:spacing w:lineRule="auto" w:line="480"/>
        <w:rPr>
          <w:lang w:bidi="en-US"/>
        </w:rPr>
      </w:pPr>
      <w:r>
        <w:rPr>
          <w:lang w:bidi="en-US"/>
        </w:rPr>
      </w:r>
    </w:p>
    <w:p>
      <w:pPr>
        <w:pStyle w:val="Normal"/>
        <w:spacing w:lineRule="auto" w:line="480"/>
        <w:rPr>
          <w:lang w:bidi="en-US"/>
        </w:rPr>
      </w:pPr>
      <w:r>
        <w:rPr>
          <w:lang w:bidi="en-US"/>
        </w:rPr>
      </w:r>
      <w:r>
        <w:br w:type="page"/>
      </w:r>
    </w:p>
    <w:p>
      <w:pPr>
        <w:pStyle w:val="Normal"/>
        <w:spacing w:lineRule="auto" w:line="480" w:before="0" w:after="0"/>
        <w:rPr>
          <w:lang w:bidi="en-US"/>
        </w:rPr>
      </w:pPr>
      <w:bookmarkStart w:id="5" w:name="_Hlk176426729"/>
      <w:r>
        <w:rPr>
          <w:lang w:bidi="en-US"/>
        </w:rPr>
        <w:t>Supplementary Table 4. Comparison of testosterone delivery methods applicable to dogs</w:t>
      </w:r>
      <w:r>
        <w:rPr>
          <w:vertAlign w:val="superscript"/>
          <w:lang w:bidi="en-US"/>
        </w:rPr>
        <w:t>1</w:t>
      </w:r>
      <w:bookmarkEnd w:id="5"/>
      <w:r>
        <w:rPr>
          <w:lang w:bidi="en-US"/>
        </w:rPr>
        <w:t>. Given the limited data in dogs, most information was based on human literature.</w:t>
      </w:r>
    </w:p>
    <w:p>
      <w:pPr>
        <w:pStyle w:val="Normal"/>
        <w:spacing w:lineRule="auto" w:line="480"/>
        <w:rPr>
          <w:lang w:bidi="en-US"/>
        </w:rPr>
      </w:pPr>
      <w:r>
        <w:rPr>
          <w:lang w:bidi="en-US"/>
        </w:rPr>
      </w:r>
    </w:p>
    <w:tbl>
      <w:tblPr>
        <w:tblStyle w:val="TableGrid"/>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524"/>
        <w:gridCol w:w="1449"/>
        <w:gridCol w:w="15"/>
        <w:gridCol w:w="2946"/>
        <w:gridCol w:w="3420"/>
      </w:tblGrid>
      <w:tr>
        <w:trPr/>
        <w:tc>
          <w:tcPr>
            <w:tcW w:w="1524" w:type="dxa"/>
            <w:tcBorders/>
          </w:tcPr>
          <w:p>
            <w:pPr>
              <w:pStyle w:val="Normal"/>
              <w:widowControl/>
              <w:spacing w:lineRule="auto" w:line="276" w:before="0" w:after="0"/>
              <w:jc w:val="both"/>
              <w:rPr>
                <w:vertAlign w:val="superscript"/>
                <w:lang w:bidi="en-US"/>
              </w:rPr>
            </w:pPr>
            <w:r>
              <w:rPr>
                <w:rFonts w:eastAsia="SimSun" w:cs="Times New Roman" w:ascii="Palatino Linotype" w:hAnsi="Palatino Linotype"/>
                <w:color w:val="000000"/>
                <w:kern w:val="0"/>
                <w:sz w:val="20"/>
                <w:szCs w:val="20"/>
                <w:lang w:val="en-US" w:eastAsia="zh-CN" w:bidi="en-US"/>
              </w:rPr>
              <w:t>Method</w:t>
            </w:r>
            <w:r>
              <w:rPr>
                <w:rFonts w:eastAsia="SimSun" w:cs="Times New Roman" w:ascii="Palatino Linotype" w:hAnsi="Palatino Linotype"/>
                <w:color w:val="000000"/>
                <w:kern w:val="0"/>
                <w:sz w:val="20"/>
                <w:szCs w:val="20"/>
                <w:vertAlign w:val="superscript"/>
                <w:lang w:val="en-US" w:eastAsia="zh-CN" w:bidi="en-US"/>
              </w:rPr>
              <w:t>1</w:t>
            </w:r>
          </w:p>
        </w:tc>
        <w:tc>
          <w:tcPr>
            <w:tcW w:w="1464" w:type="dxa"/>
            <w:gridSpan w:val="2"/>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Form</w:t>
            </w:r>
          </w:p>
        </w:tc>
        <w:tc>
          <w:tcPr>
            <w:tcW w:w="2946"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Pros</w:t>
            </w:r>
          </w:p>
        </w:tc>
        <w:tc>
          <w:tcPr>
            <w:tcW w:w="3420"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Cons</w:t>
            </w:r>
          </w:p>
        </w:tc>
      </w:tr>
      <w:tr>
        <w:trPr/>
        <w:tc>
          <w:tcPr>
            <w:tcW w:w="1524"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Oral</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(Testosterone undecanoate</w:t>
            </w:r>
            <w:r>
              <w:rPr>
                <w:rFonts w:eastAsia="SimSun" w:cs="Times New Roman" w:ascii="Palatino Linotype" w:hAnsi="Palatino Linotype"/>
                <w:color w:val="000000"/>
                <w:kern w:val="0"/>
                <w:sz w:val="20"/>
                <w:szCs w:val="20"/>
                <w:vertAlign w:val="superscript"/>
                <w:lang w:val="en-US" w:eastAsia="zh-CN" w:bidi="en-US"/>
              </w:rPr>
              <w:t>2</w:t>
            </w:r>
            <w:r>
              <w:rPr>
                <w:rFonts w:eastAsia="SimSun" w:cs="Times New Roman" w:ascii="Palatino Linotype" w:hAnsi="Palatino Linotype"/>
                <w:color w:val="000000"/>
                <w:kern w:val="0"/>
                <w:sz w:val="20"/>
                <w:szCs w:val="20"/>
                <w:lang w:val="en-US" w:eastAsia="zh-CN" w:bidi="en-US"/>
              </w:rPr>
              <w:t>)</w:t>
            </w:r>
          </w:p>
        </w:tc>
        <w:tc>
          <w:tcPr>
            <w:tcW w:w="1449"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Capsule</w:t>
            </w:r>
          </w:p>
        </w:tc>
        <w:tc>
          <w:tcPr>
            <w:tcW w:w="2961" w:type="dxa"/>
            <w:gridSpan w:val="2"/>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xml:space="preserve">- Ease of administration </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xml:space="preserve">- T. undecanoate avoids hepatic metabolism </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Fast reversal</w:t>
            </w:r>
          </w:p>
        </w:tc>
        <w:tc>
          <w:tcPr>
            <w:tcW w:w="3420"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Poor availability requiring multiple daily doses in men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Short half-life</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T. undecanoate requires high-fat meal and has initial high dihydrotestosterone level</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r>
          </w:p>
        </w:tc>
      </w:tr>
      <w:tr>
        <w:trPr/>
        <w:tc>
          <w:tcPr>
            <w:tcW w:w="1524"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Transdermal</w:t>
            </w:r>
          </w:p>
        </w:tc>
        <w:tc>
          <w:tcPr>
            <w:tcW w:w="1464" w:type="dxa"/>
            <w:gridSpan w:val="2"/>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Gel, lotion</w:t>
            </w:r>
          </w:p>
        </w:tc>
        <w:tc>
          <w:tcPr>
            <w:tcW w:w="2946"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Ease of administration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Fast reversal</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More stable testosterone level</w:t>
            </w:r>
          </w:p>
        </w:tc>
        <w:tc>
          <w:tcPr>
            <w:tcW w:w="3420"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Daily administration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Short half-life</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Skin irritation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Transference to others</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Lack of application sites in dogs</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Possible ingestion in dogs</w:t>
            </w:r>
          </w:p>
        </w:tc>
      </w:tr>
      <w:tr>
        <w:trPr/>
        <w:tc>
          <w:tcPr>
            <w:tcW w:w="1524"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Injection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(Testosterone cypionate</w:t>
            </w:r>
            <w:r>
              <w:rPr>
                <w:rFonts w:eastAsia="SimSun" w:cs="Times New Roman" w:ascii="Palatino Linotype" w:hAnsi="Palatino Linotype"/>
                <w:color w:val="000000"/>
                <w:kern w:val="0"/>
                <w:sz w:val="20"/>
                <w:szCs w:val="20"/>
                <w:vertAlign w:val="superscript"/>
                <w:lang w:val="en-US" w:eastAsia="zh-CN" w:bidi="en-US"/>
              </w:rPr>
              <w:t>3</w:t>
            </w:r>
            <w:r>
              <w:rPr>
                <w:rFonts w:eastAsia="SimSun" w:cs="Times New Roman" w:ascii="Palatino Linotype" w:hAnsi="Palatino Linotype"/>
                <w:color w:val="000000"/>
                <w:kern w:val="0"/>
                <w:sz w:val="20"/>
                <w:szCs w:val="20"/>
                <w:lang w:val="en-US" w:eastAsia="zh-CN" w:bidi="en-US"/>
              </w:rPr>
              <w:t>)</w:t>
            </w:r>
          </w:p>
        </w:tc>
        <w:tc>
          <w:tcPr>
            <w:tcW w:w="1464" w:type="dxa"/>
            <w:gridSpan w:val="2"/>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Oil-based liquid</w:t>
            </w:r>
          </w:p>
        </w:tc>
        <w:tc>
          <w:tcPr>
            <w:tcW w:w="2946"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Absorbed by tissue - systemic action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No transference to others</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Weekly subcutaneous injection: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Less pain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Ease of administration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More stable testosterone level</w:t>
            </w:r>
          </w:p>
        </w:tc>
        <w:tc>
          <w:tcPr>
            <w:tcW w:w="3420"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Possible erythrocytosis</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2-6 week intramuscular injection:  - Difficult to administer</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Inflammation and pain at injection site</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Fluctuation in testosterone levels</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r>
          </w:p>
        </w:tc>
      </w:tr>
      <w:tr>
        <w:trPr/>
        <w:tc>
          <w:tcPr>
            <w:tcW w:w="1524"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Implant</w:t>
            </w:r>
          </w:p>
        </w:tc>
        <w:tc>
          <w:tcPr>
            <w:tcW w:w="1464" w:type="dxa"/>
            <w:gridSpan w:val="2"/>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Pellets</w:t>
            </w:r>
          </w:p>
        </w:tc>
        <w:tc>
          <w:tcPr>
            <w:tcW w:w="2946"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Long-lasting</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Absorbed by tissue – systemic action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No transference to others</w:t>
            </w:r>
          </w:p>
        </w:tc>
        <w:tc>
          <w:tcPr>
            <w:tcW w:w="3420" w:type="dxa"/>
            <w:tcBorders/>
          </w:tcPr>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xml:space="preserve">-Requires surgical implantation </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-Site infection or pellet extrusion</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xml:space="preserve">- Longer half-life - peak then long decay </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-Difficult to remove if necessary</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-Replacement timing depends on multiple factors (BMI, # pellets)</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t>- Possible erythrocytosis</w:t>
            </w:r>
          </w:p>
          <w:p>
            <w:pPr>
              <w:pStyle w:val="Normal"/>
              <w:widowControl/>
              <w:spacing w:lineRule="auto" w:line="276" w:before="0" w:after="0"/>
              <w:jc w:val="both"/>
              <w:rPr>
                <w:lang w:bidi="en-US"/>
              </w:rPr>
            </w:pPr>
            <w:r>
              <w:rPr>
                <w:rFonts w:eastAsia="SimSun" w:cs="Times New Roman" w:ascii="Palatino Linotype" w:hAnsi="Palatino Linotype"/>
                <w:color w:val="000000"/>
                <w:kern w:val="0"/>
                <w:sz w:val="20"/>
                <w:szCs w:val="20"/>
                <w:lang w:val="en-US" w:eastAsia="zh-CN" w:bidi="en-US"/>
              </w:rPr>
            </w:r>
          </w:p>
        </w:tc>
      </w:tr>
    </w:tbl>
    <w:p>
      <w:pPr>
        <w:pStyle w:val="Normal"/>
        <w:spacing w:lineRule="auto" w:line="480"/>
        <w:rPr>
          <w:lang w:bidi="en-US"/>
        </w:rPr>
      </w:pPr>
      <w:r>
        <w:rPr>
          <w:vertAlign w:val="superscript"/>
          <w:lang w:bidi="en-US"/>
        </w:rPr>
        <w:t>1</w:t>
      </w:r>
      <w:r>
        <w:rPr>
          <w:lang w:bidi="en-US"/>
        </w:rPr>
        <w:t xml:space="preserve"> Other methods of testosterone administration, including transdermal patch, buccal, sublingual, nasal, and rectal, are less applicable to dogs.</w:t>
      </w:r>
    </w:p>
    <w:p>
      <w:pPr>
        <w:pStyle w:val="Normal"/>
        <w:spacing w:lineRule="auto" w:line="480"/>
        <w:rPr>
          <w:lang w:bidi="en-US"/>
        </w:rPr>
      </w:pPr>
      <w:r>
        <w:rPr>
          <w:vertAlign w:val="superscript"/>
          <w:lang w:bidi="en-US"/>
        </w:rPr>
        <w:t>2</w:t>
      </w:r>
      <w:r>
        <w:rPr/>
        <w:t xml:space="preserve"> N</w:t>
      </w:r>
      <w:r>
        <w:rPr>
          <w:lang w:bidi="en-US"/>
        </w:rPr>
        <w:t>ew oral testosterone formulations are under development to address the disadvantages of testosterone undecanoate</w:t>
      </w:r>
    </w:p>
    <w:p>
      <w:pPr>
        <w:pStyle w:val="Normal"/>
        <w:spacing w:lineRule="auto" w:line="480"/>
        <w:rPr>
          <w:lang w:bidi="en-US"/>
        </w:rPr>
      </w:pPr>
      <w:r>
        <w:rPr>
          <w:vertAlign w:val="superscript"/>
          <w:lang w:bidi="en-US"/>
        </w:rPr>
        <w:t>3</w:t>
      </w:r>
      <w:r>
        <w:rPr>
          <w:lang w:bidi="en-US"/>
        </w:rPr>
        <w:t>Other testosterone esters are available, with varying doses, half-lives, and impacts</w:t>
      </w:r>
    </w:p>
    <w:p>
      <w:pPr>
        <w:pStyle w:val="Normal"/>
        <w:spacing w:lineRule="auto" w:line="480"/>
        <w:rPr/>
      </w:pPr>
      <w:r>
        <w:rPr>
          <w:lang w:bidi="en-US"/>
        </w:rPr>
        <w:t xml:space="preserve">References: </w:t>
      </w:r>
      <w:r>
        <w:fldChar w:fldCharType="begin"/>
      </w:r>
      <w:r>
        <w:rPr>
          <w:lang w:bidi="en-US"/>
        </w:rPr>
        <w:instrText xml:space="preserve">ADDIN ZOTERO_ITEM CSL_CITATION {"citationID":"GRNZWReT","properties":{"formattedCitation":"(16,17,22,37,45,52\\uc0\\u8211{}56)","plainCitation":"(16,17,22,37,45,52–56)","noteIndex":0},"citationItems":[{"id":95,"uris":["http://zotero.org/users/local/wHyUzZ8l/items/L3TGIFYN"],"itemData":{"id":95,"type":"article-journal","abstract":"ABSTRACT\n            Urethral sphincter mechanism incompetence (USMI) is reported much more seldom in male dogs than in female dogs. The few existing reports evaluating the efficacy of medical therapy in controlling USMI in males have demonstrated limited success. In this case series, we report the effect of testosterone cypionate, given at a median dose of 1.5 mg/kg intramuscularly every 4 wk, in eight male dogs with USMI. Response was evaluated through the review of medical records and telephone interviews with the clients. Based on owners’ assessments, a good to excellent response was reported in three of eight dogs (38%), a slight response was reported in one of eight dogs (12%), and a poor response was reported in four of eight dogs (50%). Adverse effects were not reported, and benefit was judged sufficient to continue therapy in two cases. The results reported in this case series suggest that testosterone cypionate might be an effective and safe treatment option for male dogs with USMI.","container-title":"Journal of the American Animal Hospital Association","DOI":"10.5326/JAAHA-MS-6588","ISSN":"0587-2871, 1547-3317","issue":"5","language":"en","page":"285-290","source":"DOI.org (Crossref)","title":"Clinical Response and Side Effects Associated with Testosterone Cypionate for Urinary Incontinence in Male Dogs","volume":"53","author":[{"family":"Palerme","given":"Jean-Sébastien"},{"family":"Mazepa","given":"Allison"},{"family":"Hutchins","given":"Rae G."},{"family":"Ziglioli","given":"Vincent"},{"family":"Vaden","given":"Shelly L."}],"issued":{"date-parts":[["2017",9,1]]}}},{"id":131,"uris":["http://zotero.org/users/local/wHyUzZ8l/items/2KE8TQ8N"],"itemData":{"id":131,"type":"article-journal","container-title":"Topics in Companion Animal Medicine","DOI":"10.1016/j.tcam.2021.100565","ISSN":"19389736","journalAbbreviation":"Topics in Companion Animal Medicine","language":"en","page":"100565","source":"DOI.org (Crossref)","title":"Restoration of Reproductive Hormone Concentrations in a Male Neutered Dog Improves Health: A Case Study","title-short":"Restoration of Reproductive Hormone Concentrations in a Male Neutered Dog Improves Health","volume":"45","author":[{"family":"Brent","given":"Linda"},{"family":"Lissner","given":"Elaine A."},{"family":"Kutzler","given":"Michelle A."}],"issued":{"date-parts":[["2021",11]]}}},{"id":8,"uris":["http://zotero.org/users/local/wHyUzZ8l/items/MNZDPTWE"],"itemData":{"id":8,"type":"article-journal","container-title":"Cureus","DOI":"10.7759/cureus.27796","ISSN":"2168-8184","language":"en","source":"DOI.org (Crossref)","title":"Is Oral Testosterone the New Frontier of Testosterone Replacement Therapy?","URL":"https://www.cureus.com/articles/26237-is-oral-testosterone-the-new-frontier-of-testosterone-replacement-therapy","author":[{"family":"Ahmad","given":"Syed W"},{"family":"Molfetto","given":"Gianfranco"},{"family":"Montoya","given":"David"},{"family":"Camero","given":"Ariday"}],"accessed":{"date-parts":[["2024",7,22]]},"issued":{"date-parts":[["2022",8,8]]}}},{"id":14,"uris":["http://zotero.org/users/local/wHyUzZ8l/items/M39KPYHG"],"itemData":{"id":14,"type":"article-journal","abstract":"Abstract\n            \n              Background\n              The aim of testosterone replacement therapy (TRT) is to improve symptoms and signs of testosterone deficiency including decreased libido, erectile dysfunction, depressed mood, anaemia, loss of muscle and bone mass, by increasing serum testosterone levels to physiologic range. TRT has been used in the last 70 years, and overtime, numerous preparations and formulations have been developed to improve pharmacokinetics (PKs) and patient compliance. The routes of delivery approved for use in the Western world include buccal, nasal, subdermal, transdermal and intramuscular (IM).\n            \n            \n              Objectives\n              The aim of this narrative review was to describe and compare all available and approved testosterone preparations according to pharmacology, PKs and adverse effects.\n            \n            \n              Materials and Methods\n              We have performed an extensive PubMed review of the literature on TRT in clinical practice. Contraindications and monitoring of TRT were analyzed by comparing available guidelines released in the last five years. We provide a review of advantages and disadvantages of different modalities of TRT and how to monitor treatment to minimize the risks.\n            \n            \n              Results\n              TRT is associated with multiple benefits highly relevant to the patient. However, the recommendations given in different guidelines on TRT are based on data from a limited number of randomized controlled trials (RCTs), as well as non‐randomized clinical studies and observational studies. This is the case for the safety of a long‐term TRT in late‐onset hypogonadism (LOH). No evidence is provided indeed on the effects of TRT on endpoints such as deterioration of heart failure suggesting a cautious approach to T replacement in older men with a history of heart failure.\n            \n            \n              Conclusion\n              Clinicians must consider the unique characteristics of each patient and make the necessary adjustments in the management of LOH in order to provide the safest and most beneficial results.","container-title":"Andrology","DOI":"10.1111/andr.12774","ISSN":"2047-2919, 2047-2927","issue":"6","journalAbbreviation":"Andrology","language":"en","page":"1551-1566","source":"DOI.org (Crossref)","title":"Testosterone replacement therapy","volume":"8","author":[{"family":"Barbonetti","given":"Arcangelo"},{"family":"D’Andrea","given":"Settimio"},{"family":"Francavilla","given":"Sandro"}],"issued":{"date-parts":[["2020",11]]}}},{"id":93,"uris":["http://zotero.org/users/local/wHyUzZ8l/items/33TG3JYF"],"itemData":{"id":93,"type":"article-journal","container-title":"Sexual Medicine Reviews","DOI":"10.1016/j.sxmr.2017.04.001","ISSN":"20500521","issue":"1","journalAbbreviation":"Sexual Medicine Reviews","language":"en","page":"77-85","source":"DOI.org (Crossref)","title":"Erythrocytosis Following Testosterone Therapy","volume":"6","author":[{"family":"Ohlander","given":"Samuel J."},{"family":"Varghese","given":"Bibin"},{"family":"Pastuszak","given":"Alexander W."}],"issued":{"date-parts":[["2018",1]]}}},{"id":121,"uris":["http://zotero.org/users/local/wHyUzZ8l/items/VHBIARI9"],"itemData":{"id":121,"type":"article-journal","container-title":"Endocrinology and Metabolism Clinics of North America","DOI":"10.1016/j.ecl.2021.11.005","ISSN":"08898529","issue":"1","journalAbbreviation":"Endocrinology and Metabolism Clinics of North America","language":"en","page":"77-98","source":"DOI.org (Crossref)","title":"Testosterone Replacement Therapy in Hypogonadal Men","volume":"51","author":[{"family":"Wang","given":"Christina"},{"family":"Swerdloff","given":"Ronald S."}],"issued":{"date-parts":[["2022",3]]}}},{"id":129,"uris":["http://zotero.org/users/local/wHyUzZ8l/items/927YB2BI"],"itemData":{"id":129,"type":"article-journal","abstract":"ABSTRACT:\n              Many hypogonadal men prefer oral testosterone (T) treatment. Oral T undecanoate (TU) is available in many countries, but not in the United States. We aimed to assess the pharmacokinetics of oral TU in a new self‐emulsifying drug delivery system formulation. Pharmacokinetics studies were conducted in 3 parts: 12 hypogonadal men were enrolled in 2 centers for a 1‐day dosing study; 29 participants were enrolled from 3 centers for a 7‐day dosing study; and 15 participants were enrolled from 1 center for a 28‐day dosing study. Serial blood samples for serum sex hormone measurements by liquid chromatography–tandem mass spectrometry were drawn for up to 36 hours after oral TU administration. Mean serum T levels (C\n              avg\n              ) after oral dosing of T 200 mg as TU twice daily with food were within the adult male range in most participants in the 1‐, 7‐, and 28‐day dosing studies but were much lower in the fasting state. The dose‐proportional increase in C\n              avg\n              of serum T after oral T 300 mg twice daily resulted in more participants with supraphysiologic serum T levels. In the 28‐day study, trough serum T reached a steady state at day 7. Serum dihydrotestosterone and estradiol levels tracked serum T concentration. Dihydrotestosterone‐testosterone ratios increased 3‐fold after oral TU administration. Oral T 200 mg twice daily as TU in a new SEDDS formulation may be a viable therapy for hypogonadal men.","container-title":"Journal of Andrology","DOI":"10.2164/jandrol.111.013169","ISSN":"0196-3635, 1939-4640","issue":"2","journalAbbreviation":"Journal of Andrology","language":"en","license":"http://onlinelibrary.wiley.com/termsAndConditions#vor","page":"190-201","source":"DOI.org (Crossref)","title":"Reexamination of Pharmacokinetics of Oral Testosterone Undecanoate in Hypogonadal Men With a New Self‐Emulsifying Formulation","volume":"33","author":[{"family":"Yin","given":"Anthony Y."},{"family":"Htun","given":"Michelle"},{"family":"Swerdloff","given":"Ronald S."},{"family":"Diaz‐Arjonilla","given":"Maruja"},{"family":"Dudley","given":"Robert E."},{"family":"Faulkner","given":"Sandra"},{"family":"Bross","given":"Rachelle"},{"family":"Leung","given":"Andrew"},{"family":"Baravarian","given":"Sima"},{"family":"Hull","given":"Laura"},{"family":"Longstreth","given":"James A."},{"family":"Kulback","given":"Steven"},{"family":"Flippo","given":"Gregory"},{"family":"Wang","given":"Christina"}],"issued":{"date-parts":[["2012",3,4]]}}},{"id":89,"uris":["http://zotero.org/users/local/wHyUzZ8l/items/LRS7EYZK"],"itemData":{"id":89,"type":"article-journal","abstract":"Context\n              There is no licensed oral native testosterone (NT) because of challenges in the formulation. Licensed oral formulations of the ester, testosterone undecanoate (TU), require a meal for absorption and generate supraphysiological dihydrotestosterone (DHT) levels.\n            \n            \n              Objective\n              To develop an oral NT formulation.\n            \n            \n              Design and methods\n              A lipid-based formulation of native testosterone filled into soft-gelatin capsules at 40 mg per capsule was designed with 2 years of stability at ambient temperature. Pharmacokinetic comparison studies of this oral lipidic NT formulation to oral TU were conducted in dogs and hypogonadal men.\n            \n            \n              Results\n              \n                In dogs, 40 mg NT was well absorbed under fasted conditions whereas 40 mg TU required a high-fat meal: for NT, the mean fed/fasted AUC ratio was 1.63 and for TU 7.05. In hypogonadal men, fed and fasted NT had similar pharmacokinetics: C\n                max\n                mean 26.5 vs 30.4 nmol/L (769 vs 882 ng/dL), AUC\n                0–10 h\n                87 vs 88.6 h nmol/L. NT (fed state) showed a testosterone AUC increase of 45% between 120 and 200 mg, and NT 200 mg gave a similar mean AUC\n                0–10 h\n                to TU 80 mg: 87 vs 64.8 h nmol/L. Serum TU levels were variable and on a molar basis were ~ten-fold higher than serum testosterone levels after TU 80 mg fed. The DHT: testosterone AUC\n                0–10 h\n                ratio was more physiological for NT than TU being 0.19 vs 0.36. There were no emerging safety concerns with NT.\n              \n            \n            \n              Conclusion\n              This novel oral lipidic native testosterone formulation has potential advantages over oral TU of dosing independently of food and a lower risk of supraphysiological DHT levels.\n              \n                Significance statement\n              \n              There is no licensed oral testosterone because of challenges in formulation, and the oral formulations of the ester, testosterone undecanoate, require a fatty meal for absorption and generate supraphysiological dihydrotestosterone levels. We have overcome the design challenges and formulated an oral native testosterone that can be taken with or without food and provides physiological levels of testosterone and dihydrotestosterone in hypogonadal men. This formulation, DITEST, has the potential advantage of being oral for patients who do not tolerate injections and less risk of adverse events that might theoretically be associated with elevated dihydrotestosterone levels. Future studies will need to define the dosing regimen for replacement in hypogonadal men.","container-title":"European Journal of Endocrinology","DOI":"10.1530/EJE-21-0606","ISSN":"0804-4643, 1479-683X","issue":"5","page":"607-615","source":"DOI.org (Crossref)","title":"An oral lipidic native testosterone formulation that is absorbed independent of food","volume":"185","author":[{"family":"Newell-Price","given":"John"},{"family":"Huatan","given":"Hiep"},{"family":"Quirke","given":"Jo"},{"family":"Porter","given":"John"},{"family":"Daniel","given":"Eleni"},{"family":"Mumdzic","given":"Enis"},{"family":"Voet","given":"Bernard"},{"family":"Keevil","given":"Brian"},{"family":"Whitaker","given":"Martin J"},{"family":"Ross","given":"Richard J"}],"issued":{"date-parts":[["2021",11,1]]}}},{"id":79,"uris":["http://zotero.org/users/local/wHyUzZ8l/items/V2HXBHES"],"itemData":{"id":79,"type":"article-journal","container-title":"Journal of the Endocrine Society","DOI":"10.1210/js.2017-00148","ISSN":"2472-1972","issue":"8","language":"en","license":"https://creativecommons.org/licenses/by-nc-nd/4.0/","page":"1095-1103","source":"DOI.org (Crossref)","title":"Serum Testosterone Concentrations Remain Stable Between Injections in Patients Receiving Subcutaneous Testosterone","volume":"1","author":[{"family":"McFarland","given":"Julie"},{"family":"Craig","given":"Wendy"},{"family":"Clarke","given":"Nigel J"},{"family":"Spratt","given":"Daniel I"}],"issued":{"date-parts":[["2017",8,1]]}}},{"id":96,"uris":["http://zotero.org/users/local/wHyUzZ8l/items/5T9JYG54"],"itemData":{"id":96,"type":"article-journal","abstract":"Abstract:\n              Subcutaneous testosterone (T) pellets are a viable treatment modality for hypogonadism. Optimal dosing, frequency of reimplantation, and long‐term safety of T pellets remain incompletely elucidated parameters. A retrospective review of 273 patients treated for hypogonadism using subcutaneous T pellets was performed. Serum total T (TT), free T (FT), and estradiol (E2) levels were analyzed as a function of time from implantation, number of pellets implanted (6–9 or 10–12), body mass index (BMI; &lt;25 or ≥25 kg/m\n              2\n              ), number of implantations (≤4 rounds, 501 insertions), and preimplantation T levels (&lt;300 or ≥300 ng/dL). T decay was determined using linear regression and TT levels immediately postimplantation and the time for TT levels to reach 300 ng/dL extrapolated for all variables. Mean patient age ± SD was 56 ± 12.6 years. Baseline TT level was 328 ± 202 ng/dL, FT 9.49 ± 27.8 pg/mL, and E2 25.1 ± 17.3 pg/mL. Extrapolated TT and FT peaks were lower in men receiving 6 to 9 pellets than men receiving 10 to 12, although decay rates differed insignificantly. E2 levels rose significantly in men receiving 10 to 12 but not 6 to 9 pellets. Men with BMI ≥25 kg/m\n              2\n              attained lower TT peaks with slower decay than men with BMI &lt;25 kg/m\n              2\n              receiving 10 to 12 pellets, although 300 ng/dL TT levels were reached at approximately 100 days in both groups. No differences were seen in decay rates for men with multiple implant rounds, and no differences in T peaks or decay rates were seen in men with preimplant T level &lt;300 or ≥300 ng/dL. One patient developed erythrocytosis, and no prostate‐specific antigen recurrences were observed in men with prostate cancer treated with T pellets. Men with BMI &lt;25 kg/m\n              2\n              should receive fewer pellets, and reimplantation for all men should occur 100 to 120 days after prior implantation. Men receiving 10 to 12 pellets have higher E2 levels, potentially reflecting increased aromatization of T. Reimplantation and preimplantation TT levels do not affect pellet decay kinetics.","container-title":"Journal of Andrology","DOI":"10.2164/jandrol.111.016295","ISSN":"0196-3635, 1939-4640","issue":"5","journalAbbreviation":"Journal of Andrology","language":"en","license":"http://onlinelibrary.wiley.com/termsAndConditions#vor","page":"927-937","source":"DOI.org (Crossref)","title":"Pharmacokinetic Evaluation and Dosing of Subcutaneous Testosterone Pellets","volume":"33","author":[{"family":"Pastuszak","given":"Alexander W."},{"family":"Mittakanti","given":"Harsha"},{"family":"Liu","given":"Joceline S."},{"family":"Gomez","given":"Lissette"},{"family":"Lipshultz","given":"Larry I."},{"family":"Khera","given":"Mohit"}],"issued":{"date-parts":[["2012",9,10]]}}}],"schema":"https://github.com/citation-style-language/schema/raw/master/csl-citation.json"}</w:instrText>
      </w:r>
      <w:r>
        <w:rPr>
          <w:lang w:bidi="en-US"/>
        </w:rPr>
      </w:r>
      <w:r>
        <w:rPr>
          <w:lang w:bidi="en-US"/>
        </w:rPr>
        <w:fldChar w:fldCharType="separate"/>
      </w:r>
      <w:r>
        <w:rPr>
          <w:lang w:bidi="en-US"/>
        </w:rPr>
        <w:t>[</w:t>
      </w:r>
      <w:r>
        <w:rPr>
          <w:lang w:bidi="en-US"/>
        </w:rPr>
      </w:r>
      <w:r>
        <w:rPr>
          <w:lang w:bidi="en-US"/>
        </w:rPr>
        <w:fldChar w:fldCharType="end"/>
      </w:r>
      <w:r>
        <w:rPr/>
        <w:t>4-13]</w:t>
      </w:r>
    </w:p>
    <w:p>
      <w:pPr>
        <w:pStyle w:val="Normal"/>
        <w:spacing w:lineRule="auto" w:line="480"/>
        <w:rPr/>
      </w:pPr>
      <w:r>
        <w:rPr/>
      </w:r>
    </w:p>
    <w:p>
      <w:pPr>
        <w:pStyle w:val="Normal"/>
        <w:spacing w:lineRule="auto" w:line="480"/>
        <w:rPr>
          <w:b/>
          <w:bCs/>
        </w:rPr>
      </w:pPr>
      <w:r>
        <w:rPr>
          <w:b/>
          <w:bCs/>
        </w:rPr>
        <w:t>References</w:t>
      </w:r>
    </w:p>
    <w:p>
      <w:pPr>
        <w:pStyle w:val="Normal"/>
        <w:spacing w:lineRule="auto" w:line="480"/>
        <w:rPr>
          <w:rFonts w:cs="Calibri" w:cstheme="minorHAnsi"/>
        </w:rPr>
      </w:pPr>
      <w:r>
        <w:rPr>
          <w:rFonts w:cs="Calibri" w:cstheme="minorHAnsi"/>
        </w:rPr>
        <w:t>1.</w:t>
        <w:tab/>
        <w:t xml:space="preserve">Niswender GD. Influence of the site of conjugation on the specificity of antibodies to progesterone. Steroids. 1973 Sep;22(3):413–24. </w:t>
      </w:r>
    </w:p>
    <w:p>
      <w:pPr>
        <w:pStyle w:val="Normal"/>
        <w:spacing w:lineRule="auto" w:line="480"/>
        <w:rPr>
          <w:rFonts w:cs="Calibri" w:cstheme="minorHAnsi"/>
        </w:rPr>
      </w:pPr>
      <w:r>
        <w:rPr>
          <w:rFonts w:cs="Calibri" w:cstheme="minorHAnsi"/>
        </w:rPr>
        <w:t>2.</w:t>
        <w:tab/>
        <w:t xml:space="preserve">England BG, Niswender GD, Midgley AR. Radioimmunoassay of estradiol-17β without chromatography. J Clin Endocrinol Metab. 1974 Jan;38(1):42–50. </w:t>
      </w:r>
    </w:p>
    <w:p>
      <w:pPr>
        <w:pStyle w:val="Normal"/>
        <w:spacing w:lineRule="auto" w:line="480"/>
        <w:rPr>
          <w:rFonts w:cs="Calibri" w:cstheme="minorHAnsi"/>
        </w:rPr>
      </w:pPr>
      <w:r>
        <w:rPr>
          <w:rFonts w:cs="Calibri" w:cstheme="minorHAnsi"/>
        </w:rPr>
        <w:t>3.</w:t>
        <w:tab/>
        <w:t xml:space="preserve">Berndtson WE, Pickett BW, Nett TM. Reproductive physiology of the stallion. IV. Seasonal changes in the testosterone concentration of peripheral plasma. J Reprod Fertil. 1974 Jul;39(1):115–8. </w:t>
      </w:r>
    </w:p>
    <w:p>
      <w:pPr>
        <w:pStyle w:val="Normal"/>
        <w:spacing w:lineRule="auto" w:line="480"/>
        <w:rPr>
          <w:rFonts w:cs="Calibri" w:cstheme="minorHAnsi"/>
        </w:rPr>
      </w:pPr>
      <w:r>
        <w:rPr>
          <w:rFonts w:cs="Calibri" w:cstheme="minorHAnsi"/>
        </w:rPr>
        <w:t>4.</w:t>
        <w:tab/>
        <w:t xml:space="preserve">Palerme JS, Mazepa A, Hutchins RG, Ziglioli V, Vaden SL. Clinical response and side effects associated with testosterone cypionate for urinary incontinence in male dogs. J Am Anim Hosp Assoc. 2017 Sep 1;53(5):285–90. </w:t>
      </w:r>
    </w:p>
    <w:p>
      <w:pPr>
        <w:pStyle w:val="Normal"/>
        <w:spacing w:lineRule="auto" w:line="480"/>
        <w:rPr>
          <w:rFonts w:cs="Calibri" w:cstheme="minorHAnsi"/>
        </w:rPr>
      </w:pPr>
      <w:r>
        <w:rPr>
          <w:rFonts w:cs="Calibri" w:cstheme="minorHAnsi"/>
        </w:rPr>
        <w:t>5.</w:t>
        <w:tab/>
        <w:t xml:space="preserve">Brent L, Lissner EA, Kutzler MA. Restoration of reproductive hormone concentrations in a male neutered dog improves health: A case tudy. Top Companion Anim Med. 2021 Nov;45:100565. </w:t>
      </w:r>
    </w:p>
    <w:p>
      <w:pPr>
        <w:pStyle w:val="Normal"/>
        <w:spacing w:lineRule="auto" w:line="480"/>
        <w:rPr>
          <w:rFonts w:cs="Calibri" w:cstheme="minorHAnsi"/>
        </w:rPr>
      </w:pPr>
      <w:r>
        <w:rPr>
          <w:rFonts w:cs="Calibri" w:cstheme="minorHAnsi"/>
        </w:rPr>
        <w:t>6.</w:t>
        <w:tab/>
        <w:t>Ahmad SW, Molfetto G, Montoya D, Camero A. Is oral testosterone the new frontier of testosterone replacement therapy? Cureus [Internet]. 2022 Aug 8 [cited 2024 Jul 22]; Available from: https://www.cureus.com/articles/26237-is-oral-testosterone-the-new-frontier-of-testosterone-replacement-therapy</w:t>
      </w:r>
    </w:p>
    <w:p>
      <w:pPr>
        <w:pStyle w:val="Normal"/>
        <w:spacing w:lineRule="auto" w:line="480"/>
        <w:rPr>
          <w:rFonts w:cs="Calibri" w:cstheme="minorHAnsi"/>
        </w:rPr>
      </w:pPr>
      <w:r>
        <w:rPr>
          <w:rFonts w:cs="Calibri" w:cstheme="minorHAnsi"/>
        </w:rPr>
        <w:t>7.</w:t>
        <w:tab/>
        <w:t xml:space="preserve">Barbonetti A, D’Andrea S, Francavilla S. Testosterone replacement therapy. Andrology. 2020 Nov;8(6):1551–66. </w:t>
      </w:r>
    </w:p>
    <w:p>
      <w:pPr>
        <w:pStyle w:val="Normal"/>
        <w:spacing w:lineRule="auto" w:line="480"/>
        <w:rPr>
          <w:rFonts w:cs="Calibri" w:cstheme="minorHAnsi"/>
        </w:rPr>
      </w:pPr>
      <w:r>
        <w:rPr>
          <w:rFonts w:cs="Calibri" w:cstheme="minorHAnsi"/>
        </w:rPr>
        <w:t>8.</w:t>
        <w:tab/>
        <w:t xml:space="preserve">Ohlander SJ, Varghese B, Pastuszak AW. Erythrocytosis following testosterone therapy. Sex Med Rev. 2018 Jan;6(1):77–85. </w:t>
      </w:r>
    </w:p>
    <w:p>
      <w:pPr>
        <w:pStyle w:val="Normal"/>
        <w:spacing w:lineRule="auto" w:line="480"/>
        <w:rPr>
          <w:rFonts w:cs="Calibri" w:cstheme="minorHAnsi"/>
        </w:rPr>
      </w:pPr>
      <w:r>
        <w:rPr>
          <w:rFonts w:cs="Calibri" w:cstheme="minorHAnsi"/>
        </w:rPr>
        <w:t>9.</w:t>
        <w:tab/>
        <w:t xml:space="preserve">Wang C, Swerdloff RS. Testosterone replacement therapy in hypogonadal men. Endocrinol Metab Clin North Am. 2022 Mar;51(1):77–98. </w:t>
      </w:r>
    </w:p>
    <w:p>
      <w:pPr>
        <w:pStyle w:val="Normal"/>
        <w:spacing w:lineRule="auto" w:line="480"/>
        <w:rPr>
          <w:rFonts w:cs="Calibri" w:cstheme="minorHAnsi"/>
        </w:rPr>
      </w:pPr>
      <w:r>
        <w:rPr>
          <w:rFonts w:cs="Calibri" w:cstheme="minorHAnsi"/>
        </w:rPr>
        <w:t>10.</w:t>
        <w:tab/>
        <w:t xml:space="preserve">Yin AY, Htun M, Swerdloff RS, Diaz‐Arjonilla M, Dudley RE, Faulkner S, et al. Reexamination of pharmacokinetics of oral testosterone undecanoate in hypogonadal men with a new self‐emulsifying formulation. J Androl. 2012 Mar 4;33(2):190–201. </w:t>
      </w:r>
    </w:p>
    <w:p>
      <w:pPr>
        <w:pStyle w:val="Normal"/>
        <w:spacing w:lineRule="auto" w:line="480"/>
        <w:rPr>
          <w:rFonts w:cs="Calibri" w:cstheme="minorHAnsi"/>
        </w:rPr>
      </w:pPr>
      <w:r>
        <w:rPr>
          <w:rFonts w:cs="Calibri" w:cstheme="minorHAnsi"/>
        </w:rPr>
        <w:t>11.</w:t>
        <w:tab/>
        <w:t xml:space="preserve">Newell-Price J, Huatan H, Quirke J, Porter J, Daniel E, Mumdzic E, et al. An oral lipidic native testosterone formulation that is absorbed independent of food. Eur J Endocrinol. 2021 Nov 1;185(5):607–15. </w:t>
      </w:r>
    </w:p>
    <w:p>
      <w:pPr>
        <w:pStyle w:val="Normal"/>
        <w:spacing w:lineRule="auto" w:line="480"/>
        <w:rPr>
          <w:rFonts w:cs="Calibri" w:cstheme="minorHAnsi"/>
        </w:rPr>
      </w:pPr>
      <w:r>
        <w:rPr>
          <w:rFonts w:cs="Calibri" w:cstheme="minorHAnsi"/>
        </w:rPr>
        <w:t>12.</w:t>
        <w:tab/>
        <w:t xml:space="preserve">McFarland J, Craig W, Clarke NJ, Spratt DI. Serum testosterone concentrations remain stable between injections in patients receiving subcutaneous testosterone. J Endocr Soc. 2017 Aug 1;1(8):1095–103. </w:t>
      </w:r>
    </w:p>
    <w:p>
      <w:pPr>
        <w:pStyle w:val="Normal"/>
        <w:spacing w:lineRule="auto" w:line="480"/>
        <w:rPr>
          <w:rFonts w:cs="Calibri" w:cstheme="minorHAnsi"/>
        </w:rPr>
      </w:pPr>
      <w:r>
        <w:rPr>
          <w:rFonts w:cs="Calibri" w:cstheme="minorHAnsi"/>
        </w:rPr>
        <w:t>13.</w:t>
        <w:tab/>
        <w:t xml:space="preserve">Pastuszak AW, Mittakanti H, Liu JS, Gomez L, Lipshultz LI, Khera M. Pharmacokinetic evaluation and dosing of subcutaneous testosterone pellets. J Androl. 2012 Sep 10;33(5):927–37. </w:t>
      </w:r>
    </w:p>
    <w:p>
      <w:pPr>
        <w:pStyle w:val="Normal"/>
        <w:spacing w:lineRule="auto" w:line="480"/>
        <w:rPr>
          <w:b/>
          <w:bCs/>
        </w:rPr>
      </w:pPr>
      <w:r>
        <w:rPr>
          <w:b/>
          <w:bCs/>
        </w:rPr>
      </w:r>
    </w:p>
    <w:p>
      <w:pPr>
        <w:pStyle w:val="Normal"/>
        <w:rPr/>
      </w:pPr>
      <w:r>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Palatino Linotype">
    <w:charset w:val="00"/>
    <w:family w:val="roman"/>
    <w:pitch w:val="variable"/>
  </w:font>
  <w:font w:name="Liberation Sans">
    <w:altName w:val="Arial"/>
    <w:charset w:val="00"/>
    <w:family w:val="swiss"/>
    <w:pitch w:val="variable"/>
  </w:font>
  <w:font w:name="Calibri">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25" w:hanging="425"/>
      </w:pPr>
      <w:rPr>
        <w:vertAlign w:val="superscript"/>
      </w:rPr>
    </w:lvl>
    <w:lvl w:ilvl="1">
      <w:start w:val="1"/>
      <w:numFmt w:val="bullet"/>
      <w:lvlText w:val="o"/>
      <w:lvlJc w:val="left"/>
      <w:pPr>
        <w:tabs>
          <w:tab w:val="num" w:pos="0"/>
        </w:tabs>
        <w:ind w:left="4048" w:hanging="360"/>
      </w:pPr>
      <w:rPr>
        <w:rFonts w:ascii="Courier New" w:hAnsi="Courier New" w:cs="Courier New" w:hint="default"/>
      </w:rPr>
    </w:lvl>
    <w:lvl w:ilvl="2">
      <w:start w:val="1"/>
      <w:numFmt w:val="bullet"/>
      <w:lvlText w:val=""/>
      <w:lvlJc w:val="left"/>
      <w:pPr>
        <w:tabs>
          <w:tab w:val="num" w:pos="0"/>
        </w:tabs>
        <w:ind w:left="4768" w:hanging="360"/>
      </w:pPr>
      <w:rPr>
        <w:rFonts w:ascii="Wingdings" w:hAnsi="Wingdings" w:cs="Wingdings" w:hint="default"/>
      </w:rPr>
    </w:lvl>
    <w:lvl w:ilvl="3">
      <w:start w:val="1"/>
      <w:numFmt w:val="bullet"/>
      <w:lvlText w:val=""/>
      <w:lvlJc w:val="left"/>
      <w:pPr>
        <w:tabs>
          <w:tab w:val="num" w:pos="0"/>
        </w:tabs>
        <w:ind w:left="5488" w:hanging="360"/>
      </w:pPr>
      <w:rPr>
        <w:rFonts w:ascii="Symbol" w:hAnsi="Symbol" w:cs="Symbol" w:hint="default"/>
      </w:rPr>
    </w:lvl>
    <w:lvl w:ilvl="4">
      <w:start w:val="1"/>
      <w:numFmt w:val="bullet"/>
      <w:lvlText w:val="o"/>
      <w:lvlJc w:val="left"/>
      <w:pPr>
        <w:tabs>
          <w:tab w:val="num" w:pos="0"/>
        </w:tabs>
        <w:ind w:left="6208" w:hanging="360"/>
      </w:pPr>
      <w:rPr>
        <w:rFonts w:ascii="Courier New" w:hAnsi="Courier New" w:cs="Courier New" w:hint="default"/>
      </w:rPr>
    </w:lvl>
    <w:lvl w:ilvl="5">
      <w:start w:val="1"/>
      <w:numFmt w:val="bullet"/>
      <w:lvlText w:val=""/>
      <w:lvlJc w:val="left"/>
      <w:pPr>
        <w:tabs>
          <w:tab w:val="num" w:pos="0"/>
        </w:tabs>
        <w:ind w:left="6928" w:hanging="360"/>
      </w:pPr>
      <w:rPr>
        <w:rFonts w:ascii="Wingdings" w:hAnsi="Wingdings" w:cs="Wingdings" w:hint="default"/>
      </w:rPr>
    </w:lvl>
    <w:lvl w:ilvl="6">
      <w:start w:val="1"/>
      <w:numFmt w:val="bullet"/>
      <w:lvlText w:val=""/>
      <w:lvlJc w:val="left"/>
      <w:pPr>
        <w:tabs>
          <w:tab w:val="num" w:pos="0"/>
        </w:tabs>
        <w:ind w:left="7648" w:hanging="360"/>
      </w:pPr>
      <w:rPr>
        <w:rFonts w:ascii="Symbol" w:hAnsi="Symbol" w:cs="Symbol" w:hint="default"/>
      </w:rPr>
    </w:lvl>
    <w:lvl w:ilvl="7">
      <w:start w:val="1"/>
      <w:numFmt w:val="bullet"/>
      <w:lvlText w:val="o"/>
      <w:lvlJc w:val="left"/>
      <w:pPr>
        <w:tabs>
          <w:tab w:val="num" w:pos="0"/>
        </w:tabs>
        <w:ind w:left="8368" w:hanging="360"/>
      </w:pPr>
      <w:rPr>
        <w:rFonts w:ascii="Courier New" w:hAnsi="Courier New" w:cs="Courier New" w:hint="default"/>
      </w:rPr>
    </w:lvl>
    <w:lvl w:ilvl="8">
      <w:start w:val="1"/>
      <w:numFmt w:val="bullet"/>
      <w:lvlText w:val=""/>
      <w:lvlJc w:val="left"/>
      <w:pPr>
        <w:tabs>
          <w:tab w:val="num" w:pos="0"/>
        </w:tabs>
        <w:ind w:left="9088" w:hanging="360"/>
      </w:pPr>
      <w:rPr>
        <w:rFonts w:ascii="Wingdings" w:hAnsi="Wingdings" w:cs="Wingdings" w:hint="default"/>
      </w:rPr>
    </w:lvl>
  </w:abstractNum>
  <w:abstractNum w:abstractNumId="2">
    <w:lvl w:ilvl="0">
      <w:start w:val="1"/>
      <w:numFmt w:val="decimal"/>
      <w:lvlText w:val="%1."/>
      <w:lvlJc w:val="left"/>
      <w:pPr>
        <w:tabs>
          <w:tab w:val="num" w:pos="0"/>
        </w:tabs>
        <w:ind w:left="3033" w:hanging="425"/>
      </w:pPr>
      <w:rPr>
        <w:vertAlign w:val="baseline"/>
        <w:position w:val="0"/>
        <w:sz w:val="20"/>
        <w:sz w:val="20"/>
        <w:i w:val="false"/>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3033" w:hanging="425"/>
      </w:pPr>
      <w:rPr>
        <w:rFonts w:ascii="Symbol" w:hAnsi="Symbol" w:cs="Symbol" w:hint="default"/>
        <w:vertAlign w:val="baseline"/>
        <w:position w:val="0"/>
        <w:sz w:val="20"/>
        <w:sz w:val="20"/>
        <w:i w:val="false"/>
        <w:b w:val="false"/>
      </w:rPr>
    </w:lvl>
    <w:lvl w:ilvl="1">
      <w:start w:val="1"/>
      <w:numFmt w:val="bullet"/>
      <w:lvlText w:val="o"/>
      <w:lvlJc w:val="left"/>
      <w:pPr>
        <w:tabs>
          <w:tab w:val="num" w:pos="0"/>
        </w:tabs>
        <w:ind w:left="4048" w:hanging="360"/>
      </w:pPr>
      <w:rPr>
        <w:rFonts w:ascii="Courier New" w:hAnsi="Courier New" w:cs="Courier New" w:hint="default"/>
      </w:rPr>
    </w:lvl>
    <w:lvl w:ilvl="2">
      <w:start w:val="1"/>
      <w:numFmt w:val="bullet"/>
      <w:lvlText w:val=""/>
      <w:lvlJc w:val="left"/>
      <w:pPr>
        <w:tabs>
          <w:tab w:val="num" w:pos="0"/>
        </w:tabs>
        <w:ind w:left="4768" w:hanging="360"/>
      </w:pPr>
      <w:rPr>
        <w:rFonts w:ascii="Wingdings" w:hAnsi="Wingdings" w:cs="Wingdings" w:hint="default"/>
      </w:rPr>
    </w:lvl>
    <w:lvl w:ilvl="3">
      <w:start w:val="1"/>
      <w:numFmt w:val="bullet"/>
      <w:lvlText w:val=""/>
      <w:lvlJc w:val="left"/>
      <w:pPr>
        <w:tabs>
          <w:tab w:val="num" w:pos="0"/>
        </w:tabs>
        <w:ind w:left="5488" w:hanging="360"/>
      </w:pPr>
      <w:rPr>
        <w:rFonts w:ascii="Symbol" w:hAnsi="Symbol" w:cs="Symbol" w:hint="default"/>
      </w:rPr>
    </w:lvl>
    <w:lvl w:ilvl="4">
      <w:start w:val="1"/>
      <w:numFmt w:val="bullet"/>
      <w:lvlText w:val="o"/>
      <w:lvlJc w:val="left"/>
      <w:pPr>
        <w:tabs>
          <w:tab w:val="num" w:pos="0"/>
        </w:tabs>
        <w:ind w:left="6208" w:hanging="360"/>
      </w:pPr>
      <w:rPr>
        <w:rFonts w:ascii="Courier New" w:hAnsi="Courier New" w:cs="Courier New" w:hint="default"/>
      </w:rPr>
    </w:lvl>
    <w:lvl w:ilvl="5">
      <w:start w:val="1"/>
      <w:numFmt w:val="bullet"/>
      <w:lvlText w:val=""/>
      <w:lvlJc w:val="left"/>
      <w:pPr>
        <w:tabs>
          <w:tab w:val="num" w:pos="0"/>
        </w:tabs>
        <w:ind w:left="6928" w:hanging="360"/>
      </w:pPr>
      <w:rPr>
        <w:rFonts w:ascii="Wingdings" w:hAnsi="Wingdings" w:cs="Wingdings" w:hint="default"/>
      </w:rPr>
    </w:lvl>
    <w:lvl w:ilvl="6">
      <w:start w:val="1"/>
      <w:numFmt w:val="bullet"/>
      <w:lvlText w:val=""/>
      <w:lvlJc w:val="left"/>
      <w:pPr>
        <w:tabs>
          <w:tab w:val="num" w:pos="0"/>
        </w:tabs>
        <w:ind w:left="7648" w:hanging="360"/>
      </w:pPr>
      <w:rPr>
        <w:rFonts w:ascii="Symbol" w:hAnsi="Symbol" w:cs="Symbol" w:hint="default"/>
      </w:rPr>
    </w:lvl>
    <w:lvl w:ilvl="7">
      <w:start w:val="1"/>
      <w:numFmt w:val="bullet"/>
      <w:lvlText w:val="o"/>
      <w:lvlJc w:val="left"/>
      <w:pPr>
        <w:tabs>
          <w:tab w:val="num" w:pos="0"/>
        </w:tabs>
        <w:ind w:left="8368" w:hanging="360"/>
      </w:pPr>
      <w:rPr>
        <w:rFonts w:ascii="Courier New" w:hAnsi="Courier New" w:cs="Courier New" w:hint="default"/>
      </w:rPr>
    </w:lvl>
    <w:lvl w:ilvl="8">
      <w:start w:val="1"/>
      <w:numFmt w:val="bullet"/>
      <w:lvlText w:val=""/>
      <w:lvlJc w:val="left"/>
      <w:pPr>
        <w:tabs>
          <w:tab w:val="num" w:pos="0"/>
        </w:tabs>
        <w:ind w:left="9088" w:hanging="360"/>
      </w:pPr>
      <w:rPr>
        <w:rFonts w:ascii="Wingdings" w:hAnsi="Wingdings" w:cs="Wingdings" w:hint="default"/>
      </w:rPr>
    </w:lvl>
  </w:abstractNum>
  <w:abstractNum w:abstractNumId="4">
    <w:lvl w:ilvl="0">
      <w:start w:val="1"/>
      <w:numFmt w:val="decimal"/>
      <w:lvlText w:val="%1."/>
      <w:lvlJc w:val="left"/>
      <w:pPr>
        <w:tabs>
          <w:tab w:val="num" w:pos="0"/>
        </w:tabs>
        <w:ind w:left="425" w:hanging="425"/>
      </w:pPr>
      <w:rPr>
        <w:vertAlign w:val="baseline"/>
        <w:position w:val="0"/>
        <w:sz w:val="20"/>
        <w:sz w:val="20"/>
        <w:i w:val="false"/>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1348"/>
    <w:pPr>
      <w:widowControl/>
      <w:bidi w:val="0"/>
      <w:spacing w:before="0" w:after="0"/>
      <w:jc w:val="left"/>
    </w:pPr>
    <w:rPr>
      <w:rFonts w:ascii="Calibri" w:hAnsi="Calibri" w:eastAsia="Calibri"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ce4bac"/>
    <w:pPr>
      <w:keepNext w:val="true"/>
      <w:keepLines/>
      <w:spacing w:before="360" w:after="80"/>
      <w:outlineLvl w:val="0"/>
    </w:pPr>
    <w:rPr>
      <w:rFonts w:ascii="Cambria" w:hAnsi="Cambria" w:eastAsia="" w:cs="" w:asciiTheme="majorHAnsi" w:cstheme="majorBidi" w:eastAsiaTheme="majorEastAsia" w:hAnsiTheme="majorHAnsi"/>
      <w:color w:themeColor="accent1" w:themeShade="bf" w:val="365F91"/>
      <w:sz w:val="40"/>
      <w:szCs w:val="40"/>
    </w:rPr>
  </w:style>
  <w:style w:type="paragraph" w:styleId="Heading2">
    <w:name w:val="heading 2"/>
    <w:basedOn w:val="Normal"/>
    <w:next w:val="Normal"/>
    <w:link w:val="Heading2Char"/>
    <w:uiPriority w:val="9"/>
    <w:semiHidden/>
    <w:unhideWhenUsed/>
    <w:qFormat/>
    <w:rsid w:val="00ce4bac"/>
    <w:pPr>
      <w:keepNext w:val="true"/>
      <w:keepLines/>
      <w:spacing w:before="160" w:after="80"/>
      <w:outlineLvl w:val="1"/>
    </w:pPr>
    <w:rPr>
      <w:rFonts w:ascii="Cambria" w:hAnsi="Cambria" w:eastAsia="" w:cs="" w:asciiTheme="majorHAnsi" w:cstheme="majorBidi" w:eastAsiaTheme="majorEastAsia" w:hAnsiTheme="majorHAnsi"/>
      <w:color w:themeColor="accent1" w:themeShade="bf" w:val="365F91"/>
      <w:sz w:val="32"/>
      <w:szCs w:val="32"/>
    </w:rPr>
  </w:style>
  <w:style w:type="paragraph" w:styleId="Heading3">
    <w:name w:val="heading 3"/>
    <w:basedOn w:val="Normal"/>
    <w:next w:val="Normal"/>
    <w:link w:val="Heading3Char"/>
    <w:uiPriority w:val="9"/>
    <w:semiHidden/>
    <w:unhideWhenUsed/>
    <w:qFormat/>
    <w:rsid w:val="00ce4bac"/>
    <w:pPr>
      <w:keepNext w:val="true"/>
      <w:keepLines/>
      <w:spacing w:before="160" w:after="80"/>
      <w:outlineLvl w:val="2"/>
    </w:pPr>
    <w:rPr>
      <w:rFonts w:eastAsia="" w:cs="" w:cstheme="majorBidi" w:eastAsiaTheme="majorEastAsia"/>
      <w:color w:themeColor="accent1" w:themeShade="bf" w:val="365F91"/>
      <w:sz w:val="28"/>
      <w:szCs w:val="28"/>
    </w:rPr>
  </w:style>
  <w:style w:type="paragraph" w:styleId="Heading4">
    <w:name w:val="heading 4"/>
    <w:basedOn w:val="Normal"/>
    <w:next w:val="Normal"/>
    <w:link w:val="Heading4Char"/>
    <w:uiPriority w:val="9"/>
    <w:semiHidden/>
    <w:unhideWhenUsed/>
    <w:qFormat/>
    <w:rsid w:val="00ce4bac"/>
    <w:pPr>
      <w:keepNext w:val="true"/>
      <w:keepLines/>
      <w:spacing w:before="80" w:after="40"/>
      <w:outlineLvl w:val="3"/>
    </w:pPr>
    <w:rPr>
      <w:rFonts w:eastAsia="" w:cs="" w:cstheme="majorBidi" w:eastAsiaTheme="majorEastAsia"/>
      <w:i/>
      <w:iCs/>
      <w:color w:themeColor="accent1" w:themeShade="bf" w:val="365F91"/>
    </w:rPr>
  </w:style>
  <w:style w:type="paragraph" w:styleId="Heading5">
    <w:name w:val="heading 5"/>
    <w:basedOn w:val="Normal"/>
    <w:next w:val="Normal"/>
    <w:link w:val="Heading5Char"/>
    <w:uiPriority w:val="9"/>
    <w:semiHidden/>
    <w:unhideWhenUsed/>
    <w:qFormat/>
    <w:rsid w:val="00ce4bac"/>
    <w:pPr>
      <w:keepNext w:val="true"/>
      <w:keepLines/>
      <w:spacing w:before="80" w:after="40"/>
      <w:outlineLvl w:val="4"/>
    </w:pPr>
    <w:rPr>
      <w:rFonts w:eastAsia="" w:cs="" w:cstheme="majorBidi" w:eastAsiaTheme="majorEastAsia"/>
      <w:color w:themeColor="accent1" w:themeShade="bf" w:val="365F91"/>
    </w:rPr>
  </w:style>
  <w:style w:type="paragraph" w:styleId="Heading6">
    <w:name w:val="heading 6"/>
    <w:basedOn w:val="Normal"/>
    <w:next w:val="Normal"/>
    <w:link w:val="Heading6Char"/>
    <w:uiPriority w:val="9"/>
    <w:semiHidden/>
    <w:unhideWhenUsed/>
    <w:qFormat/>
    <w:rsid w:val="00ce4bac"/>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ce4bac"/>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ce4bac"/>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ce4bac"/>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ce4bac"/>
    <w:rPr>
      <w:rFonts w:ascii="Cambria" w:hAnsi="Cambria" w:eastAsia="" w:cs="" w:asciiTheme="majorHAnsi" w:cstheme="majorBidi" w:eastAsiaTheme="majorEastAsia" w:hAnsiTheme="majorHAnsi"/>
      <w:color w:themeColor="accent1" w:themeShade="bf" w:val="365F91"/>
      <w:sz w:val="40"/>
      <w:szCs w:val="40"/>
    </w:rPr>
  </w:style>
  <w:style w:type="character" w:styleId="Heading2Char" w:customStyle="1">
    <w:name w:val="Heading 2 Char"/>
    <w:basedOn w:val="DefaultParagraphFont"/>
    <w:link w:val="Heading2"/>
    <w:uiPriority w:val="9"/>
    <w:semiHidden/>
    <w:qFormat/>
    <w:rsid w:val="00ce4bac"/>
    <w:rPr>
      <w:rFonts w:ascii="Cambria" w:hAnsi="Cambria" w:eastAsia="" w:cs="" w:asciiTheme="majorHAnsi" w:cstheme="majorBidi" w:eastAsiaTheme="majorEastAsia" w:hAnsiTheme="majorHAnsi"/>
      <w:color w:themeColor="accent1" w:themeShade="bf" w:val="365F91"/>
      <w:sz w:val="32"/>
      <w:szCs w:val="32"/>
    </w:rPr>
  </w:style>
  <w:style w:type="character" w:styleId="Heading3Char" w:customStyle="1">
    <w:name w:val="Heading 3 Char"/>
    <w:basedOn w:val="DefaultParagraphFont"/>
    <w:link w:val="Heading3"/>
    <w:uiPriority w:val="9"/>
    <w:semiHidden/>
    <w:qFormat/>
    <w:rsid w:val="00ce4bac"/>
    <w:rPr>
      <w:rFonts w:eastAsia="" w:cs="" w:cstheme="majorBidi" w:eastAsiaTheme="majorEastAsia"/>
      <w:color w:themeColor="accent1" w:themeShade="bf" w:val="365F91"/>
      <w:sz w:val="28"/>
      <w:szCs w:val="28"/>
    </w:rPr>
  </w:style>
  <w:style w:type="character" w:styleId="Heading4Char" w:customStyle="1">
    <w:name w:val="Heading 4 Char"/>
    <w:basedOn w:val="DefaultParagraphFont"/>
    <w:link w:val="Heading4"/>
    <w:uiPriority w:val="9"/>
    <w:semiHidden/>
    <w:qFormat/>
    <w:rsid w:val="00ce4bac"/>
    <w:rPr>
      <w:rFonts w:eastAsia="" w:cs="" w:cstheme="majorBidi" w:eastAsiaTheme="majorEastAsia"/>
      <w:i/>
      <w:iCs/>
      <w:color w:themeColor="accent1" w:themeShade="bf" w:val="365F91"/>
    </w:rPr>
  </w:style>
  <w:style w:type="character" w:styleId="Heading5Char" w:customStyle="1">
    <w:name w:val="Heading 5 Char"/>
    <w:basedOn w:val="DefaultParagraphFont"/>
    <w:link w:val="Heading5"/>
    <w:uiPriority w:val="9"/>
    <w:semiHidden/>
    <w:qFormat/>
    <w:rsid w:val="00ce4bac"/>
    <w:rPr>
      <w:rFonts w:eastAsia="" w:cs="" w:cstheme="majorBidi" w:eastAsiaTheme="majorEastAsia"/>
      <w:color w:themeColor="accent1" w:themeShade="bf" w:val="365F91"/>
    </w:rPr>
  </w:style>
  <w:style w:type="character" w:styleId="Heading6Char" w:customStyle="1">
    <w:name w:val="Heading 6 Char"/>
    <w:basedOn w:val="DefaultParagraphFont"/>
    <w:link w:val="Heading6"/>
    <w:uiPriority w:val="9"/>
    <w:semiHidden/>
    <w:qFormat/>
    <w:rsid w:val="00ce4bac"/>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ce4bac"/>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ce4bac"/>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ce4bac"/>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ce4bac"/>
    <w:rPr>
      <w:rFonts w:ascii="Cambria" w:hAnsi="Cambria"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ce4bac"/>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ce4bac"/>
    <w:rPr>
      <w:i/>
      <w:iCs/>
      <w:color w:themeColor="text1" w:themeTint="bf" w:val="404040"/>
    </w:rPr>
  </w:style>
  <w:style w:type="character" w:styleId="IntenseEmphasis">
    <w:name w:val="Intense Emphasis"/>
    <w:basedOn w:val="DefaultParagraphFont"/>
    <w:uiPriority w:val="21"/>
    <w:qFormat/>
    <w:rsid w:val="00ce4bac"/>
    <w:rPr>
      <w:i/>
      <w:iCs/>
      <w:color w:themeColor="accent1" w:themeShade="bf" w:val="365F91"/>
    </w:rPr>
  </w:style>
  <w:style w:type="character" w:styleId="IntenseQuoteChar" w:customStyle="1">
    <w:name w:val="Intense Quote Char"/>
    <w:basedOn w:val="DefaultParagraphFont"/>
    <w:link w:val="IntenseQuote"/>
    <w:uiPriority w:val="30"/>
    <w:qFormat/>
    <w:rsid w:val="00ce4bac"/>
    <w:rPr>
      <w:i/>
      <w:iCs/>
      <w:color w:themeColor="accent1" w:themeShade="bf" w:val="365F91"/>
    </w:rPr>
  </w:style>
  <w:style w:type="character" w:styleId="IntenseReference">
    <w:name w:val="Intense Reference"/>
    <w:basedOn w:val="DefaultParagraphFont"/>
    <w:uiPriority w:val="32"/>
    <w:qFormat/>
    <w:rsid w:val="00ce4bac"/>
    <w:rPr>
      <w:b/>
      <w:bCs/>
      <w:smallCaps/>
      <w:color w:themeColor="accent1" w:themeShade="bf" w:val="365F91"/>
      <w:spacing w:val="5"/>
    </w:rPr>
  </w:style>
  <w:style w:type="character" w:styleId="Hyperlink">
    <w:name w:val="Hyperlink"/>
    <w:basedOn w:val="DefaultParagraphFont"/>
    <w:uiPriority w:val="99"/>
    <w:unhideWhenUsed/>
    <w:rsid w:val="00ce4bac"/>
    <w:rPr>
      <w:color w:themeColor="hyperlink" w:val="0000FF"/>
      <w:u w:val="single"/>
    </w:rPr>
  </w:style>
  <w:style w:type="character" w:styleId="UnresolvedMention">
    <w:name w:val="Unresolved Mention"/>
    <w:basedOn w:val="DefaultParagraphFont"/>
    <w:uiPriority w:val="99"/>
    <w:semiHidden/>
    <w:unhideWhenUsed/>
    <w:qFormat/>
    <w:rsid w:val="00ce4bac"/>
    <w:rPr>
      <w:color w:val="605E5C"/>
      <w:shd w:fill="E1DFDD" w:val="clear"/>
    </w:rPr>
  </w:style>
  <w:style w:type="character" w:styleId="HeaderChar" w:customStyle="1">
    <w:name w:val="Header Char"/>
    <w:basedOn w:val="DefaultParagraphFont"/>
    <w:link w:val="Header"/>
    <w:uiPriority w:val="99"/>
    <w:qFormat/>
    <w:rsid w:val="00ce4bac"/>
    <w:rPr/>
  </w:style>
  <w:style w:type="character" w:styleId="FooterChar" w:customStyle="1">
    <w:name w:val="Footer Char"/>
    <w:basedOn w:val="DefaultParagraphFont"/>
    <w:link w:val="Footer"/>
    <w:uiPriority w:val="99"/>
    <w:qFormat/>
    <w:rsid w:val="00ce4bac"/>
    <w:rPr/>
  </w:style>
  <w:style w:type="character" w:styleId="LineNumber">
    <w:name w:val="line number"/>
    <w:basedOn w:val="DefaultParagraphFont"/>
    <w:uiPriority w:val="99"/>
    <w:unhideWhenUsed/>
    <w:rsid w:val="00ce4bac"/>
    <w:rPr/>
  </w:style>
  <w:style w:type="character" w:styleId="Strong">
    <w:name w:val="Strong"/>
    <w:uiPriority w:val="22"/>
    <w:qFormat/>
    <w:rsid w:val="00ce4bac"/>
    <w:rPr>
      <w:b/>
      <w:bCs/>
    </w:rPr>
  </w:style>
  <w:style w:type="character" w:styleId="BalloonTextChar" w:customStyle="1">
    <w:name w:val="Balloon Text Char"/>
    <w:basedOn w:val="DefaultParagraphFont"/>
    <w:link w:val="BalloonText"/>
    <w:uiPriority w:val="99"/>
    <w:qFormat/>
    <w:rsid w:val="00ce4bac"/>
    <w:rPr>
      <w:rFonts w:ascii="Palatino Linotype" w:hAnsi="Palatino Linotype" w:eastAsia="SimSun" w:cs="Tahoma"/>
      <w:color w:val="000000"/>
      <w:kern w:val="0"/>
      <w:sz w:val="20"/>
      <w:szCs w:val="18"/>
      <w:lang w:eastAsia="zh-CN"/>
      <w14:ligatures w14:val="none"/>
    </w:rPr>
  </w:style>
  <w:style w:type="character" w:styleId="apple-converted-space" w:customStyle="1">
    <w:name w:val="apple-converted-space"/>
    <w:qFormat/>
    <w:rsid w:val="00ce4bac"/>
    <w:rPr/>
  </w:style>
  <w:style w:type="character" w:styleId="BodyTextChar" w:customStyle="1">
    <w:name w:val="Body Text Char"/>
    <w:basedOn w:val="DefaultParagraphFont"/>
    <w:qFormat/>
    <w:rsid w:val="00ce4bac"/>
    <w:rPr>
      <w:rFonts w:ascii="Palatino Linotype" w:hAnsi="Palatino Linotype" w:eastAsia="SimSun" w:cs="Times New Roman"/>
      <w:color w:val="000000"/>
      <w:kern w:val="0"/>
      <w:sz w:val="24"/>
      <w:szCs w:val="20"/>
      <w:lang w:eastAsia="de-DE"/>
      <w14:ligatures w14:val="none"/>
    </w:rPr>
  </w:style>
  <w:style w:type="character" w:styleId="CommentReference">
    <w:name w:val="annotation reference"/>
    <w:qFormat/>
    <w:rsid w:val="00ce4bac"/>
    <w:rPr>
      <w:sz w:val="21"/>
      <w:szCs w:val="21"/>
    </w:rPr>
  </w:style>
  <w:style w:type="character" w:styleId="CommentTextChar" w:customStyle="1">
    <w:name w:val="Comment Text Char"/>
    <w:basedOn w:val="DefaultParagraphFont"/>
    <w:link w:val="CommentText"/>
    <w:qFormat/>
    <w:rsid w:val="00ce4bac"/>
    <w:rPr>
      <w:rFonts w:ascii="Palatino Linotype" w:hAnsi="Palatino Linotype" w:eastAsia="SimSun" w:cs="Times New Roman"/>
      <w:color w:val="000000"/>
      <w:kern w:val="0"/>
      <w:sz w:val="20"/>
      <w:szCs w:val="20"/>
      <w:lang w:eastAsia="zh-CN"/>
      <w14:ligatures w14:val="none"/>
    </w:rPr>
  </w:style>
  <w:style w:type="character" w:styleId="CommentSubjectChar" w:customStyle="1">
    <w:name w:val="Comment Subject Char"/>
    <w:basedOn w:val="CommentTextChar"/>
    <w:link w:val="annotationsubject"/>
    <w:qFormat/>
    <w:rsid w:val="00ce4bac"/>
    <w:rPr>
      <w:rFonts w:ascii="Palatino Linotype" w:hAnsi="Palatino Linotype" w:eastAsia="SimSun" w:cs="Times New Roman"/>
      <w:b/>
      <w:bCs/>
      <w:color w:val="000000"/>
      <w:kern w:val="0"/>
      <w:sz w:val="20"/>
      <w:szCs w:val="20"/>
      <w:lang w:eastAsia="zh-CN"/>
      <w14:ligatures w14:val="none"/>
    </w:rPr>
  </w:style>
  <w:style w:type="character" w:styleId="EndnoteCharacters">
    <w:name w:val="Endnote Characters"/>
    <w:qFormat/>
    <w:rsid w:val="00ce4bac"/>
    <w:rPr>
      <w:vertAlign w:val="superscript"/>
    </w:rPr>
  </w:style>
  <w:style w:type="character" w:styleId="EndnoteReference">
    <w:name w:val="endnote reference"/>
    <w:rPr>
      <w:vertAlign w:val="superscript"/>
    </w:rPr>
  </w:style>
  <w:style w:type="character" w:styleId="EndnoteTextChar" w:customStyle="1">
    <w:name w:val="Endnote Text Char"/>
    <w:basedOn w:val="DefaultParagraphFont"/>
    <w:link w:val="EndnoteText"/>
    <w:semiHidden/>
    <w:qFormat/>
    <w:rsid w:val="00ce4bac"/>
    <w:rPr>
      <w:rFonts w:ascii="Palatino Linotype" w:hAnsi="Palatino Linotype" w:eastAsia="SimSun" w:cs="Times New Roman"/>
      <w:color w:val="000000"/>
      <w:kern w:val="0"/>
      <w:sz w:val="20"/>
      <w:szCs w:val="20"/>
      <w:lang w:eastAsia="zh-CN"/>
      <w14:ligatures w14:val="none"/>
    </w:rPr>
  </w:style>
  <w:style w:type="character" w:styleId="FollowedHyperlink">
    <w:name w:val="FollowedHyperlink"/>
    <w:rsid w:val="00ce4bac"/>
    <w:rPr>
      <w:color w:val="954F72"/>
      <w:u w:val="single"/>
    </w:rPr>
  </w:style>
  <w:style w:type="character" w:styleId="FootnoteTextChar" w:customStyle="1">
    <w:name w:val="Footnote Text Char"/>
    <w:basedOn w:val="DefaultParagraphFont"/>
    <w:link w:val="FootnoteText"/>
    <w:semiHidden/>
    <w:qFormat/>
    <w:rsid w:val="00ce4bac"/>
    <w:rPr>
      <w:rFonts w:ascii="Palatino Linotype" w:hAnsi="Palatino Linotype" w:eastAsia="SimSun" w:cs="Times New Roman"/>
      <w:color w:val="000000"/>
      <w:kern w:val="0"/>
      <w:sz w:val="20"/>
      <w:szCs w:val="20"/>
      <w:lang w:eastAsia="zh-CN"/>
      <w14:ligatures w14:val="none"/>
    </w:rPr>
  </w:style>
  <w:style w:type="character" w:styleId="PageNumber">
    <w:name w:val="page number"/>
    <w:rsid w:val="00ce4bac"/>
    <w:rPr/>
  </w:style>
  <w:style w:type="character" w:styleId="PlaceholderText">
    <w:name w:val="Placeholder Text"/>
    <w:uiPriority w:val="99"/>
    <w:semiHidden/>
    <w:qFormat/>
    <w:rsid w:val="00ce4bac"/>
    <w:rPr>
      <w:color w:val="808080"/>
    </w:rPr>
  </w:style>
  <w:style w:type="character" w:styleId="FootnoteCharacters">
    <w:name w:val="Footnote Characters"/>
    <w:basedOn w:val="DefaultParagraphFont"/>
    <w:uiPriority w:val="99"/>
    <w:semiHidden/>
    <w:unhideWhenUsed/>
    <w:qFormat/>
    <w:rsid w:val="00ce4bac"/>
    <w:rPr>
      <w:vertAlign w:val="superscript"/>
    </w:rPr>
  </w:style>
  <w:style w:type="character" w:styleId="FootnoteReference">
    <w:name w:val="foot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link w:val="BodyTextChar"/>
    <w:rsid w:val="00ce4bac"/>
    <w:pPr>
      <w:widowControl/>
      <w:bidi w:val="0"/>
      <w:spacing w:lineRule="atLeast" w:line="340" w:before="0" w:after="120"/>
      <w:jc w:val="both"/>
    </w:pPr>
    <w:rPr>
      <w:rFonts w:ascii="Palatino Linotype" w:hAnsi="Palatino Linotype" w:eastAsia="SimSun" w:cs="Times New Roman"/>
      <w:color w:val="000000"/>
      <w:kern w:val="0"/>
      <w:sz w:val="24"/>
      <w:szCs w:val="20"/>
      <w:lang w:eastAsia="de-DE" w:val="en-US" w:bidi="ar-SA"/>
      <w14:ligatures w14:val="none"/>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061348"/>
    <w:pPr>
      <w:spacing w:before="0" w:after="0"/>
      <w:ind w:left="720"/>
      <w:contextualSpacing/>
    </w:pPr>
    <w:rPr/>
  </w:style>
  <w:style w:type="paragraph" w:styleId="Title">
    <w:name w:val="Title"/>
    <w:basedOn w:val="Normal"/>
    <w:next w:val="Normal"/>
    <w:link w:val="TitleChar"/>
    <w:uiPriority w:val="10"/>
    <w:qFormat/>
    <w:rsid w:val="00ce4bac"/>
    <w:pPr>
      <w:spacing w:before="0" w:after="80"/>
      <w:contextualSpacing/>
    </w:pPr>
    <w:rPr>
      <w:rFonts w:ascii="Cambria" w:hAnsi="Cambria"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ce4bac"/>
    <w:pPr>
      <w:spacing w:before="0" w:after="160"/>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ce4bac"/>
    <w:pPr>
      <w:spacing w:before="160" w:after="160"/>
      <w:jc w:val="center"/>
    </w:pPr>
    <w:rPr>
      <w:i/>
      <w:iCs/>
      <w:color w:themeColor="text1" w:themeTint="bf" w:val="404040"/>
    </w:rPr>
  </w:style>
  <w:style w:type="paragraph" w:styleId="IntenseQuote">
    <w:name w:val="Intense Quote"/>
    <w:basedOn w:val="Normal"/>
    <w:next w:val="Normal"/>
    <w:link w:val="IntenseQuoteChar"/>
    <w:uiPriority w:val="30"/>
    <w:qFormat/>
    <w:rsid w:val="00ce4bac"/>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HeaderandFooter">
    <w:name w:val="Header and Footer"/>
    <w:basedOn w:val="Normal"/>
    <w:qFormat/>
    <w:pPr/>
    <w:rPr/>
  </w:style>
  <w:style w:type="paragraph" w:styleId="Header">
    <w:name w:val="header"/>
    <w:basedOn w:val="Normal"/>
    <w:link w:val="HeaderChar"/>
    <w:uiPriority w:val="99"/>
    <w:unhideWhenUsed/>
    <w:rsid w:val="00ce4bac"/>
    <w:pPr>
      <w:tabs>
        <w:tab w:val="clear" w:pos="720"/>
        <w:tab w:val="center" w:pos="4680" w:leader="none"/>
        <w:tab w:val="right" w:pos="9360" w:leader="none"/>
      </w:tabs>
    </w:pPr>
    <w:rPr/>
  </w:style>
  <w:style w:type="paragraph" w:styleId="Footer">
    <w:name w:val="footer"/>
    <w:basedOn w:val="Normal"/>
    <w:link w:val="FooterChar"/>
    <w:uiPriority w:val="99"/>
    <w:unhideWhenUsed/>
    <w:rsid w:val="00ce4bac"/>
    <w:pPr>
      <w:tabs>
        <w:tab w:val="clear" w:pos="720"/>
        <w:tab w:val="center" w:pos="4680" w:leader="none"/>
        <w:tab w:val="right" w:pos="9360" w:leader="none"/>
      </w:tabs>
    </w:pPr>
    <w:rPr/>
  </w:style>
  <w:style w:type="paragraph" w:styleId="MDPI11articletype" w:customStyle="1">
    <w:name w:val="MDPI_1.1_article_type"/>
    <w:next w:val="Normal"/>
    <w:qFormat/>
    <w:rsid w:val="00ce4bac"/>
    <w:pPr>
      <w:widowControl/>
      <w:bidi w:val="0"/>
      <w:snapToGrid w:val="false"/>
      <w:spacing w:before="240" w:after="0"/>
      <w:jc w:val="left"/>
    </w:pPr>
    <w:rPr>
      <w:rFonts w:ascii="Palatino Linotype" w:hAnsi="Palatino Linotype" w:eastAsia="Times New Roman" w:cs="Times New Roman"/>
      <w:i/>
      <w:color w:val="000000"/>
      <w:kern w:val="0"/>
      <w:sz w:val="20"/>
      <w:szCs w:val="22"/>
      <w:lang w:eastAsia="de-DE" w:bidi="en-US" w:val="en-US"/>
      <w14:ligatures w14:val="none"/>
    </w:rPr>
  </w:style>
  <w:style w:type="paragraph" w:styleId="MDPI12title" w:customStyle="1">
    <w:name w:val="MDPI_1.2_title"/>
    <w:next w:val="Normal"/>
    <w:qFormat/>
    <w:rsid w:val="00ce4bac"/>
    <w:pPr>
      <w:widowControl/>
      <w:bidi w:val="0"/>
      <w:snapToGrid w:val="false"/>
      <w:spacing w:lineRule="atLeast" w:line="240" w:before="0" w:after="240"/>
      <w:jc w:val="left"/>
    </w:pPr>
    <w:rPr>
      <w:rFonts w:ascii="Palatino Linotype" w:hAnsi="Palatino Linotype" w:eastAsia="Times New Roman" w:cs="Times New Roman"/>
      <w:b/>
      <w:color w:val="000000"/>
      <w:kern w:val="0"/>
      <w:sz w:val="36"/>
      <w:szCs w:val="20"/>
      <w:lang w:eastAsia="de-DE" w:bidi="en-US" w:val="en-US"/>
      <w14:ligatures w14:val="none"/>
    </w:rPr>
  </w:style>
  <w:style w:type="paragraph" w:styleId="MDPI13authornames" w:customStyle="1">
    <w:name w:val="MDPI_1.3_authornames"/>
    <w:next w:val="Normal"/>
    <w:qFormat/>
    <w:rsid w:val="00ce4bac"/>
    <w:pPr>
      <w:widowControl/>
      <w:bidi w:val="0"/>
      <w:snapToGrid w:val="false"/>
      <w:spacing w:lineRule="atLeast" w:line="260" w:before="0" w:after="360"/>
      <w:jc w:val="left"/>
    </w:pPr>
    <w:rPr>
      <w:rFonts w:ascii="Palatino Linotype" w:hAnsi="Palatino Linotype" w:eastAsia="Times New Roman" w:cs="Times New Roman"/>
      <w:b/>
      <w:color w:val="000000"/>
      <w:kern w:val="0"/>
      <w:sz w:val="20"/>
      <w:szCs w:val="22"/>
      <w:lang w:eastAsia="de-DE" w:bidi="en-US" w:val="en-US"/>
      <w14:ligatures w14:val="none"/>
    </w:rPr>
  </w:style>
  <w:style w:type="paragraph" w:styleId="MDPI14history" w:customStyle="1">
    <w:name w:val="MDPI_1.4_history"/>
    <w:basedOn w:val="Normal"/>
    <w:next w:val="Normal"/>
    <w:qFormat/>
    <w:rsid w:val="00ce4bac"/>
    <w:pPr>
      <w:snapToGrid w:val="false"/>
      <w:spacing w:lineRule="atLeast" w:line="240"/>
      <w:ind w:right="113"/>
    </w:pPr>
    <w:rPr>
      <w:rFonts w:ascii="Palatino Linotype" w:hAnsi="Palatino Linotype" w:eastAsia="Times New Roman" w:cs="Times New Roman"/>
      <w:color w:val="000000"/>
      <w:kern w:val="0"/>
      <w:sz w:val="14"/>
      <w:szCs w:val="20"/>
      <w:lang w:eastAsia="de-DE" w:bidi="en-US"/>
      <w14:ligatures w14:val="none"/>
    </w:rPr>
  </w:style>
  <w:style w:type="paragraph" w:styleId="MDPI16affiliation" w:customStyle="1">
    <w:name w:val="MDPI_1.6_affiliation"/>
    <w:qFormat/>
    <w:rsid w:val="00ce4bac"/>
    <w:pPr>
      <w:widowControl/>
      <w:bidi w:val="0"/>
      <w:snapToGrid w:val="false"/>
      <w:spacing w:lineRule="atLeast" w:line="200" w:before="0" w:after="0"/>
      <w:ind w:hanging="198" w:left="2806"/>
      <w:jc w:val="left"/>
    </w:pPr>
    <w:rPr>
      <w:rFonts w:ascii="Palatino Linotype" w:hAnsi="Palatino Linotype" w:eastAsia="Times New Roman" w:cs="Times New Roman"/>
      <w:color w:val="000000"/>
      <w:kern w:val="0"/>
      <w:sz w:val="16"/>
      <w:szCs w:val="18"/>
      <w:lang w:eastAsia="de-DE" w:bidi="en-US" w:val="en-US"/>
      <w14:ligatures w14:val="none"/>
    </w:rPr>
  </w:style>
  <w:style w:type="paragraph" w:styleId="MDPI17abstract" w:customStyle="1">
    <w:name w:val="MDPI_1.7_abstract"/>
    <w:next w:val="Normal"/>
    <w:qFormat/>
    <w:rsid w:val="00ce4bac"/>
    <w:pPr>
      <w:widowControl/>
      <w:bidi w:val="0"/>
      <w:snapToGrid w:val="false"/>
      <w:spacing w:lineRule="atLeast" w:line="260" w:before="240" w:after="0"/>
      <w:ind w:left="2608"/>
      <w:jc w:val="both"/>
    </w:pPr>
    <w:rPr>
      <w:rFonts w:ascii="Palatino Linotype" w:hAnsi="Palatino Linotype" w:eastAsia="Times New Roman" w:cs="Times New Roman"/>
      <w:color w:val="000000"/>
      <w:kern w:val="0"/>
      <w:sz w:val="18"/>
      <w:szCs w:val="22"/>
      <w:lang w:eastAsia="de-DE" w:bidi="en-US" w:val="en-US"/>
      <w14:ligatures w14:val="none"/>
    </w:rPr>
  </w:style>
  <w:style w:type="paragraph" w:styleId="MDPI18keywords" w:customStyle="1">
    <w:name w:val="MDPI_1.8_keywords"/>
    <w:next w:val="Normal"/>
    <w:qFormat/>
    <w:rsid w:val="00ce4bac"/>
    <w:pPr>
      <w:widowControl/>
      <w:bidi w:val="0"/>
      <w:snapToGrid w:val="false"/>
      <w:spacing w:lineRule="atLeast" w:line="260" w:before="240" w:after="0"/>
      <w:ind w:left="2608"/>
      <w:jc w:val="both"/>
    </w:pPr>
    <w:rPr>
      <w:rFonts w:ascii="Palatino Linotype" w:hAnsi="Palatino Linotype" w:eastAsia="Times New Roman" w:cs="Times New Roman"/>
      <w:color w:val="000000"/>
      <w:kern w:val="0"/>
      <w:sz w:val="18"/>
      <w:szCs w:val="22"/>
      <w:lang w:eastAsia="de-DE" w:bidi="en-US" w:val="en-US"/>
      <w14:ligatures w14:val="none"/>
    </w:rPr>
  </w:style>
  <w:style w:type="paragraph" w:styleId="MDPI19line" w:customStyle="1">
    <w:name w:val="MDPI_1.9_line"/>
    <w:qFormat/>
    <w:rsid w:val="00ce4bac"/>
    <w:pPr>
      <w:widowControl/>
      <w:pBdr>
        <w:bottom w:val="single" w:sz="6" w:space="1" w:color="000000"/>
      </w:pBdr>
      <w:bidi w:val="0"/>
      <w:snapToGrid w:val="false"/>
      <w:spacing w:lineRule="atLeast" w:line="260" w:before="0" w:after="480"/>
      <w:ind w:left="2608"/>
      <w:jc w:val="both"/>
    </w:pPr>
    <w:rPr>
      <w:rFonts w:ascii="Palatino Linotype" w:hAnsi="Palatino Linotype" w:eastAsia="Times New Roman" w:cs="Cordia New"/>
      <w:color w:val="000000"/>
      <w:kern w:val="0"/>
      <w:sz w:val="20"/>
      <w:szCs w:val="24"/>
      <w:lang w:eastAsia="de-DE" w:bidi="en-US" w:val="en-US"/>
      <w14:ligatures w14:val="none"/>
    </w:rPr>
  </w:style>
  <w:style w:type="paragraph" w:styleId="MDPIheaderjournallogo" w:customStyle="1">
    <w:name w:val="MDPI_header_journal_logo"/>
    <w:qFormat/>
    <w:rsid w:val="00ce4bac"/>
    <w:pPr>
      <w:widowControl/>
      <w:bidi w:val="0"/>
      <w:snapToGrid w:val="false"/>
      <w:spacing w:lineRule="atLeast" w:line="260" w:before="0" w:after="0"/>
      <w:jc w:val="both"/>
    </w:pPr>
    <w:rPr>
      <w:rFonts w:ascii="Palatino Linotype" w:hAnsi="Palatino Linotype" w:eastAsia="Times New Roman" w:cs="Times New Roman"/>
      <w:i/>
      <w:color w:val="000000"/>
      <w:kern w:val="0"/>
      <w:sz w:val="24"/>
      <w:szCs w:val="22"/>
      <w:lang w:eastAsia="de-CH" w:val="en-US" w:bidi="ar-SA"/>
      <w14:ligatures w14:val="none"/>
    </w:rPr>
  </w:style>
  <w:style w:type="paragraph" w:styleId="MDPI32textnoindent" w:customStyle="1">
    <w:name w:val="MDPI_3.2_text_no_indent"/>
    <w:basedOn w:val="MDPI31text"/>
    <w:qFormat/>
    <w:rsid w:val="00ce4bac"/>
    <w:pPr>
      <w:ind w:hanging="0"/>
    </w:pPr>
    <w:rPr/>
  </w:style>
  <w:style w:type="paragraph" w:styleId="MDPI31text" w:customStyle="1">
    <w:name w:val="MDPI_3.1_text"/>
    <w:qFormat/>
    <w:rsid w:val="00ce4bac"/>
    <w:pPr>
      <w:widowControl/>
      <w:bidi w:val="0"/>
      <w:snapToGrid w:val="false"/>
      <w:spacing w:lineRule="auto" w:line="228" w:before="0" w:after="0"/>
      <w:ind w:firstLine="425" w:left="2608"/>
      <w:jc w:val="both"/>
    </w:pPr>
    <w:rPr>
      <w:rFonts w:ascii="Palatino Linotype" w:hAnsi="Palatino Linotype" w:eastAsia="Times New Roman" w:cs="Times New Roman"/>
      <w:color w:val="000000"/>
      <w:kern w:val="0"/>
      <w:sz w:val="20"/>
      <w:szCs w:val="22"/>
      <w:lang w:eastAsia="de-DE" w:bidi="en-US" w:val="en-US"/>
      <w14:ligatures w14:val="none"/>
    </w:rPr>
  </w:style>
  <w:style w:type="paragraph" w:styleId="MDPI33textspaceafter" w:customStyle="1">
    <w:name w:val="MDPI_3.3_text_space_after"/>
    <w:qFormat/>
    <w:rsid w:val="00ce4bac"/>
    <w:pPr>
      <w:widowControl/>
      <w:bidi w:val="0"/>
      <w:snapToGrid w:val="false"/>
      <w:spacing w:lineRule="auto" w:line="228" w:before="0" w:after="240"/>
      <w:ind w:left="2608"/>
      <w:jc w:val="both"/>
    </w:pPr>
    <w:rPr>
      <w:rFonts w:ascii="Palatino Linotype" w:hAnsi="Palatino Linotype" w:eastAsia="Times New Roman" w:cs="Times New Roman"/>
      <w:color w:val="000000"/>
      <w:kern w:val="0"/>
      <w:sz w:val="20"/>
      <w:szCs w:val="22"/>
      <w:lang w:eastAsia="de-DE" w:bidi="en-US" w:val="en-US"/>
      <w14:ligatures w14:val="none"/>
    </w:rPr>
  </w:style>
  <w:style w:type="paragraph" w:styleId="MDPI34textspacebefore" w:customStyle="1">
    <w:name w:val="MDPI_3.4_text_space_before"/>
    <w:qFormat/>
    <w:rsid w:val="00ce4bac"/>
    <w:pPr>
      <w:widowControl/>
      <w:bidi w:val="0"/>
      <w:snapToGrid w:val="false"/>
      <w:spacing w:lineRule="auto" w:line="228" w:before="240" w:after="0"/>
      <w:ind w:left="2608"/>
      <w:jc w:val="both"/>
    </w:pPr>
    <w:rPr>
      <w:rFonts w:ascii="Palatino Linotype" w:hAnsi="Palatino Linotype" w:eastAsia="Times New Roman" w:cs="Times New Roman"/>
      <w:color w:val="000000"/>
      <w:kern w:val="0"/>
      <w:sz w:val="20"/>
      <w:szCs w:val="22"/>
      <w:lang w:eastAsia="de-DE" w:bidi="en-US" w:val="en-US"/>
      <w14:ligatures w14:val="none"/>
    </w:rPr>
  </w:style>
  <w:style w:type="paragraph" w:styleId="MDPI35textbeforelist" w:customStyle="1">
    <w:name w:val="MDPI_3.5_text_before_list"/>
    <w:qFormat/>
    <w:rsid w:val="00ce4bac"/>
    <w:pPr>
      <w:widowControl/>
      <w:bidi w:val="0"/>
      <w:snapToGrid w:val="false"/>
      <w:spacing w:lineRule="auto" w:line="228" w:before="0" w:after="0"/>
      <w:ind w:firstLine="425" w:left="2608"/>
      <w:jc w:val="both"/>
    </w:pPr>
    <w:rPr>
      <w:rFonts w:ascii="Palatino Linotype" w:hAnsi="Palatino Linotype" w:eastAsia="Times New Roman" w:cs="Times New Roman"/>
      <w:color w:val="000000"/>
      <w:kern w:val="0"/>
      <w:sz w:val="20"/>
      <w:szCs w:val="22"/>
      <w:lang w:eastAsia="de-DE" w:bidi="en-US" w:val="en-US"/>
      <w14:ligatures w14:val="none"/>
    </w:rPr>
  </w:style>
  <w:style w:type="paragraph" w:styleId="MDPI36textafterlist" w:customStyle="1">
    <w:name w:val="MDPI_3.6_text_after_list"/>
    <w:qFormat/>
    <w:rsid w:val="00ce4bac"/>
    <w:pPr>
      <w:widowControl/>
      <w:bidi w:val="0"/>
      <w:snapToGrid w:val="false"/>
      <w:spacing w:lineRule="auto" w:line="228" w:before="120" w:after="0"/>
      <w:ind w:left="2608"/>
      <w:jc w:val="both"/>
    </w:pPr>
    <w:rPr>
      <w:rFonts w:ascii="Palatino Linotype" w:hAnsi="Palatino Linotype" w:eastAsia="Times New Roman" w:cs="Times New Roman"/>
      <w:color w:val="000000"/>
      <w:kern w:val="0"/>
      <w:sz w:val="20"/>
      <w:szCs w:val="22"/>
      <w:lang w:eastAsia="de-DE" w:bidi="en-US" w:val="en-US"/>
      <w14:ligatures w14:val="none"/>
    </w:rPr>
  </w:style>
  <w:style w:type="paragraph" w:styleId="MDPI37itemize" w:customStyle="1">
    <w:name w:val="MDPI_3.7_itemize"/>
    <w:qFormat/>
    <w:rsid w:val="00ce4bac"/>
    <w:pPr>
      <w:widowControl/>
      <w:numPr>
        <w:ilvl w:val="0"/>
        <w:numId w:val="2"/>
      </w:numPr>
      <w:bidi w:val="0"/>
      <w:snapToGrid w:val="false"/>
      <w:spacing w:lineRule="auto" w:line="228" w:before="0" w:after="0"/>
      <w:jc w:val="both"/>
    </w:pPr>
    <w:rPr>
      <w:rFonts w:ascii="Palatino Linotype" w:hAnsi="Palatino Linotype" w:eastAsia="Times New Roman" w:cs="Times New Roman"/>
      <w:color w:val="000000"/>
      <w:kern w:val="0"/>
      <w:sz w:val="20"/>
      <w:szCs w:val="22"/>
      <w:lang w:eastAsia="de-DE" w:bidi="en-US" w:val="en-US"/>
      <w14:ligatures w14:val="none"/>
    </w:rPr>
  </w:style>
  <w:style w:type="paragraph" w:styleId="MDPI38bullet" w:customStyle="1">
    <w:name w:val="MDPI_3.8_bullet"/>
    <w:qFormat/>
    <w:rsid w:val="00ce4bac"/>
    <w:pPr>
      <w:widowControl/>
      <w:numPr>
        <w:ilvl w:val="0"/>
        <w:numId w:val="3"/>
      </w:numPr>
      <w:bidi w:val="0"/>
      <w:snapToGrid w:val="false"/>
      <w:spacing w:lineRule="auto" w:line="228" w:before="0" w:after="0"/>
      <w:jc w:val="both"/>
    </w:pPr>
    <w:rPr>
      <w:rFonts w:ascii="Palatino Linotype" w:hAnsi="Palatino Linotype" w:eastAsia="Times New Roman" w:cs="Times New Roman"/>
      <w:color w:val="000000"/>
      <w:kern w:val="0"/>
      <w:sz w:val="20"/>
      <w:szCs w:val="22"/>
      <w:lang w:eastAsia="de-DE" w:bidi="en-US" w:val="en-US"/>
      <w14:ligatures w14:val="none"/>
    </w:rPr>
  </w:style>
  <w:style w:type="paragraph" w:styleId="MDPI39equation" w:customStyle="1">
    <w:name w:val="MDPI_3.9_equation"/>
    <w:qFormat/>
    <w:rsid w:val="00ce4bac"/>
    <w:pPr>
      <w:widowControl/>
      <w:bidi w:val="0"/>
      <w:snapToGrid w:val="false"/>
      <w:spacing w:lineRule="atLeast" w:line="260" w:before="120" w:after="120"/>
      <w:ind w:left="709"/>
      <w:jc w:val="center"/>
    </w:pPr>
    <w:rPr>
      <w:rFonts w:ascii="Palatino Linotype" w:hAnsi="Palatino Linotype" w:eastAsia="Times New Roman" w:cs="Times New Roman"/>
      <w:color w:val="000000"/>
      <w:kern w:val="0"/>
      <w:sz w:val="20"/>
      <w:szCs w:val="22"/>
      <w:lang w:eastAsia="de-DE" w:bidi="en-US" w:val="en-US"/>
      <w14:ligatures w14:val="none"/>
    </w:rPr>
  </w:style>
  <w:style w:type="paragraph" w:styleId="MDPI3aequationnumber" w:customStyle="1">
    <w:name w:val="MDPI_3.a_equation_number"/>
    <w:qFormat/>
    <w:rsid w:val="00ce4bac"/>
    <w:pPr>
      <w:widowControl/>
      <w:bidi w:val="0"/>
      <w:spacing w:before="120" w:after="120"/>
      <w:jc w:val="right"/>
    </w:pPr>
    <w:rPr>
      <w:rFonts w:ascii="Palatino Linotype" w:hAnsi="Palatino Linotype" w:eastAsia="Times New Roman" w:cs="Times New Roman"/>
      <w:color w:val="000000"/>
      <w:kern w:val="0"/>
      <w:sz w:val="20"/>
      <w:szCs w:val="22"/>
      <w:lang w:eastAsia="de-DE" w:bidi="en-US" w:val="en-US"/>
      <w14:ligatures w14:val="none"/>
    </w:rPr>
  </w:style>
  <w:style w:type="paragraph" w:styleId="MDPI41tablecaption" w:customStyle="1">
    <w:name w:val="MDPI_4.1_table_caption"/>
    <w:qFormat/>
    <w:rsid w:val="00ce4bac"/>
    <w:pPr>
      <w:widowControl/>
      <w:bidi w:val="0"/>
      <w:snapToGrid w:val="false"/>
      <w:spacing w:lineRule="auto" w:line="228" w:before="240" w:after="120"/>
      <w:ind w:left="2608"/>
      <w:jc w:val="both"/>
    </w:pPr>
    <w:rPr>
      <w:rFonts w:ascii="Palatino Linotype" w:hAnsi="Palatino Linotype" w:eastAsia="Times New Roman" w:cs="Cordia New"/>
      <w:color w:val="000000"/>
      <w:kern w:val="0"/>
      <w:sz w:val="18"/>
      <w:szCs w:val="22"/>
      <w:lang w:eastAsia="de-DE" w:bidi="en-US" w:val="en-US"/>
      <w14:ligatures w14:val="none"/>
    </w:rPr>
  </w:style>
  <w:style w:type="paragraph" w:styleId="MDPI42tablebody" w:customStyle="1">
    <w:name w:val="MDPI_4.2_table_body"/>
    <w:qFormat/>
    <w:rsid w:val="00ce4bac"/>
    <w:pPr>
      <w:widowControl/>
      <w:bidi w:val="0"/>
      <w:snapToGrid w:val="false"/>
      <w:spacing w:lineRule="atLeast" w:line="260" w:before="0" w:after="0"/>
      <w:jc w:val="center"/>
    </w:pPr>
    <w:rPr>
      <w:rFonts w:ascii="Palatino Linotype" w:hAnsi="Palatino Linotype" w:eastAsia="Times New Roman" w:cs="Times New Roman"/>
      <w:color w:val="000000"/>
      <w:kern w:val="0"/>
      <w:sz w:val="20"/>
      <w:szCs w:val="20"/>
      <w:lang w:eastAsia="de-DE" w:bidi="en-US" w:val="en-US"/>
      <w14:ligatures w14:val="none"/>
    </w:rPr>
  </w:style>
  <w:style w:type="paragraph" w:styleId="MDPI43tablefooter" w:customStyle="1">
    <w:name w:val="MDPI_4.3_table_footer"/>
    <w:next w:val="MDPI31text"/>
    <w:qFormat/>
    <w:rsid w:val="00ce4bac"/>
    <w:pPr>
      <w:widowControl/>
      <w:bidi w:val="0"/>
      <w:snapToGrid w:val="false"/>
      <w:spacing w:lineRule="auto" w:line="228" w:before="0" w:after="0"/>
      <w:ind w:left="2608"/>
      <w:jc w:val="both"/>
    </w:pPr>
    <w:rPr>
      <w:rFonts w:ascii="Palatino Linotype" w:hAnsi="Palatino Linotype" w:eastAsia="Times New Roman" w:cs="Cordia New"/>
      <w:color w:val="000000"/>
      <w:kern w:val="0"/>
      <w:sz w:val="18"/>
      <w:szCs w:val="22"/>
      <w:lang w:eastAsia="de-DE" w:bidi="en-US" w:val="en-US"/>
      <w14:ligatures w14:val="none"/>
    </w:rPr>
  </w:style>
  <w:style w:type="paragraph" w:styleId="MDPI51figurecaption" w:customStyle="1">
    <w:name w:val="MDPI_5.1_figure_caption"/>
    <w:qFormat/>
    <w:rsid w:val="00ce4bac"/>
    <w:pPr>
      <w:widowControl/>
      <w:bidi w:val="0"/>
      <w:snapToGrid w:val="false"/>
      <w:spacing w:lineRule="auto" w:line="228" w:before="120" w:after="240"/>
      <w:ind w:left="2608"/>
      <w:jc w:val="both"/>
    </w:pPr>
    <w:rPr>
      <w:rFonts w:ascii="Palatino Linotype" w:hAnsi="Palatino Linotype" w:eastAsia="Times New Roman" w:cs="Times New Roman"/>
      <w:color w:val="000000"/>
      <w:kern w:val="0"/>
      <w:sz w:val="18"/>
      <w:szCs w:val="20"/>
      <w:lang w:eastAsia="de-DE" w:bidi="en-US" w:val="en-US"/>
      <w14:ligatures w14:val="none"/>
    </w:rPr>
  </w:style>
  <w:style w:type="paragraph" w:styleId="MDPI52figure" w:customStyle="1">
    <w:name w:val="MDPI_5.2_figure"/>
    <w:qFormat/>
    <w:rsid w:val="00ce4bac"/>
    <w:pPr>
      <w:widowControl/>
      <w:bidi w:val="0"/>
      <w:snapToGrid w:val="false"/>
      <w:spacing w:before="240" w:after="120"/>
      <w:jc w:val="center"/>
    </w:pPr>
    <w:rPr>
      <w:rFonts w:ascii="Palatino Linotype" w:hAnsi="Palatino Linotype" w:eastAsia="Times New Roman" w:cs="Times New Roman"/>
      <w:color w:val="000000"/>
      <w:kern w:val="0"/>
      <w:sz w:val="20"/>
      <w:szCs w:val="20"/>
      <w:lang w:eastAsia="de-DE" w:bidi="en-US" w:val="en-US"/>
      <w14:ligatures w14:val="none"/>
    </w:rPr>
  </w:style>
  <w:style w:type="paragraph" w:styleId="MDPI81theorem" w:customStyle="1">
    <w:name w:val="MDPI_8.1_theorem"/>
    <w:qFormat/>
    <w:rsid w:val="00ce4bac"/>
    <w:pPr>
      <w:widowControl/>
      <w:bidi w:val="0"/>
      <w:snapToGrid w:val="false"/>
      <w:spacing w:lineRule="auto" w:line="228" w:before="0" w:after="0"/>
      <w:ind w:left="2608"/>
      <w:jc w:val="both"/>
    </w:pPr>
    <w:rPr>
      <w:rFonts w:ascii="Palatino Linotype" w:hAnsi="Palatino Linotype" w:eastAsia="Times New Roman" w:cs="Times New Roman"/>
      <w:i/>
      <w:color w:val="000000"/>
      <w:kern w:val="0"/>
      <w:sz w:val="20"/>
      <w:szCs w:val="22"/>
      <w:lang w:eastAsia="de-DE" w:bidi="en-US" w:val="en-US"/>
      <w14:ligatures w14:val="none"/>
    </w:rPr>
  </w:style>
  <w:style w:type="paragraph" w:styleId="MDPI82proof" w:customStyle="1">
    <w:name w:val="MDPI_8.2_proof"/>
    <w:qFormat/>
    <w:rsid w:val="00ce4bac"/>
    <w:pPr>
      <w:widowControl/>
      <w:bidi w:val="0"/>
      <w:snapToGrid w:val="false"/>
      <w:spacing w:lineRule="auto" w:line="228" w:before="0" w:after="0"/>
      <w:ind w:left="2608"/>
      <w:jc w:val="both"/>
    </w:pPr>
    <w:rPr>
      <w:rFonts w:ascii="Palatino Linotype" w:hAnsi="Palatino Linotype" w:eastAsia="Times New Roman" w:cs="Times New Roman"/>
      <w:color w:val="000000"/>
      <w:kern w:val="0"/>
      <w:sz w:val="20"/>
      <w:szCs w:val="22"/>
      <w:lang w:eastAsia="de-DE" w:bidi="en-US" w:val="en-US"/>
      <w14:ligatures w14:val="none"/>
    </w:rPr>
  </w:style>
  <w:style w:type="paragraph" w:styleId="MDPIfooterfirstpage" w:customStyle="1">
    <w:name w:val="MDPI_footer_firstpage"/>
    <w:qFormat/>
    <w:rsid w:val="00ce4bac"/>
    <w:pPr>
      <w:widowControl/>
      <w:tabs>
        <w:tab w:val="clear" w:pos="720"/>
        <w:tab w:val="right" w:pos="8845" w:leader="none"/>
      </w:tabs>
      <w:bidi w:val="0"/>
      <w:spacing w:lineRule="exact" w:line="160" w:before="0" w:after="0"/>
      <w:jc w:val="left"/>
    </w:pPr>
    <w:rPr>
      <w:rFonts w:ascii="Palatino Linotype" w:hAnsi="Palatino Linotype" w:eastAsia="Times New Roman" w:cs="Times New Roman"/>
      <w:color w:val="000000"/>
      <w:kern w:val="0"/>
      <w:sz w:val="16"/>
      <w:szCs w:val="20"/>
      <w:lang w:eastAsia="de-DE" w:val="en-US" w:bidi="ar-SA"/>
      <w14:ligatures w14:val="none"/>
    </w:rPr>
  </w:style>
  <w:style w:type="paragraph" w:styleId="MDPI23heading3" w:customStyle="1">
    <w:name w:val="MDPI_2.3_heading3"/>
    <w:qFormat/>
    <w:rsid w:val="00ce4bac"/>
    <w:pPr>
      <w:widowControl/>
      <w:bidi w:val="0"/>
      <w:snapToGrid w:val="false"/>
      <w:spacing w:lineRule="auto" w:line="228" w:before="60" w:after="60"/>
      <w:ind w:left="2608"/>
      <w:jc w:val="left"/>
      <w:outlineLvl w:val="2"/>
    </w:pPr>
    <w:rPr>
      <w:rFonts w:ascii="Palatino Linotype" w:hAnsi="Palatino Linotype" w:eastAsia="Times New Roman" w:cs="Times New Roman"/>
      <w:color w:val="000000"/>
      <w:kern w:val="0"/>
      <w:sz w:val="20"/>
      <w:szCs w:val="22"/>
      <w:lang w:eastAsia="de-DE" w:bidi="en-US" w:val="en-US"/>
      <w14:ligatures w14:val="none"/>
    </w:rPr>
  </w:style>
  <w:style w:type="paragraph" w:styleId="MDPI21heading1" w:customStyle="1">
    <w:name w:val="MDPI_2.1_heading1"/>
    <w:qFormat/>
    <w:rsid w:val="00ce4bac"/>
    <w:pPr>
      <w:widowControl/>
      <w:bidi w:val="0"/>
      <w:snapToGrid w:val="false"/>
      <w:spacing w:lineRule="auto" w:line="228" w:before="240" w:after="60"/>
      <w:ind w:left="2608"/>
      <w:jc w:val="left"/>
      <w:outlineLvl w:val="0"/>
    </w:pPr>
    <w:rPr>
      <w:rFonts w:ascii="Palatino Linotype" w:hAnsi="Palatino Linotype" w:eastAsia="Times New Roman" w:cs="Times New Roman"/>
      <w:b/>
      <w:color w:val="000000"/>
      <w:kern w:val="0"/>
      <w:sz w:val="20"/>
      <w:szCs w:val="22"/>
      <w:lang w:eastAsia="de-DE" w:bidi="en-US" w:val="en-US"/>
      <w14:ligatures w14:val="none"/>
    </w:rPr>
  </w:style>
  <w:style w:type="paragraph" w:styleId="MDPI22heading2" w:customStyle="1">
    <w:name w:val="MDPI_2.2_heading2"/>
    <w:qFormat/>
    <w:rsid w:val="00ce4bac"/>
    <w:pPr>
      <w:widowControl/>
      <w:bidi w:val="0"/>
      <w:snapToGrid w:val="false"/>
      <w:spacing w:lineRule="auto" w:line="228" w:before="60" w:after="60"/>
      <w:ind w:left="2608"/>
      <w:jc w:val="left"/>
      <w:outlineLvl w:val="1"/>
    </w:pPr>
    <w:rPr>
      <w:rFonts w:ascii="Palatino Linotype" w:hAnsi="Palatino Linotype" w:eastAsia="Times New Roman" w:cs="Times New Roman"/>
      <w:i/>
      <w:color w:val="000000"/>
      <w:kern w:val="0"/>
      <w:sz w:val="20"/>
      <w:szCs w:val="22"/>
      <w:lang w:eastAsia="de-DE" w:bidi="en-US" w:val="en-US"/>
      <w14:ligatures w14:val="none"/>
    </w:rPr>
  </w:style>
  <w:style w:type="paragraph" w:styleId="MDPI71References" w:customStyle="1">
    <w:name w:val="MDPI_7.1_References"/>
    <w:qFormat/>
    <w:rsid w:val="00ce4bac"/>
    <w:pPr>
      <w:widowControl/>
      <w:numPr>
        <w:ilvl w:val="0"/>
        <w:numId w:val="4"/>
      </w:numPr>
      <w:bidi w:val="0"/>
      <w:snapToGrid w:val="false"/>
      <w:spacing w:lineRule="auto" w:line="228" w:before="0" w:after="0"/>
      <w:jc w:val="both"/>
    </w:pPr>
    <w:rPr>
      <w:rFonts w:ascii="Palatino Linotype" w:hAnsi="Palatino Linotype" w:eastAsia="Times New Roman" w:cs="Times New Roman"/>
      <w:color w:val="000000"/>
      <w:kern w:val="0"/>
      <w:sz w:val="18"/>
      <w:szCs w:val="20"/>
      <w:lang w:eastAsia="de-DE" w:bidi="en-US" w:val="en-US"/>
      <w14:ligatures w14:val="none"/>
    </w:rPr>
  </w:style>
  <w:style w:type="paragraph" w:styleId="BalloonText">
    <w:name w:val="Balloon Text"/>
    <w:basedOn w:val="Normal"/>
    <w:link w:val="BalloonTextChar"/>
    <w:uiPriority w:val="99"/>
    <w:qFormat/>
    <w:rsid w:val="00ce4bac"/>
    <w:pPr>
      <w:spacing w:lineRule="atLeast" w:line="260"/>
      <w:jc w:val="both"/>
    </w:pPr>
    <w:rPr>
      <w:rFonts w:ascii="Palatino Linotype" w:hAnsi="Palatino Linotype" w:eastAsia="SimSun" w:cs="Tahoma"/>
      <w:color w:val="000000"/>
      <w:kern w:val="0"/>
      <w:sz w:val="20"/>
      <w:szCs w:val="18"/>
      <w:lang w:eastAsia="zh-CN"/>
      <w14:ligatures w14:val="none"/>
    </w:rPr>
  </w:style>
  <w:style w:type="paragraph" w:styleId="MDPI61Citation" w:customStyle="1">
    <w:name w:val="MDPI_6.1_Citation"/>
    <w:qFormat/>
    <w:rsid w:val="00ce4bac"/>
    <w:pPr>
      <w:widowControl/>
      <w:bidi w:val="0"/>
      <w:snapToGrid w:val="false"/>
      <w:spacing w:lineRule="atLeast" w:line="240" w:before="0" w:after="0"/>
      <w:ind w:right="113"/>
      <w:jc w:val="left"/>
    </w:pPr>
    <w:rPr>
      <w:rFonts w:ascii="Palatino Linotype" w:hAnsi="Palatino Linotype" w:eastAsia="SimSun" w:cs="Cordia New"/>
      <w:color w:val="auto"/>
      <w:kern w:val="0"/>
      <w:sz w:val="14"/>
      <w:szCs w:val="22"/>
      <w:lang w:eastAsia="zh-CN" w:val="en-US" w:bidi="ar-SA"/>
      <w14:ligatures w14:val="none"/>
    </w:rPr>
  </w:style>
  <w:style w:type="paragraph" w:styleId="MDPI62BackMatter" w:customStyle="1">
    <w:name w:val="MDPI_6.2_BackMatter"/>
    <w:qFormat/>
    <w:rsid w:val="00ce4bac"/>
    <w:pPr>
      <w:widowControl/>
      <w:bidi w:val="0"/>
      <w:snapToGrid w:val="false"/>
      <w:spacing w:lineRule="auto" w:line="228" w:before="0" w:after="120"/>
      <w:ind w:left="2608"/>
      <w:jc w:val="both"/>
    </w:pPr>
    <w:rPr>
      <w:rFonts w:ascii="Palatino Linotype" w:hAnsi="Palatino Linotype" w:eastAsia="Times New Roman" w:cs="Times New Roman"/>
      <w:color w:val="000000"/>
      <w:kern w:val="0"/>
      <w:sz w:val="18"/>
      <w:szCs w:val="20"/>
      <w:lang w:bidi="en-US" w:val="en-US" w:eastAsia="en-US"/>
      <w14:ligatures w14:val="none"/>
    </w:rPr>
  </w:style>
  <w:style w:type="paragraph" w:styleId="MDPI63Notes" w:customStyle="1">
    <w:name w:val="MDPI_6.3_Notes"/>
    <w:qFormat/>
    <w:rsid w:val="00ce4bac"/>
    <w:pPr>
      <w:widowControl/>
      <w:bidi w:val="0"/>
      <w:snapToGrid w:val="false"/>
      <w:spacing w:lineRule="auto" w:line="228" w:before="240" w:after="0"/>
      <w:jc w:val="both"/>
    </w:pPr>
    <w:rPr>
      <w:rFonts w:ascii="Palatino Linotype" w:hAnsi="Palatino Linotype" w:eastAsia="SimSun" w:cs="Times New Roman"/>
      <w:color w:val="000000"/>
      <w:kern w:val="0"/>
      <w:sz w:val="18"/>
      <w:szCs w:val="20"/>
      <w:lang w:bidi="en-US" w:val="en-US" w:eastAsia="en-US"/>
      <w14:ligatures w14:val="none"/>
    </w:rPr>
  </w:style>
  <w:style w:type="paragraph" w:styleId="MDPI15academiceditor" w:customStyle="1">
    <w:name w:val="MDPI_1.5_academic_editor"/>
    <w:qFormat/>
    <w:rsid w:val="00ce4bac"/>
    <w:pPr>
      <w:widowControl/>
      <w:bidi w:val="0"/>
      <w:snapToGrid w:val="false"/>
      <w:spacing w:lineRule="atLeast" w:line="240" w:before="120" w:after="0"/>
      <w:ind w:right="113"/>
      <w:jc w:val="left"/>
    </w:pPr>
    <w:rPr>
      <w:rFonts w:ascii="Palatino Linotype" w:hAnsi="Palatino Linotype" w:eastAsia="Times New Roman" w:cs="Times New Roman"/>
      <w:color w:val="000000"/>
      <w:kern w:val="0"/>
      <w:sz w:val="14"/>
      <w:szCs w:val="22"/>
      <w:lang w:eastAsia="de-DE" w:bidi="en-US" w:val="en-US"/>
      <w14:ligatures w14:val="none"/>
    </w:rPr>
  </w:style>
  <w:style w:type="paragraph" w:styleId="MDPI19classification" w:customStyle="1">
    <w:name w:val="MDPI_1.9_classification"/>
    <w:qFormat/>
    <w:rsid w:val="00ce4bac"/>
    <w:pPr>
      <w:widowControl/>
      <w:bidi w:val="0"/>
      <w:spacing w:lineRule="atLeast" w:line="260" w:before="240" w:after="0"/>
      <w:ind w:left="113"/>
      <w:jc w:val="both"/>
    </w:pPr>
    <w:rPr>
      <w:rFonts w:ascii="Palatino Linotype" w:hAnsi="Palatino Linotype" w:eastAsia="Times New Roman" w:cs="Times New Roman"/>
      <w:b/>
      <w:color w:val="000000"/>
      <w:kern w:val="0"/>
      <w:sz w:val="20"/>
      <w:szCs w:val="22"/>
      <w:lang w:eastAsia="de-DE" w:bidi="en-US" w:val="en-US"/>
      <w14:ligatures w14:val="none"/>
    </w:rPr>
  </w:style>
  <w:style w:type="paragraph" w:styleId="MDPI411onetablecaption" w:customStyle="1">
    <w:name w:val="MDPI_4.1.1_one_table_caption"/>
    <w:qFormat/>
    <w:rsid w:val="00ce4bac"/>
    <w:pPr>
      <w:widowControl/>
      <w:bidi w:val="0"/>
      <w:snapToGrid w:val="false"/>
      <w:spacing w:lineRule="atLeast" w:line="260" w:before="240" w:after="120"/>
      <w:jc w:val="center"/>
    </w:pPr>
    <w:rPr>
      <w:rFonts w:ascii="Palatino Linotype" w:hAnsi="Palatino Linotype" w:eastAsia="SimSun" w:cs="Cordia New"/>
      <w:color w:val="000000"/>
      <w:kern w:val="0"/>
      <w:sz w:val="18"/>
      <w:szCs w:val="22"/>
      <w:lang w:eastAsia="zh-CN" w:bidi="en-US" w:val="en-US"/>
      <w14:ligatures w14:val="none"/>
    </w:rPr>
  </w:style>
  <w:style w:type="paragraph" w:styleId="MDPI511onefigurecaption" w:customStyle="1">
    <w:name w:val="MDPI_5.1.1_one_figure_caption"/>
    <w:qFormat/>
    <w:rsid w:val="00ce4bac"/>
    <w:pPr>
      <w:widowControl/>
      <w:bidi w:val="0"/>
      <w:snapToGrid w:val="false"/>
      <w:spacing w:lineRule="atLeast" w:line="260" w:before="240" w:after="120"/>
      <w:jc w:val="center"/>
    </w:pPr>
    <w:rPr>
      <w:rFonts w:ascii="Palatino Linotype" w:hAnsi="Palatino Linotype" w:eastAsia="SimSun" w:cs="Times New Roman"/>
      <w:color w:val="000000"/>
      <w:kern w:val="0"/>
      <w:sz w:val="18"/>
      <w:szCs w:val="20"/>
      <w:lang w:eastAsia="zh-CN" w:bidi="en-US" w:val="en-US"/>
      <w14:ligatures w14:val="none"/>
    </w:rPr>
  </w:style>
  <w:style w:type="paragraph" w:styleId="MDPI72Copyright" w:customStyle="1">
    <w:name w:val="MDPI_7.2_Copyright"/>
    <w:qFormat/>
    <w:rsid w:val="00ce4bac"/>
    <w:pPr>
      <w:widowControl/>
      <w:bidi w:val="0"/>
      <w:snapToGrid w:val="false"/>
      <w:spacing w:lineRule="atLeast" w:line="240" w:before="60" w:after="0"/>
      <w:ind w:right="113"/>
      <w:jc w:val="both"/>
    </w:pPr>
    <w:rPr>
      <w:rFonts w:ascii="Palatino Linotype" w:hAnsi="Palatino Linotype" w:eastAsia="Times New Roman" w:cs="Times New Roman"/>
      <w:color w:val="000000"/>
      <w:kern w:val="0"/>
      <w:sz w:val="14"/>
      <w:szCs w:val="20"/>
      <w:lang w:val="en-GB" w:eastAsia="en-GB" w:bidi="ar-SA"/>
      <w14:ligatures w14:val="none"/>
    </w:rPr>
  </w:style>
  <w:style w:type="paragraph" w:styleId="MDPI73CopyrightImage" w:customStyle="1">
    <w:name w:val="MDPI_7.3_CopyrightImage"/>
    <w:qFormat/>
    <w:rsid w:val="00ce4bac"/>
    <w:pPr>
      <w:widowControl/>
      <w:bidi w:val="0"/>
      <w:snapToGrid w:val="false"/>
      <w:spacing w:lineRule="atLeast" w:line="260" w:before="0" w:after="100"/>
      <w:jc w:val="right"/>
    </w:pPr>
    <w:rPr>
      <w:rFonts w:ascii="Palatino Linotype" w:hAnsi="Palatino Linotype" w:eastAsia="Times New Roman" w:cs="Times New Roman"/>
      <w:color w:val="000000"/>
      <w:kern w:val="0"/>
      <w:sz w:val="20"/>
      <w:szCs w:val="20"/>
      <w:lang w:eastAsia="de-CH" w:val="en-US" w:bidi="ar-SA"/>
      <w14:ligatures w14:val="none"/>
    </w:rPr>
  </w:style>
  <w:style w:type="paragraph" w:styleId="MDPIequationFram" w:customStyle="1">
    <w:name w:val="MDPI_equationFram"/>
    <w:qFormat/>
    <w:rsid w:val="00ce4bac"/>
    <w:pPr>
      <w:widowControl/>
      <w:bidi w:val="0"/>
      <w:snapToGrid w:val="false"/>
      <w:spacing w:before="120" w:after="120"/>
      <w:jc w:val="center"/>
    </w:pPr>
    <w:rPr>
      <w:rFonts w:ascii="Palatino Linotype" w:hAnsi="Palatino Linotype" w:eastAsia="Times New Roman" w:cs="Times New Roman"/>
      <w:color w:val="000000"/>
      <w:kern w:val="0"/>
      <w:sz w:val="20"/>
      <w:szCs w:val="22"/>
      <w:lang w:eastAsia="de-DE" w:bidi="en-US" w:val="en-US"/>
      <w14:ligatures w14:val="none"/>
    </w:rPr>
  </w:style>
  <w:style w:type="paragraph" w:styleId="MDPIfooter" w:customStyle="1">
    <w:name w:val="MDPI_footer"/>
    <w:qFormat/>
    <w:rsid w:val="00ce4bac"/>
    <w:pPr>
      <w:widowControl/>
      <w:bidi w:val="0"/>
      <w:snapToGrid w:val="false"/>
      <w:spacing w:lineRule="atLeast" w:line="260" w:before="120" w:after="0"/>
      <w:jc w:val="center"/>
    </w:pPr>
    <w:rPr>
      <w:rFonts w:ascii="Palatino Linotype" w:hAnsi="Palatino Linotype" w:eastAsia="Times New Roman" w:cs="Times New Roman"/>
      <w:color w:val="000000"/>
      <w:kern w:val="0"/>
      <w:sz w:val="20"/>
      <w:szCs w:val="20"/>
      <w:lang w:eastAsia="de-DE" w:val="en-US" w:bidi="ar-SA"/>
      <w14:ligatures w14:val="none"/>
    </w:rPr>
  </w:style>
  <w:style w:type="paragraph" w:styleId="MDPIheader" w:customStyle="1">
    <w:name w:val="MDPI_header"/>
    <w:qFormat/>
    <w:rsid w:val="00ce4bac"/>
    <w:pPr>
      <w:widowControl/>
      <w:bidi w:val="0"/>
      <w:snapToGrid w:val="false"/>
      <w:spacing w:lineRule="atLeast" w:line="260" w:before="0" w:after="240"/>
      <w:jc w:val="both"/>
    </w:pPr>
    <w:rPr>
      <w:rFonts w:ascii="Palatino Linotype" w:hAnsi="Palatino Linotype" w:eastAsia="Times New Roman" w:cs="Times New Roman"/>
      <w:iCs/>
      <w:color w:val="000000"/>
      <w:kern w:val="0"/>
      <w:sz w:val="16"/>
      <w:szCs w:val="20"/>
      <w:lang w:eastAsia="de-DE" w:val="en-US" w:bidi="ar-SA"/>
      <w14:ligatures w14:val="none"/>
    </w:rPr>
  </w:style>
  <w:style w:type="paragraph" w:styleId="MDPIheadercitation" w:customStyle="1">
    <w:name w:val="MDPI_header_citation"/>
    <w:qFormat/>
    <w:rsid w:val="00ce4bac"/>
    <w:pPr>
      <w:widowControl/>
      <w:bidi w:val="0"/>
      <w:spacing w:before="0" w:after="240"/>
      <w:jc w:val="left"/>
    </w:pPr>
    <w:rPr>
      <w:rFonts w:ascii="Palatino Linotype" w:hAnsi="Palatino Linotype" w:eastAsia="Times New Roman" w:cs="Times New Roman"/>
      <w:color w:val="000000"/>
      <w:kern w:val="0"/>
      <w:sz w:val="18"/>
      <w:szCs w:val="20"/>
      <w:lang w:eastAsia="de-DE" w:bidi="en-US" w:val="en-US"/>
      <w14:ligatures w14:val="none"/>
    </w:rPr>
  </w:style>
  <w:style w:type="paragraph" w:styleId="MDPIheadermdpilogo" w:customStyle="1">
    <w:name w:val="MDPI_header_mdpi_logo"/>
    <w:qFormat/>
    <w:rsid w:val="00ce4bac"/>
    <w:pPr>
      <w:widowControl/>
      <w:bidi w:val="0"/>
      <w:snapToGrid w:val="false"/>
      <w:spacing w:lineRule="atLeast" w:line="260" w:before="0" w:after="0"/>
      <w:jc w:val="right"/>
    </w:pPr>
    <w:rPr>
      <w:rFonts w:ascii="Palatino Linotype" w:hAnsi="Palatino Linotype" w:eastAsia="Times New Roman" w:cs="Times New Roman"/>
      <w:color w:val="000000"/>
      <w:kern w:val="0"/>
      <w:sz w:val="24"/>
      <w:szCs w:val="22"/>
      <w:lang w:eastAsia="de-CH" w:val="en-US" w:bidi="ar-SA"/>
      <w14:ligatures w14:val="none"/>
    </w:rPr>
  </w:style>
  <w:style w:type="paragraph" w:styleId="MDPItext" w:customStyle="1">
    <w:name w:val="MDPI_text"/>
    <w:qFormat/>
    <w:rsid w:val="00ce4bac"/>
    <w:pPr>
      <w:widowControl/>
      <w:bidi w:val="0"/>
      <w:spacing w:lineRule="atLeast" w:line="260" w:before="0" w:after="0"/>
      <w:ind w:firstLine="284" w:left="425" w:right="425"/>
      <w:jc w:val="both"/>
    </w:pPr>
    <w:rPr>
      <w:rFonts w:ascii="Times New Roman" w:hAnsi="Times New Roman" w:eastAsia="Times New Roman" w:cs="Times New Roman"/>
      <w:color w:val="000000"/>
      <w:kern w:val="0"/>
      <w:sz w:val="22"/>
      <w:szCs w:val="22"/>
      <w:lang w:eastAsia="de-DE" w:bidi="en-US" w:val="en-US"/>
      <w14:ligatures w14:val="none"/>
    </w:rPr>
  </w:style>
  <w:style w:type="paragraph" w:styleId="MDPItitle" w:customStyle="1">
    <w:name w:val="MDPI_title"/>
    <w:qFormat/>
    <w:rsid w:val="00ce4bac"/>
    <w:pPr>
      <w:widowControl/>
      <w:bidi w:val="0"/>
      <w:snapToGrid w:val="false"/>
      <w:spacing w:lineRule="atLeast" w:line="260" w:before="0" w:after="240"/>
      <w:jc w:val="both"/>
    </w:pPr>
    <w:rPr>
      <w:rFonts w:ascii="Palatino Linotype" w:hAnsi="Palatino Linotype" w:eastAsia="Times New Roman" w:cs="Times New Roman"/>
      <w:b/>
      <w:color w:val="000000"/>
      <w:kern w:val="0"/>
      <w:sz w:val="36"/>
      <w:szCs w:val="20"/>
      <w:lang w:eastAsia="de-DE" w:bidi="en-US" w:val="en-US"/>
      <w14:ligatures w14:val="none"/>
    </w:rPr>
  </w:style>
  <w:style w:type="paragraph" w:styleId="Bibliography">
    <w:name w:val="Bibliography"/>
    <w:basedOn w:val="Normal"/>
    <w:next w:val="Normal"/>
    <w:uiPriority w:val="37"/>
    <w:unhideWhenUsed/>
    <w:qFormat/>
    <w:rsid w:val="00ce4bac"/>
    <w:pPr>
      <w:tabs>
        <w:tab w:val="clear" w:pos="720"/>
        <w:tab w:val="left" w:pos="384" w:leader="none"/>
      </w:tabs>
      <w:spacing w:lineRule="atLeast" w:line="240"/>
      <w:ind w:hanging="384" w:left="384"/>
      <w:jc w:val="both"/>
    </w:pPr>
    <w:rPr>
      <w:rFonts w:ascii="Palatino Linotype" w:hAnsi="Palatino Linotype" w:eastAsia="SimSun" w:cs="Times New Roman"/>
      <w:color w:val="000000"/>
      <w:kern w:val="0"/>
      <w:sz w:val="20"/>
      <w:szCs w:val="20"/>
      <w:lang w:eastAsia="zh-CN"/>
      <w14:ligatures w14:val="none"/>
    </w:rPr>
  </w:style>
  <w:style w:type="paragraph" w:styleId="CommentText">
    <w:name w:val="annotation text"/>
    <w:basedOn w:val="Normal"/>
    <w:link w:val="CommentTextChar"/>
    <w:rsid w:val="00ce4bac"/>
    <w:pPr>
      <w:spacing w:lineRule="atLeast" w:line="260"/>
      <w:jc w:val="both"/>
    </w:pPr>
    <w:rPr>
      <w:rFonts w:ascii="Palatino Linotype" w:hAnsi="Palatino Linotype" w:eastAsia="SimSun" w:cs="Times New Roman"/>
      <w:color w:val="000000"/>
      <w:kern w:val="0"/>
      <w:sz w:val="20"/>
      <w:szCs w:val="20"/>
      <w:lang w:eastAsia="zh-CN"/>
      <w14:ligatures w14:val="none"/>
    </w:rPr>
  </w:style>
  <w:style w:type="paragraph" w:styleId="annotationsubject">
    <w:name w:val="annotation subject"/>
    <w:basedOn w:val="CommentText"/>
    <w:next w:val="CommentText"/>
    <w:link w:val="CommentSubjectChar"/>
    <w:qFormat/>
    <w:rsid w:val="00ce4bac"/>
    <w:pPr/>
    <w:rPr>
      <w:b/>
      <w:bCs/>
    </w:rPr>
  </w:style>
  <w:style w:type="paragraph" w:styleId="EndnoteText">
    <w:name w:val="endnote text"/>
    <w:basedOn w:val="Normal"/>
    <w:link w:val="EndnoteTextChar"/>
    <w:semiHidden/>
    <w:unhideWhenUsed/>
    <w:rsid w:val="00ce4bac"/>
    <w:pPr>
      <w:jc w:val="both"/>
    </w:pPr>
    <w:rPr>
      <w:rFonts w:ascii="Palatino Linotype" w:hAnsi="Palatino Linotype" w:eastAsia="SimSun" w:cs="Times New Roman"/>
      <w:color w:val="000000"/>
      <w:kern w:val="0"/>
      <w:sz w:val="20"/>
      <w:szCs w:val="20"/>
      <w:lang w:eastAsia="zh-CN"/>
      <w14:ligatures w14:val="none"/>
    </w:rPr>
  </w:style>
  <w:style w:type="paragraph" w:styleId="FootnoteText">
    <w:name w:val="footnote text"/>
    <w:basedOn w:val="Normal"/>
    <w:link w:val="FootnoteTextChar"/>
    <w:semiHidden/>
    <w:unhideWhenUsed/>
    <w:rsid w:val="00ce4bac"/>
    <w:pPr>
      <w:jc w:val="both"/>
    </w:pPr>
    <w:rPr>
      <w:rFonts w:ascii="Palatino Linotype" w:hAnsi="Palatino Linotype" w:eastAsia="SimSun" w:cs="Times New Roman"/>
      <w:color w:val="000000"/>
      <w:kern w:val="0"/>
      <w:sz w:val="20"/>
      <w:szCs w:val="20"/>
      <w:lang w:eastAsia="zh-CN"/>
      <w14:ligatures w14:val="none"/>
    </w:rPr>
  </w:style>
  <w:style w:type="paragraph" w:styleId="NormalWeb">
    <w:name w:val="Normal (Web)"/>
    <w:basedOn w:val="Normal"/>
    <w:uiPriority w:val="99"/>
    <w:qFormat/>
    <w:rsid w:val="00ce4bac"/>
    <w:pPr>
      <w:spacing w:lineRule="atLeast" w:line="260"/>
      <w:jc w:val="both"/>
    </w:pPr>
    <w:rPr>
      <w:rFonts w:ascii="Palatino Linotype" w:hAnsi="Palatino Linotype" w:eastAsia="SimSun" w:cs="Times New Roman"/>
      <w:color w:val="000000"/>
      <w:kern w:val="0"/>
      <w:sz w:val="20"/>
      <w:szCs w:val="24"/>
      <w:lang w:eastAsia="zh-CN"/>
      <w14:ligatures w14:val="none"/>
    </w:rPr>
  </w:style>
  <w:style w:type="paragraph" w:styleId="MsoFootnoteText" w:customStyle="1">
    <w:name w:val="MsoFootnoteText"/>
    <w:basedOn w:val="NormalWeb"/>
    <w:qFormat/>
    <w:rsid w:val="00ce4bac"/>
    <w:pPr/>
    <w:rPr>
      <w:rFonts w:ascii="Times New Roman" w:hAnsi="Times New Roman"/>
    </w:rPr>
  </w:style>
  <w:style w:type="paragraph" w:styleId="MDPI71FootNotes" w:customStyle="1">
    <w:name w:val="MDPI_7.1_FootNotes"/>
    <w:qFormat/>
    <w:rsid w:val="00ce4bac"/>
    <w:pPr>
      <w:widowControl/>
      <w:numPr>
        <w:ilvl w:val="0"/>
        <w:numId w:val="1"/>
      </w:numPr>
      <w:bidi w:val="0"/>
      <w:snapToGrid w:val="false"/>
      <w:spacing w:lineRule="auto" w:line="228" w:before="0" w:after="0"/>
      <w:jc w:val="left"/>
    </w:pPr>
    <w:rPr>
      <w:rFonts w:ascii="Palatino Linotype" w:hAnsi="Palatino Linotype" w:eastAsia="" w:cs="Times New Roman" w:eastAsiaTheme="minorEastAsia"/>
      <w:color w:val="000000"/>
      <w:kern w:val="0"/>
      <w:sz w:val="18"/>
      <w:szCs w:val="20"/>
      <w:lang w:eastAsia="zh-CN" w:val="en-US" w:bidi="ar-SA"/>
      <w14:ligatures w14:val="none"/>
    </w:rPr>
  </w:style>
  <w:style w:type="paragraph" w:styleId="Revision">
    <w:name w:val="Revision"/>
    <w:uiPriority w:val="99"/>
    <w:semiHidden/>
    <w:qFormat/>
    <w:rsid w:val="00ce4bac"/>
    <w:pPr>
      <w:widowControl/>
      <w:bidi w:val="0"/>
      <w:spacing w:before="0" w:after="0"/>
      <w:jc w:val="left"/>
    </w:pPr>
    <w:rPr>
      <w:rFonts w:ascii="Palatino Linotype" w:hAnsi="Palatino Linotype" w:eastAsia="SimSun" w:cs="Times New Roman"/>
      <w:color w:val="000000"/>
      <w:kern w:val="0"/>
      <w:sz w:val="20"/>
      <w:szCs w:val="20"/>
      <w:lang w:eastAsia="zh-CN" w:val="en-US" w:bidi="ar-SA"/>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Light">
    <w:name w:val="Grid Table Light"/>
    <w:basedOn w:val="TableNormal"/>
    <w:uiPriority w:val="40"/>
    <w:rsid w:val="00ce4bac"/>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Mdeck5tablebodythreelines">
    <w:name w:val="M_deck_5_table_body_three_lines"/>
    <w:basedOn w:val="TableNormal"/>
    <w:uiPriority w:val="99"/>
    <w:rsid w:val="00ce4bac"/>
    <w:pPr>
      <w:snapToGrid w:val="0"/>
      <w:spacing w:line="300" w:lineRule="exact"/>
      <w:jc w:val="center"/>
    </w:pPr>
    <w:rPr>
      <w:lang w:val="de-DE" w:eastAsia="de-DE"/>
      <w:sz w:val="20"/>
      <w:szCs w:val="20"/>
    </w:rPr>
    <w:tblPr>
      <w:tblBorders>
        <w:bottom w:val="single" w:color="auto" w:sz="8" w:space="0"/>
      </w:tblBorders>
    </w:tblPr>
    <w:tcPr>
      <w:vAlign w:val="center"/>
    </w:tcPr>
    <w:tblStylePr w:type="firstRow">
      <w:pPr>
        <w:wordWrap/>
        <w:ind w:right="0" w:rightChars="0"/>
        <w:snapToGrid w:val="0"/>
        <w:spacing w:beforeLines="0" w:afterLines="0" w:line="300" w:lineRule="exact"/>
        <w:jc w:val="center"/>
      </w:pPr>
      <w:rPr>
        <w:b w:val="0"/>
        <w:i w:val="0"/>
        <w:sz w:val="22"/>
      </w:rPr>
      <w:tblPr/>
      <w:tcPr>
        <w:tcBorders>
          <w:top w:val="single" w:color="auto" w:sz="8" w:space="0"/>
          <w:left w:val="nil"/>
          <w:bottom w:val="single" w:color="auto" w:sz="4" w:space="0"/>
          <w:right w:val="nil"/>
          <w:insideH w:val="nil"/>
          <w:insideV w:val="nil"/>
          <w:tl2br w:val="nil"/>
          <w:tr2bl w:val="nil"/>
        </w:tcBorders>
      </w:tcPr>
    </w:tblStylePr>
  </w:style>
  <w:style w:type="table" w:styleId="TableGrid">
    <w:name w:val="Table Grid"/>
    <w:basedOn w:val="TableNormal"/>
    <w:uiPriority w:val="39"/>
    <w:rsid w:val="00ce4bac"/>
    <w:pPr>
      <w:spacing w:line="260" w:lineRule="atLeast"/>
      <w:jc w:val="both"/>
    </w:pPr>
    <w:rPr>
      <w:lang w:eastAsia="zh-C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DPI41threelinetable">
    <w:name w:val="MDPI_4.1_three_line_table"/>
    <w:basedOn w:val="TableNormal"/>
    <w:uiPriority w:val="99"/>
    <w:rsid w:val="00ce4bac"/>
    <w:pPr>
      <w:snapToGrid w:val="0"/>
      <w:jc w:val="center"/>
    </w:pPr>
    <w:rPr>
      <w:lang w:eastAsia="zh-CN"/>
      <w:sz w:val="20"/>
      <w:szCs w:val="20"/>
    </w:rPr>
    <w:tblPr>
      <w:tblBorders>
        <w:top w:val="single" w:color="auto" w:sz="8" w:space="0"/>
        <w:bottom w:val="single" w:color="auto" w:sz="8" w:space="0"/>
      </w:tblBorders>
    </w:tblPr>
    <w:tcPr>
      <w:vAlign w:val="center"/>
    </w:tcPr>
    <w:tblStylePr w:type="firstRow">
      <w:rPr>
        <w:b/>
        <w:i w:val="0"/>
        <w:sz w:val="20"/>
      </w:rPr>
      <w:tblPr/>
      <w:tcPr>
        <w:tcBorders>
          <w:bottom w:val="single" w:color="auto" w:sz="4" w:space="0"/>
        </w:tcBorders>
      </w:tcPr>
    </w:tblStylePr>
  </w:style>
  <w:style w:type="table" w:styleId="PlainTable4">
    <w:name w:val="Plain Table 4"/>
    <w:basedOn w:val="TableNormal"/>
    <w:uiPriority w:val="44"/>
    <w:rsid w:val="00ce4bac"/>
    <w:rPr>
      <w:lang w:eastAsia="zh-CN"/>
      <w:sz w:val="20"/>
      <w:szCs w:val="20"/>
    </w:rPr>
    <w:tblPr>
      <w:tblStyleRowBandSize w:val="1"/>
      <w:tblStyleColBandSize w:val="1"/>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F2F2F2"/>
      </w:tcPr>
    </w:tblStylePr>
    <w:tblStylePr w:type="band1Horz">
      <w:tblPr/>
      <w:tcPr>
        <w:shd w:val="clear" w:color="auto" w:fill="F2F2F2"/>
      </w:tcPr>
    </w:tblStylePr>
  </w:style>
  <w:style w:type="table" w:customStyle="1" w:styleId="MDPITable">
    <w:name w:val="MDPI_Table"/>
    <w:basedOn w:val="TableNormal"/>
    <w:uiPriority w:val="99"/>
    <w:rsid w:val="00ce4bac"/>
    <w:rPr>
      <w:lang w:val="en-CA"/>
      <w:sz w:val="20"/>
      <w:szCs w:val="20"/>
    </w:rPr>
    <w:tblPr>
      <w:tblCellMar>
        <w:left w:w="0" w:type="dxa"/>
        <w:right w:w="0" w:type="dxa"/>
      </w:tblCellMar>
    </w:tblPr>
  </w:style>
  <w:style w:type="table" w:styleId="PlainTable1">
    <w:name w:val="Plain Table 1"/>
    <w:basedOn w:val="TableNormal"/>
    <w:uiPriority w:val="41"/>
    <w:rsid w:val="00ce4bac"/>
    <w:rPr>
      <w:lang w:eastAsia="zh-CN"/>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e4bac"/>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LibreOffice/25.2.4.3$Windows_X86_64 LibreOffice_project/33e196637044ead23f5c3226cde09b47731f7e27</Application>
  <AppVersion>15.0000</AppVersion>
  <Pages>15</Pages>
  <Words>3243</Words>
  <Characters>12179</Characters>
  <CharactersWithSpaces>14416</CharactersWithSpaces>
  <Paragraphs>1028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2025-06-18T14:55:00Z</dcterms:created>
  <dc:creator>Linda Brent</dc:creator>
  <dc:description/>
  <dc:language>en-IN</dc:language>
  <cp:lastModifiedBy>Linda Brent</cp:lastModifiedBy>
  <dcterms:modified xsi:type="dcterms:W3CDTF">2025-06-18T17:45:00Z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