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508" w:rsidRPr="00A674F6" w:rsidRDefault="00812508" w:rsidP="00812508">
      <w:pPr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812508" w:rsidRPr="00A674F6" w:rsidRDefault="00812508" w:rsidP="00812508">
      <w:pPr>
        <w:spacing w:before="100" w:beforeAutospacing="1" w:after="100" w:afterAutospacing="1" w:line="480" w:lineRule="auto"/>
        <w:jc w:val="both"/>
        <w:rPr>
          <w:rStyle w:val="Strong"/>
          <w:rFonts w:asciiTheme="majorBidi" w:eastAsiaTheme="majorEastAsia" w:hAnsiTheme="majorBidi" w:cstheme="majorBidi"/>
        </w:rPr>
      </w:pPr>
      <w:r w:rsidRPr="00A674F6">
        <w:rPr>
          <w:rFonts w:asciiTheme="majorBidi" w:eastAsiaTheme="majorEastAsia" w:hAnsiTheme="majorBidi" w:cstheme="majorBidi"/>
          <w:b/>
          <w:bCs/>
          <w:noProof/>
          <w14:ligatures w14:val="standardContextual"/>
        </w:rPr>
        <w:drawing>
          <wp:inline distT="0" distB="0" distL="0" distR="0" wp14:anchorId="07A1648B" wp14:editId="559AECFB">
            <wp:extent cx="5943600" cy="4307840"/>
            <wp:effectExtent l="0" t="0" r="0" b="0"/>
            <wp:docPr id="13076234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623477" name="Picture 13076234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508" w:rsidRPr="00F62444" w:rsidRDefault="00812508" w:rsidP="00812508">
      <w:pPr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A674F6">
        <w:rPr>
          <w:rStyle w:val="Strong"/>
          <w:rFonts w:eastAsiaTheme="majorEastAsia"/>
        </w:rPr>
        <w:t>Supplementary Figure S1. Flowchart of study design and sample allocation.</w:t>
      </w:r>
      <w:r w:rsidRPr="00A674F6">
        <w:t xml:space="preserve">A total of 74 dogs were screened, of which 18 were excluded (psychotropic medication, n = 11; medical conditions, n = 7). This yielded 36 anxious dogs who met the inclusion criteria. In parallel, 20 clinically healthy dogs were recruited as controls. </w:t>
      </w:r>
      <w:r w:rsidRPr="00A674F6">
        <w:rPr>
          <w:rStyle w:val="Strong"/>
          <w:rFonts w:eastAsiaTheme="majorEastAsia"/>
        </w:rPr>
        <w:t>C-BARQ was administered in both groups; in controls, it was used only to confirm low scores across domains.</w:t>
      </w:r>
      <w:r w:rsidRPr="00A674F6">
        <w:t xml:space="preserve"> Both groups subsequently underwent echocardiographic evaluation and </w:t>
      </w:r>
      <w:r>
        <w:t>statistical analyses (Tables 1–6</w:t>
      </w:r>
      <w:r w:rsidRPr="00A674F6">
        <w:t>; Figures 1–3)</w:t>
      </w:r>
      <w:bookmarkStart w:id="0" w:name="_GoBack"/>
      <w:bookmarkEnd w:id="0"/>
    </w:p>
    <w:p w:rsidR="0023255D" w:rsidRDefault="00812508"/>
    <w:sectPr w:rsidR="0023255D" w:rsidSect="0072433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08"/>
    <w:rsid w:val="005E24B7"/>
    <w:rsid w:val="00812508"/>
    <w:rsid w:val="00B8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01AB3"/>
  <w15:chartTrackingRefBased/>
  <w15:docId w15:val="{CDD5C141-E908-4341-B328-4E4310FF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2508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812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Remel Jay Cabug-os</dc:creator>
  <cp:keywords/>
  <dc:description/>
  <cp:lastModifiedBy>Remel Jay Cabug-os</cp:lastModifiedBy>
  <cp:revision>1</cp:revision>
  <dcterms:created xsi:type="dcterms:W3CDTF">2025-09-22T08:41:00Z</dcterms:created>
  <dcterms:modified xsi:type="dcterms:W3CDTF">2025-09-22T08:44:00Z</dcterms:modified>
</cp:coreProperties>
</file>