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4336" w14:textId="7DD56E80" w:rsidR="004F6248" w:rsidRDefault="00C41D94" w:rsidP="006D0E76">
      <w:pPr>
        <w:spacing w:after="0" w:line="240" w:lineRule="auto"/>
        <w:ind w:left="-990"/>
        <w:jc w:val="both"/>
        <w:rPr>
          <w:rFonts w:ascii="Times New Roman" w:hAnsi="Times New Roman" w:cstheme="majorBidi"/>
          <w:sz w:val="20"/>
          <w:szCs w:val="20"/>
          <w:lang w:bidi="fa-IR"/>
        </w:rPr>
      </w:pPr>
      <w:r w:rsidRPr="00C41D94">
        <w:rPr>
          <w:rFonts w:ascii="Times New Roman" w:hAnsi="Times New Roman" w:cstheme="majorBidi"/>
          <w:b/>
          <w:bCs/>
          <w:sz w:val="20"/>
          <w:szCs w:val="20"/>
          <w:lang w:bidi="fa-IR"/>
        </w:rPr>
        <w:t>Additional file 7</w:t>
      </w:r>
      <w:r w:rsidRPr="00C41D94">
        <w:rPr>
          <w:rFonts w:ascii="Times New Roman" w:hAnsi="Times New Roman" w:cstheme="majorBidi"/>
          <w:b/>
          <w:bCs/>
          <w:sz w:val="20"/>
          <w:szCs w:val="20"/>
          <w:lang w:bidi="fa-IR"/>
        </w:rPr>
        <w:t>.</w:t>
      </w:r>
      <w:r>
        <w:rPr>
          <w:rFonts w:ascii="Times New Roman" w:hAnsi="Times New Roman" w:cstheme="majorBidi"/>
          <w:sz w:val="20"/>
          <w:szCs w:val="20"/>
          <w:lang w:bidi="fa-IR"/>
        </w:rPr>
        <w:t xml:space="preserve"> </w:t>
      </w:r>
      <w:r w:rsidR="004F6248" w:rsidRPr="00EA1203">
        <w:rPr>
          <w:rFonts w:ascii="Times New Roman" w:hAnsi="Times New Roman" w:cstheme="majorBidi"/>
          <w:sz w:val="20"/>
          <w:szCs w:val="20"/>
          <w:lang w:bidi="fa-IR"/>
        </w:rPr>
        <w:t>Functional enrichment analysis for genes identified within ROH Island (670K SNP array)</w:t>
      </w:r>
    </w:p>
    <w:tbl>
      <w:tblPr>
        <w:tblStyle w:val="TableGrid"/>
        <w:tblW w:w="14925" w:type="dxa"/>
        <w:tblInd w:w="-995" w:type="dxa"/>
        <w:tblLook w:val="04A0" w:firstRow="1" w:lastRow="0" w:firstColumn="1" w:lastColumn="0" w:noHBand="0" w:noVBand="1"/>
      </w:tblPr>
      <w:tblGrid>
        <w:gridCol w:w="849"/>
        <w:gridCol w:w="1941"/>
        <w:gridCol w:w="2415"/>
        <w:gridCol w:w="2880"/>
        <w:gridCol w:w="1710"/>
        <w:gridCol w:w="3960"/>
        <w:gridCol w:w="1170"/>
      </w:tblGrid>
      <w:tr w:rsidR="006D0E76" w:rsidRPr="004D24EB" w14:paraId="2ABC6F1E" w14:textId="22DBF45C" w:rsidTr="000632BA">
        <w:trPr>
          <w:trHeight w:val="300"/>
        </w:trPr>
        <w:tc>
          <w:tcPr>
            <w:tcW w:w="849" w:type="dxa"/>
            <w:noWrap/>
            <w:vAlign w:val="center"/>
            <w:hideMark/>
          </w:tcPr>
          <w:p w14:paraId="4960557E" w14:textId="77777777" w:rsidR="006D0E76" w:rsidRPr="004D24EB" w:rsidRDefault="006D0E76" w:rsidP="006D0E76">
            <w:pPr>
              <w:jc w:val="center"/>
              <w:rPr>
                <w:rFonts w:asciiTheme="majorBidi" w:hAnsiTheme="majorBidi" w:cstheme="majorBidi"/>
                <w:color w:val="000000" w:themeColor="text1"/>
                <w:sz w:val="14"/>
                <w:szCs w:val="14"/>
                <w:lang w:bidi="fa-IR"/>
              </w:rPr>
            </w:pPr>
            <w:r w:rsidRPr="004D24EB">
              <w:rPr>
                <w:rFonts w:asciiTheme="majorBidi" w:hAnsiTheme="majorBidi" w:cstheme="majorBidi"/>
                <w:color w:val="000000" w:themeColor="text1"/>
                <w:sz w:val="14"/>
                <w:szCs w:val="14"/>
                <w:lang w:bidi="fa-IR"/>
              </w:rPr>
              <w:t>Gene</w:t>
            </w:r>
          </w:p>
        </w:tc>
        <w:tc>
          <w:tcPr>
            <w:tcW w:w="1941" w:type="dxa"/>
            <w:noWrap/>
            <w:vAlign w:val="center"/>
            <w:hideMark/>
          </w:tcPr>
          <w:p w14:paraId="0FBCABAD" w14:textId="77777777" w:rsidR="006D0E76" w:rsidRPr="004D24EB" w:rsidRDefault="006D0E76" w:rsidP="006D0E76">
            <w:pPr>
              <w:jc w:val="center"/>
              <w:rPr>
                <w:rFonts w:asciiTheme="majorBidi" w:hAnsiTheme="majorBidi" w:cstheme="majorBidi"/>
                <w:color w:val="000000" w:themeColor="text1"/>
                <w:sz w:val="14"/>
                <w:szCs w:val="14"/>
                <w:lang w:bidi="fa-IR"/>
              </w:rPr>
            </w:pPr>
            <w:r w:rsidRPr="004D24EB">
              <w:rPr>
                <w:rFonts w:asciiTheme="majorBidi" w:hAnsiTheme="majorBidi" w:cstheme="majorBidi"/>
                <w:color w:val="000000" w:themeColor="text1"/>
                <w:sz w:val="14"/>
                <w:szCs w:val="14"/>
                <w:lang w:bidi="fa-IR"/>
              </w:rPr>
              <w:t>Molecular Function</w:t>
            </w:r>
          </w:p>
        </w:tc>
        <w:tc>
          <w:tcPr>
            <w:tcW w:w="2415" w:type="dxa"/>
            <w:noWrap/>
            <w:vAlign w:val="center"/>
            <w:hideMark/>
          </w:tcPr>
          <w:p w14:paraId="5412CAB6" w14:textId="77777777" w:rsidR="006D0E76" w:rsidRPr="004D24EB" w:rsidRDefault="006D0E76" w:rsidP="006D0E76">
            <w:pPr>
              <w:jc w:val="center"/>
              <w:rPr>
                <w:rFonts w:asciiTheme="majorBidi" w:hAnsiTheme="majorBidi" w:cstheme="majorBidi"/>
                <w:color w:val="000000" w:themeColor="text1"/>
                <w:sz w:val="14"/>
                <w:szCs w:val="14"/>
                <w:lang w:bidi="fa-IR"/>
              </w:rPr>
            </w:pPr>
            <w:r w:rsidRPr="004D24EB">
              <w:rPr>
                <w:rFonts w:asciiTheme="majorBidi" w:hAnsiTheme="majorBidi" w:cstheme="majorBidi"/>
                <w:color w:val="000000" w:themeColor="text1"/>
                <w:sz w:val="14"/>
                <w:szCs w:val="14"/>
                <w:lang w:bidi="fa-IR"/>
              </w:rPr>
              <w:t>Biological Process</w:t>
            </w:r>
          </w:p>
        </w:tc>
        <w:tc>
          <w:tcPr>
            <w:tcW w:w="2880" w:type="dxa"/>
            <w:noWrap/>
            <w:vAlign w:val="center"/>
            <w:hideMark/>
          </w:tcPr>
          <w:p w14:paraId="6FF7912A" w14:textId="77777777" w:rsidR="006D0E76" w:rsidRPr="004D24EB" w:rsidRDefault="006D0E76" w:rsidP="006D0E76">
            <w:pPr>
              <w:jc w:val="center"/>
              <w:rPr>
                <w:rFonts w:asciiTheme="majorBidi" w:hAnsiTheme="majorBidi" w:cstheme="majorBidi"/>
                <w:color w:val="000000" w:themeColor="text1"/>
                <w:sz w:val="14"/>
                <w:szCs w:val="14"/>
                <w:lang w:bidi="fa-IR"/>
              </w:rPr>
            </w:pPr>
            <w:r w:rsidRPr="004D24EB">
              <w:rPr>
                <w:rFonts w:asciiTheme="majorBidi" w:hAnsiTheme="majorBidi" w:cstheme="majorBidi"/>
                <w:color w:val="000000" w:themeColor="text1"/>
                <w:sz w:val="14"/>
                <w:szCs w:val="14"/>
                <w:lang w:bidi="fa-IR"/>
              </w:rPr>
              <w:t>Associated Phenotypes (Horse/Mammalian)</w:t>
            </w:r>
          </w:p>
        </w:tc>
        <w:tc>
          <w:tcPr>
            <w:tcW w:w="1710" w:type="dxa"/>
            <w:noWrap/>
            <w:vAlign w:val="center"/>
            <w:hideMark/>
          </w:tcPr>
          <w:p w14:paraId="0788EB6D" w14:textId="77777777" w:rsidR="006D0E76" w:rsidRPr="004D24EB" w:rsidRDefault="006D0E76" w:rsidP="006D0E76">
            <w:pPr>
              <w:jc w:val="center"/>
              <w:rPr>
                <w:rFonts w:asciiTheme="majorBidi" w:hAnsiTheme="majorBidi" w:cstheme="majorBidi"/>
                <w:color w:val="000000" w:themeColor="text1"/>
                <w:sz w:val="14"/>
                <w:szCs w:val="14"/>
                <w:lang w:bidi="fa-IR"/>
              </w:rPr>
            </w:pPr>
            <w:r w:rsidRPr="004D24EB">
              <w:rPr>
                <w:rFonts w:asciiTheme="majorBidi" w:hAnsiTheme="majorBidi" w:cstheme="majorBidi"/>
                <w:color w:val="000000" w:themeColor="text1"/>
                <w:sz w:val="12"/>
                <w:szCs w:val="12"/>
                <w:lang w:bidi="fa-IR"/>
              </w:rPr>
              <w:t>Notes (DAVID enrichment / pathway)</w:t>
            </w:r>
          </w:p>
        </w:tc>
        <w:tc>
          <w:tcPr>
            <w:tcW w:w="3960" w:type="dxa"/>
            <w:vAlign w:val="center"/>
          </w:tcPr>
          <w:p w14:paraId="2D2C344A" w14:textId="07E397D3" w:rsidR="006D0E76" w:rsidRPr="006D0E76" w:rsidRDefault="006D0E76" w:rsidP="006D0E76">
            <w:pPr>
              <w:jc w:val="center"/>
              <w:rPr>
                <w:rFonts w:asciiTheme="majorBidi" w:hAnsiTheme="majorBidi" w:cstheme="majorBidi"/>
                <w:color w:val="000000" w:themeColor="text1"/>
                <w:sz w:val="12"/>
                <w:szCs w:val="12"/>
                <w:lang w:bidi="fa-IR"/>
              </w:rPr>
            </w:pPr>
            <w:r w:rsidRPr="00415E51">
              <w:rPr>
                <w:rFonts w:asciiTheme="majorBidi" w:hAnsiTheme="majorBidi" w:cstheme="majorBidi"/>
                <w:color w:val="000000" w:themeColor="text1"/>
                <w:sz w:val="12"/>
                <w:szCs w:val="12"/>
                <w:lang w:bidi="fa-IR"/>
              </w:rPr>
              <w:t>Breeds</w:t>
            </w:r>
          </w:p>
        </w:tc>
        <w:tc>
          <w:tcPr>
            <w:tcW w:w="1170" w:type="dxa"/>
            <w:vAlign w:val="center"/>
          </w:tcPr>
          <w:p w14:paraId="6B3A2803" w14:textId="41441FEE" w:rsidR="006D0E76" w:rsidRPr="006D0E76" w:rsidRDefault="006D0E76" w:rsidP="006D0E76">
            <w:pPr>
              <w:jc w:val="center"/>
              <w:rPr>
                <w:rFonts w:asciiTheme="majorBidi" w:hAnsiTheme="majorBidi" w:cstheme="majorBidi"/>
                <w:color w:val="000000" w:themeColor="text1"/>
                <w:sz w:val="12"/>
                <w:szCs w:val="12"/>
                <w:lang w:bidi="fa-IR"/>
              </w:rPr>
            </w:pPr>
            <w:r w:rsidRPr="00415E51">
              <w:rPr>
                <w:rFonts w:asciiTheme="majorBidi" w:hAnsiTheme="majorBidi" w:cstheme="majorBidi"/>
                <w:color w:val="000000" w:themeColor="text1"/>
                <w:sz w:val="12"/>
                <w:szCs w:val="12"/>
                <w:lang w:bidi="fa-IR"/>
              </w:rPr>
              <w:t>Breed Count</w:t>
            </w:r>
          </w:p>
        </w:tc>
      </w:tr>
      <w:tr w:rsidR="006D0E76" w:rsidRPr="004D24EB" w14:paraId="30D30467" w14:textId="311DFCF1" w:rsidTr="000632BA">
        <w:trPr>
          <w:trHeight w:val="300"/>
        </w:trPr>
        <w:tc>
          <w:tcPr>
            <w:tcW w:w="849" w:type="dxa"/>
            <w:noWrap/>
            <w:vAlign w:val="center"/>
            <w:hideMark/>
          </w:tcPr>
          <w:p w14:paraId="19FFA66C"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U6</w:t>
            </w:r>
          </w:p>
        </w:tc>
        <w:tc>
          <w:tcPr>
            <w:tcW w:w="1941" w:type="dxa"/>
            <w:noWrap/>
            <w:vAlign w:val="center"/>
            <w:hideMark/>
          </w:tcPr>
          <w:p w14:paraId="7FA02C8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Spliceosomal small nuclear RNA (snRNA)</w:t>
            </w:r>
          </w:p>
        </w:tc>
        <w:tc>
          <w:tcPr>
            <w:tcW w:w="2415" w:type="dxa"/>
            <w:noWrap/>
            <w:vAlign w:val="center"/>
            <w:hideMark/>
          </w:tcPr>
          <w:p w14:paraId="3ED88F0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mRNA splicing</w:t>
            </w:r>
          </w:p>
        </w:tc>
        <w:tc>
          <w:tcPr>
            <w:tcW w:w="2880" w:type="dxa"/>
            <w:noWrap/>
            <w:vAlign w:val="center"/>
            <w:hideMark/>
          </w:tcPr>
          <w:p w14:paraId="14F4000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Essential for RNA processing; no direct phenotype</w:t>
            </w:r>
          </w:p>
        </w:tc>
        <w:tc>
          <w:tcPr>
            <w:tcW w:w="1710" w:type="dxa"/>
            <w:noWrap/>
            <w:vAlign w:val="center"/>
            <w:hideMark/>
          </w:tcPr>
          <w:p w14:paraId="6FB2938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processing</w:t>
            </w:r>
          </w:p>
        </w:tc>
        <w:tc>
          <w:tcPr>
            <w:tcW w:w="3960" w:type="dxa"/>
            <w:vAlign w:val="center"/>
          </w:tcPr>
          <w:p w14:paraId="64EFE1C2" w14:textId="6D89D76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Caspian, Dareshuri, Kurdish, Lusitano, Morgan, QuarterHorse, Turkemen, Welsh</w:t>
            </w:r>
          </w:p>
        </w:tc>
        <w:tc>
          <w:tcPr>
            <w:tcW w:w="1170" w:type="dxa"/>
            <w:vAlign w:val="center"/>
          </w:tcPr>
          <w:p w14:paraId="667D7B25" w14:textId="5C1ABEC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9</w:t>
            </w:r>
          </w:p>
        </w:tc>
      </w:tr>
      <w:tr w:rsidR="006D0E76" w:rsidRPr="004D24EB" w14:paraId="2F889DB8" w14:textId="76EA3339" w:rsidTr="000632BA">
        <w:trPr>
          <w:trHeight w:val="300"/>
        </w:trPr>
        <w:tc>
          <w:tcPr>
            <w:tcW w:w="849" w:type="dxa"/>
            <w:noWrap/>
            <w:vAlign w:val="center"/>
            <w:hideMark/>
          </w:tcPr>
          <w:p w14:paraId="2A5CB338"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ACSF3</w:t>
            </w:r>
          </w:p>
        </w:tc>
        <w:tc>
          <w:tcPr>
            <w:tcW w:w="1941" w:type="dxa"/>
            <w:noWrap/>
            <w:vAlign w:val="center"/>
            <w:hideMark/>
          </w:tcPr>
          <w:p w14:paraId="41542FF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Acyl-CoA synthetase</w:t>
            </w:r>
          </w:p>
        </w:tc>
        <w:tc>
          <w:tcPr>
            <w:tcW w:w="2415" w:type="dxa"/>
            <w:noWrap/>
            <w:vAlign w:val="center"/>
            <w:hideMark/>
          </w:tcPr>
          <w:p w14:paraId="55C1725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Fatty acid β-oxidation</w:t>
            </w:r>
          </w:p>
        </w:tc>
        <w:tc>
          <w:tcPr>
            <w:tcW w:w="2880" w:type="dxa"/>
            <w:noWrap/>
            <w:vAlign w:val="center"/>
            <w:hideMark/>
          </w:tcPr>
          <w:p w14:paraId="794C82B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Metabolic disorders (methylmalonic aciduria, human)</w:t>
            </w:r>
          </w:p>
        </w:tc>
        <w:tc>
          <w:tcPr>
            <w:tcW w:w="1710" w:type="dxa"/>
            <w:noWrap/>
            <w:vAlign w:val="center"/>
            <w:hideMark/>
          </w:tcPr>
          <w:p w14:paraId="073FA42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w:t>
            </w:r>
          </w:p>
        </w:tc>
        <w:tc>
          <w:tcPr>
            <w:tcW w:w="3960" w:type="dxa"/>
            <w:vAlign w:val="center"/>
          </w:tcPr>
          <w:p w14:paraId="6EAD2D9B" w14:textId="09169385"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11BC0A6B" w14:textId="42260F03"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818A387" w14:textId="75E87652" w:rsidTr="000632BA">
        <w:trPr>
          <w:trHeight w:val="300"/>
        </w:trPr>
        <w:tc>
          <w:tcPr>
            <w:tcW w:w="849" w:type="dxa"/>
            <w:noWrap/>
            <w:vAlign w:val="center"/>
            <w:hideMark/>
          </w:tcPr>
          <w:p w14:paraId="27176EDE"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ANKRD11</w:t>
            </w:r>
          </w:p>
        </w:tc>
        <w:tc>
          <w:tcPr>
            <w:tcW w:w="1941" w:type="dxa"/>
            <w:noWrap/>
            <w:vAlign w:val="center"/>
            <w:hideMark/>
          </w:tcPr>
          <w:p w14:paraId="4904F80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co-repressor</w:t>
            </w:r>
          </w:p>
        </w:tc>
        <w:tc>
          <w:tcPr>
            <w:tcW w:w="2415" w:type="dxa"/>
            <w:noWrap/>
            <w:vAlign w:val="center"/>
            <w:hideMark/>
          </w:tcPr>
          <w:p w14:paraId="5EAB823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Neural development, chromatin remodeling</w:t>
            </w:r>
          </w:p>
        </w:tc>
        <w:tc>
          <w:tcPr>
            <w:tcW w:w="2880" w:type="dxa"/>
            <w:noWrap/>
            <w:vAlign w:val="center"/>
            <w:hideMark/>
          </w:tcPr>
          <w:p w14:paraId="74AFBD9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KBG syndrome (intellectual disability, human)</w:t>
            </w:r>
          </w:p>
        </w:tc>
        <w:tc>
          <w:tcPr>
            <w:tcW w:w="1710" w:type="dxa"/>
            <w:noWrap/>
            <w:vAlign w:val="center"/>
            <w:hideMark/>
          </w:tcPr>
          <w:p w14:paraId="15083CF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Neural development</w:t>
            </w:r>
          </w:p>
        </w:tc>
        <w:tc>
          <w:tcPr>
            <w:tcW w:w="3960" w:type="dxa"/>
            <w:vAlign w:val="center"/>
          </w:tcPr>
          <w:p w14:paraId="2B4A9803" w14:textId="491ABAA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210249E" w14:textId="2178A83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60F9BD4A" w14:textId="7059B2EA" w:rsidTr="000632BA">
        <w:trPr>
          <w:trHeight w:val="300"/>
        </w:trPr>
        <w:tc>
          <w:tcPr>
            <w:tcW w:w="849" w:type="dxa"/>
            <w:noWrap/>
            <w:vAlign w:val="center"/>
            <w:hideMark/>
          </w:tcPr>
          <w:p w14:paraId="64466847"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BANK1</w:t>
            </w:r>
          </w:p>
        </w:tc>
        <w:tc>
          <w:tcPr>
            <w:tcW w:w="1941" w:type="dxa"/>
            <w:noWrap/>
            <w:vAlign w:val="center"/>
            <w:hideMark/>
          </w:tcPr>
          <w:p w14:paraId="7C1B5DE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B-cell scaffold protein</w:t>
            </w:r>
          </w:p>
        </w:tc>
        <w:tc>
          <w:tcPr>
            <w:tcW w:w="2415" w:type="dxa"/>
            <w:noWrap/>
            <w:vAlign w:val="center"/>
            <w:hideMark/>
          </w:tcPr>
          <w:p w14:paraId="40EE7F9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response, B-cell activation</w:t>
            </w:r>
          </w:p>
        </w:tc>
        <w:tc>
          <w:tcPr>
            <w:tcW w:w="2880" w:type="dxa"/>
            <w:noWrap/>
            <w:vAlign w:val="center"/>
            <w:hideMark/>
          </w:tcPr>
          <w:p w14:paraId="18A2D7C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Autoimmune susceptibility (e.g., lupus in mammals)</w:t>
            </w:r>
          </w:p>
        </w:tc>
        <w:tc>
          <w:tcPr>
            <w:tcW w:w="1710" w:type="dxa"/>
            <w:noWrap/>
            <w:vAlign w:val="center"/>
            <w:hideMark/>
          </w:tcPr>
          <w:p w14:paraId="3A3D693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system</w:t>
            </w:r>
          </w:p>
        </w:tc>
        <w:tc>
          <w:tcPr>
            <w:tcW w:w="3960" w:type="dxa"/>
            <w:vAlign w:val="center"/>
          </w:tcPr>
          <w:p w14:paraId="5BB282B3" w14:textId="2CD90065"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3C319C0A" w14:textId="1BF0FD0F"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AD211DF" w14:textId="563C0E2A" w:rsidTr="000632BA">
        <w:trPr>
          <w:trHeight w:val="300"/>
        </w:trPr>
        <w:tc>
          <w:tcPr>
            <w:tcW w:w="849" w:type="dxa"/>
            <w:noWrap/>
            <w:vAlign w:val="center"/>
            <w:hideMark/>
          </w:tcPr>
          <w:p w14:paraId="67DFB21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CDH15</w:t>
            </w:r>
          </w:p>
        </w:tc>
        <w:tc>
          <w:tcPr>
            <w:tcW w:w="1941" w:type="dxa"/>
            <w:noWrap/>
            <w:vAlign w:val="center"/>
            <w:hideMark/>
          </w:tcPr>
          <w:p w14:paraId="0BBF55D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Calcium-dependent cell adhesion</w:t>
            </w:r>
          </w:p>
        </w:tc>
        <w:tc>
          <w:tcPr>
            <w:tcW w:w="2415" w:type="dxa"/>
            <w:noWrap/>
            <w:vAlign w:val="center"/>
            <w:hideMark/>
          </w:tcPr>
          <w:p w14:paraId="464D429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Muscle &amp; neuronal development</w:t>
            </w:r>
          </w:p>
        </w:tc>
        <w:tc>
          <w:tcPr>
            <w:tcW w:w="2880" w:type="dxa"/>
            <w:noWrap/>
            <w:vAlign w:val="center"/>
            <w:hideMark/>
          </w:tcPr>
          <w:p w14:paraId="1D00961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Congenital myopathy (human/mouse)</w:t>
            </w:r>
          </w:p>
        </w:tc>
        <w:tc>
          <w:tcPr>
            <w:tcW w:w="1710" w:type="dxa"/>
            <w:noWrap/>
            <w:vAlign w:val="center"/>
            <w:hideMark/>
          </w:tcPr>
          <w:p w14:paraId="3A8BA8A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Muscle/neural development</w:t>
            </w:r>
          </w:p>
        </w:tc>
        <w:tc>
          <w:tcPr>
            <w:tcW w:w="3960" w:type="dxa"/>
            <w:vAlign w:val="center"/>
          </w:tcPr>
          <w:p w14:paraId="233344F8" w14:textId="0728DE2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58F835A0" w14:textId="45E020E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F84B234" w14:textId="452E2932" w:rsidTr="000632BA">
        <w:trPr>
          <w:trHeight w:val="300"/>
        </w:trPr>
        <w:tc>
          <w:tcPr>
            <w:tcW w:w="849" w:type="dxa"/>
            <w:noWrap/>
            <w:vAlign w:val="center"/>
            <w:hideMark/>
          </w:tcPr>
          <w:p w14:paraId="08044D84"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CDK10</w:t>
            </w:r>
          </w:p>
        </w:tc>
        <w:tc>
          <w:tcPr>
            <w:tcW w:w="1941" w:type="dxa"/>
            <w:noWrap/>
            <w:vAlign w:val="center"/>
            <w:hideMark/>
          </w:tcPr>
          <w:p w14:paraId="281E689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Cyclin-dependent kinase</w:t>
            </w:r>
          </w:p>
        </w:tc>
        <w:tc>
          <w:tcPr>
            <w:tcW w:w="2415" w:type="dxa"/>
            <w:noWrap/>
            <w:vAlign w:val="center"/>
            <w:hideMark/>
          </w:tcPr>
          <w:p w14:paraId="319F461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cycle, organogenesis</w:t>
            </w:r>
          </w:p>
        </w:tc>
        <w:tc>
          <w:tcPr>
            <w:tcW w:w="2880" w:type="dxa"/>
            <w:noWrap/>
            <w:vAlign w:val="center"/>
            <w:hideMark/>
          </w:tcPr>
          <w:p w14:paraId="464FD28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Alacrima-achalasia syndrome (human)</w:t>
            </w:r>
          </w:p>
        </w:tc>
        <w:tc>
          <w:tcPr>
            <w:tcW w:w="1710" w:type="dxa"/>
            <w:noWrap/>
            <w:vAlign w:val="center"/>
            <w:hideMark/>
          </w:tcPr>
          <w:p w14:paraId="7F4BF1B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cycle</w:t>
            </w:r>
          </w:p>
        </w:tc>
        <w:tc>
          <w:tcPr>
            <w:tcW w:w="3960" w:type="dxa"/>
            <w:vAlign w:val="center"/>
          </w:tcPr>
          <w:p w14:paraId="1E879CED" w14:textId="425A9BA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16EF367D" w14:textId="2913155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3B089A2" w14:textId="720A0C49" w:rsidTr="000632BA">
        <w:trPr>
          <w:trHeight w:val="300"/>
        </w:trPr>
        <w:tc>
          <w:tcPr>
            <w:tcW w:w="849" w:type="dxa"/>
            <w:noWrap/>
            <w:vAlign w:val="center"/>
            <w:hideMark/>
          </w:tcPr>
          <w:p w14:paraId="40B53BB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CHMP1A</w:t>
            </w:r>
          </w:p>
        </w:tc>
        <w:tc>
          <w:tcPr>
            <w:tcW w:w="1941" w:type="dxa"/>
            <w:noWrap/>
            <w:vAlign w:val="center"/>
            <w:hideMark/>
          </w:tcPr>
          <w:p w14:paraId="03C00E7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ESCRT-III complex subunit</w:t>
            </w:r>
          </w:p>
        </w:tc>
        <w:tc>
          <w:tcPr>
            <w:tcW w:w="2415" w:type="dxa"/>
            <w:noWrap/>
            <w:vAlign w:val="center"/>
            <w:hideMark/>
          </w:tcPr>
          <w:p w14:paraId="79F75C7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Cytokinesis, viral budding</w:t>
            </w:r>
          </w:p>
        </w:tc>
        <w:tc>
          <w:tcPr>
            <w:tcW w:w="2880" w:type="dxa"/>
            <w:noWrap/>
            <w:vAlign w:val="center"/>
            <w:hideMark/>
          </w:tcPr>
          <w:p w14:paraId="21A349C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Microcephaly (human)</w:t>
            </w:r>
          </w:p>
        </w:tc>
        <w:tc>
          <w:tcPr>
            <w:tcW w:w="1710" w:type="dxa"/>
            <w:noWrap/>
            <w:vAlign w:val="center"/>
            <w:hideMark/>
          </w:tcPr>
          <w:p w14:paraId="105122C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division</w:t>
            </w:r>
          </w:p>
        </w:tc>
        <w:tc>
          <w:tcPr>
            <w:tcW w:w="3960" w:type="dxa"/>
            <w:vAlign w:val="center"/>
          </w:tcPr>
          <w:p w14:paraId="1EFD7580" w14:textId="5C25734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0686332D" w14:textId="23C3729C"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A33DA7A" w14:textId="6565F320" w:rsidTr="000632BA">
        <w:trPr>
          <w:trHeight w:val="300"/>
        </w:trPr>
        <w:tc>
          <w:tcPr>
            <w:tcW w:w="849" w:type="dxa"/>
            <w:noWrap/>
            <w:vAlign w:val="center"/>
            <w:hideMark/>
          </w:tcPr>
          <w:p w14:paraId="769CD50E"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CISD2</w:t>
            </w:r>
          </w:p>
        </w:tc>
        <w:tc>
          <w:tcPr>
            <w:tcW w:w="1941" w:type="dxa"/>
            <w:noWrap/>
            <w:vAlign w:val="center"/>
            <w:hideMark/>
          </w:tcPr>
          <w:p w14:paraId="79A665A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Iron-sulfur cluster binding</w:t>
            </w:r>
          </w:p>
        </w:tc>
        <w:tc>
          <w:tcPr>
            <w:tcW w:w="2415" w:type="dxa"/>
            <w:noWrap/>
            <w:vAlign w:val="center"/>
            <w:hideMark/>
          </w:tcPr>
          <w:p w14:paraId="7F97BE1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Mitochondrial function</w:t>
            </w:r>
          </w:p>
        </w:tc>
        <w:tc>
          <w:tcPr>
            <w:tcW w:w="2880" w:type="dxa"/>
            <w:noWrap/>
            <w:vAlign w:val="center"/>
            <w:hideMark/>
          </w:tcPr>
          <w:p w14:paraId="7B65731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Wolfram syndrome type 2 (neurodegeneration, human)</w:t>
            </w:r>
          </w:p>
        </w:tc>
        <w:tc>
          <w:tcPr>
            <w:tcW w:w="1710" w:type="dxa"/>
            <w:noWrap/>
            <w:vAlign w:val="center"/>
            <w:hideMark/>
          </w:tcPr>
          <w:p w14:paraId="7DFE273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Mitochondrial metabolism</w:t>
            </w:r>
          </w:p>
        </w:tc>
        <w:tc>
          <w:tcPr>
            <w:tcW w:w="3960" w:type="dxa"/>
            <w:vAlign w:val="center"/>
          </w:tcPr>
          <w:p w14:paraId="72692D27" w14:textId="1C109707"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132D1228" w14:textId="437E9E8A"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54AEAA48" w14:textId="431E41DA" w:rsidTr="000632BA">
        <w:trPr>
          <w:trHeight w:val="300"/>
        </w:trPr>
        <w:tc>
          <w:tcPr>
            <w:tcW w:w="849" w:type="dxa"/>
            <w:noWrap/>
            <w:vAlign w:val="center"/>
            <w:hideMark/>
          </w:tcPr>
          <w:p w14:paraId="52513E48"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CPNE7</w:t>
            </w:r>
          </w:p>
        </w:tc>
        <w:tc>
          <w:tcPr>
            <w:tcW w:w="1941" w:type="dxa"/>
            <w:noWrap/>
            <w:vAlign w:val="center"/>
            <w:hideMark/>
          </w:tcPr>
          <w:p w14:paraId="11CF205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Calcium-dependent phospholipid binding</w:t>
            </w:r>
          </w:p>
        </w:tc>
        <w:tc>
          <w:tcPr>
            <w:tcW w:w="2415" w:type="dxa"/>
            <w:noWrap/>
            <w:vAlign w:val="center"/>
            <w:hideMark/>
          </w:tcPr>
          <w:p w14:paraId="52181DF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adhesion, wound healing</w:t>
            </w:r>
          </w:p>
        </w:tc>
        <w:tc>
          <w:tcPr>
            <w:tcW w:w="2880" w:type="dxa"/>
            <w:noWrap/>
            <w:vAlign w:val="center"/>
            <w:hideMark/>
          </w:tcPr>
          <w:p w14:paraId="02436D3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6FC0DB6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Membrane/cell adhesion</w:t>
            </w:r>
          </w:p>
        </w:tc>
        <w:tc>
          <w:tcPr>
            <w:tcW w:w="3960" w:type="dxa"/>
            <w:vAlign w:val="center"/>
          </w:tcPr>
          <w:p w14:paraId="46980BE3" w14:textId="6B94FA6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AD1204F" w14:textId="4D5765A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620EF68F" w14:textId="43D167EA" w:rsidTr="000632BA">
        <w:trPr>
          <w:trHeight w:val="300"/>
        </w:trPr>
        <w:tc>
          <w:tcPr>
            <w:tcW w:w="849" w:type="dxa"/>
            <w:noWrap/>
            <w:vAlign w:val="center"/>
            <w:hideMark/>
          </w:tcPr>
          <w:p w14:paraId="4BC77A3A"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DBNDD1</w:t>
            </w:r>
          </w:p>
        </w:tc>
        <w:tc>
          <w:tcPr>
            <w:tcW w:w="1941" w:type="dxa"/>
            <w:noWrap/>
            <w:vAlign w:val="center"/>
            <w:hideMark/>
          </w:tcPr>
          <w:p w14:paraId="3EA8D66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binding (DNA damage response)</w:t>
            </w:r>
          </w:p>
        </w:tc>
        <w:tc>
          <w:tcPr>
            <w:tcW w:w="2415" w:type="dxa"/>
            <w:noWrap/>
            <w:vAlign w:val="center"/>
            <w:hideMark/>
          </w:tcPr>
          <w:p w14:paraId="6E35939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proliferation</w:t>
            </w:r>
          </w:p>
        </w:tc>
        <w:tc>
          <w:tcPr>
            <w:tcW w:w="2880" w:type="dxa"/>
            <w:noWrap/>
            <w:vAlign w:val="center"/>
            <w:hideMark/>
          </w:tcPr>
          <w:p w14:paraId="186B085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known equine phenotype</w:t>
            </w:r>
          </w:p>
        </w:tc>
        <w:tc>
          <w:tcPr>
            <w:tcW w:w="1710" w:type="dxa"/>
            <w:noWrap/>
            <w:vAlign w:val="center"/>
            <w:hideMark/>
          </w:tcPr>
          <w:p w14:paraId="5D2B52A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damage response</w:t>
            </w:r>
          </w:p>
        </w:tc>
        <w:tc>
          <w:tcPr>
            <w:tcW w:w="3960" w:type="dxa"/>
            <w:vAlign w:val="center"/>
          </w:tcPr>
          <w:p w14:paraId="500C081B" w14:textId="2CE3E43B"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538C6787" w14:textId="3DB76B2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569B2BB7" w14:textId="4C6C98FC" w:rsidTr="000632BA">
        <w:trPr>
          <w:trHeight w:val="300"/>
        </w:trPr>
        <w:tc>
          <w:tcPr>
            <w:tcW w:w="849" w:type="dxa"/>
            <w:noWrap/>
            <w:vAlign w:val="center"/>
            <w:hideMark/>
          </w:tcPr>
          <w:p w14:paraId="7315ABA1"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DEF8</w:t>
            </w:r>
          </w:p>
        </w:tc>
        <w:tc>
          <w:tcPr>
            <w:tcW w:w="1941" w:type="dxa"/>
            <w:noWrap/>
            <w:vAlign w:val="center"/>
            <w:hideMark/>
          </w:tcPr>
          <w:p w14:paraId="21663DF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Immune-related GTPase</w:t>
            </w:r>
          </w:p>
        </w:tc>
        <w:tc>
          <w:tcPr>
            <w:tcW w:w="2415" w:type="dxa"/>
            <w:noWrap/>
            <w:vAlign w:val="center"/>
            <w:hideMark/>
          </w:tcPr>
          <w:p w14:paraId="6A641DF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Autophagy, immune regulation</w:t>
            </w:r>
          </w:p>
        </w:tc>
        <w:tc>
          <w:tcPr>
            <w:tcW w:w="2880" w:type="dxa"/>
            <w:noWrap/>
            <w:vAlign w:val="center"/>
            <w:hideMark/>
          </w:tcPr>
          <w:p w14:paraId="1DDDB85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5DF68D6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system / autophagy</w:t>
            </w:r>
          </w:p>
        </w:tc>
        <w:tc>
          <w:tcPr>
            <w:tcW w:w="3960" w:type="dxa"/>
            <w:vAlign w:val="center"/>
          </w:tcPr>
          <w:p w14:paraId="268A0081" w14:textId="40956D3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D35C772" w14:textId="3F8C82FE"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0836E4A" w14:textId="133160B2" w:rsidTr="000632BA">
        <w:trPr>
          <w:trHeight w:val="300"/>
        </w:trPr>
        <w:tc>
          <w:tcPr>
            <w:tcW w:w="849" w:type="dxa"/>
            <w:noWrap/>
            <w:vAlign w:val="center"/>
            <w:hideMark/>
          </w:tcPr>
          <w:p w14:paraId="19E8E506"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DPEP1</w:t>
            </w:r>
          </w:p>
        </w:tc>
        <w:tc>
          <w:tcPr>
            <w:tcW w:w="1941" w:type="dxa"/>
            <w:noWrap/>
            <w:vAlign w:val="center"/>
            <w:hideMark/>
          </w:tcPr>
          <w:p w14:paraId="16A6CCF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Metalloproteinase (zinc-dependent)</w:t>
            </w:r>
          </w:p>
        </w:tc>
        <w:tc>
          <w:tcPr>
            <w:tcW w:w="2415" w:type="dxa"/>
            <w:noWrap/>
            <w:vAlign w:val="center"/>
            <w:hideMark/>
          </w:tcPr>
          <w:p w14:paraId="18127CB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Leukotriene metabolism</w:t>
            </w:r>
          </w:p>
        </w:tc>
        <w:tc>
          <w:tcPr>
            <w:tcW w:w="2880" w:type="dxa"/>
            <w:noWrap/>
            <w:vAlign w:val="center"/>
            <w:hideMark/>
          </w:tcPr>
          <w:p w14:paraId="1846856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Kidney injury biomarker (mammals)</w:t>
            </w:r>
          </w:p>
        </w:tc>
        <w:tc>
          <w:tcPr>
            <w:tcW w:w="1710" w:type="dxa"/>
            <w:noWrap/>
            <w:vAlign w:val="center"/>
            <w:hideMark/>
          </w:tcPr>
          <w:p w14:paraId="6478272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 / detoxification</w:t>
            </w:r>
          </w:p>
        </w:tc>
        <w:tc>
          <w:tcPr>
            <w:tcW w:w="3960" w:type="dxa"/>
            <w:vAlign w:val="center"/>
          </w:tcPr>
          <w:p w14:paraId="5CF03023" w14:textId="0C8A2F35"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68573EF0" w14:textId="2C41AB1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C9545E6" w14:textId="761678D1" w:rsidTr="000632BA">
        <w:trPr>
          <w:trHeight w:val="300"/>
        </w:trPr>
        <w:tc>
          <w:tcPr>
            <w:tcW w:w="849" w:type="dxa"/>
            <w:noWrap/>
            <w:vAlign w:val="center"/>
            <w:hideMark/>
          </w:tcPr>
          <w:p w14:paraId="7D2B0CA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FANCA</w:t>
            </w:r>
          </w:p>
        </w:tc>
        <w:tc>
          <w:tcPr>
            <w:tcW w:w="1941" w:type="dxa"/>
            <w:noWrap/>
            <w:vAlign w:val="center"/>
            <w:hideMark/>
          </w:tcPr>
          <w:p w14:paraId="7790978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repair (Fanconi anemia pathway)</w:t>
            </w:r>
          </w:p>
        </w:tc>
        <w:tc>
          <w:tcPr>
            <w:tcW w:w="2415" w:type="dxa"/>
            <w:noWrap/>
            <w:vAlign w:val="center"/>
            <w:hideMark/>
          </w:tcPr>
          <w:p w14:paraId="011175C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Genome stability</w:t>
            </w:r>
          </w:p>
        </w:tc>
        <w:tc>
          <w:tcPr>
            <w:tcW w:w="2880" w:type="dxa"/>
            <w:noWrap/>
            <w:vAlign w:val="center"/>
            <w:hideMark/>
          </w:tcPr>
          <w:p w14:paraId="15DF15A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Fanconi anemia (bone marrow failure, mammals)</w:t>
            </w:r>
          </w:p>
        </w:tc>
        <w:tc>
          <w:tcPr>
            <w:tcW w:w="1710" w:type="dxa"/>
            <w:noWrap/>
            <w:vAlign w:val="center"/>
            <w:hideMark/>
          </w:tcPr>
          <w:p w14:paraId="2A4E656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repair / genome maintenance</w:t>
            </w:r>
          </w:p>
        </w:tc>
        <w:tc>
          <w:tcPr>
            <w:tcW w:w="3960" w:type="dxa"/>
            <w:vAlign w:val="center"/>
          </w:tcPr>
          <w:p w14:paraId="3CCEBB4F" w14:textId="6E4C8876"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5725DEE3" w14:textId="091BF62E"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854448C" w14:textId="62E49922" w:rsidTr="000632BA">
        <w:trPr>
          <w:trHeight w:val="300"/>
        </w:trPr>
        <w:tc>
          <w:tcPr>
            <w:tcW w:w="849" w:type="dxa"/>
            <w:noWrap/>
            <w:vAlign w:val="center"/>
            <w:hideMark/>
          </w:tcPr>
          <w:p w14:paraId="25A75519"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GAS8</w:t>
            </w:r>
          </w:p>
        </w:tc>
        <w:tc>
          <w:tcPr>
            <w:tcW w:w="1941" w:type="dxa"/>
            <w:noWrap/>
            <w:vAlign w:val="center"/>
            <w:hideMark/>
          </w:tcPr>
          <w:p w14:paraId="1F78555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Ciliary motility protein</w:t>
            </w:r>
          </w:p>
        </w:tc>
        <w:tc>
          <w:tcPr>
            <w:tcW w:w="2415" w:type="dxa"/>
            <w:noWrap/>
            <w:vAlign w:val="center"/>
            <w:hideMark/>
          </w:tcPr>
          <w:p w14:paraId="666DF39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Cilia function, sperm motility</w:t>
            </w:r>
          </w:p>
        </w:tc>
        <w:tc>
          <w:tcPr>
            <w:tcW w:w="2880" w:type="dxa"/>
            <w:noWrap/>
            <w:vAlign w:val="center"/>
            <w:hideMark/>
          </w:tcPr>
          <w:p w14:paraId="2326739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Primary ciliary dyskinesia (human/mouse)</w:t>
            </w:r>
          </w:p>
        </w:tc>
        <w:tc>
          <w:tcPr>
            <w:tcW w:w="1710" w:type="dxa"/>
            <w:noWrap/>
            <w:vAlign w:val="center"/>
            <w:hideMark/>
          </w:tcPr>
          <w:p w14:paraId="152CF23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Cilia function</w:t>
            </w:r>
          </w:p>
        </w:tc>
        <w:tc>
          <w:tcPr>
            <w:tcW w:w="3960" w:type="dxa"/>
            <w:vAlign w:val="center"/>
          </w:tcPr>
          <w:p w14:paraId="00DE3FB4" w14:textId="10BFF7F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6D3920D" w14:textId="2F995E02"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2D81A387" w14:textId="2D9701B9" w:rsidTr="000632BA">
        <w:trPr>
          <w:trHeight w:val="300"/>
        </w:trPr>
        <w:tc>
          <w:tcPr>
            <w:tcW w:w="849" w:type="dxa"/>
            <w:noWrap/>
            <w:vAlign w:val="center"/>
            <w:hideMark/>
          </w:tcPr>
          <w:p w14:paraId="53D6ADA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MANBA</w:t>
            </w:r>
          </w:p>
        </w:tc>
        <w:tc>
          <w:tcPr>
            <w:tcW w:w="1941" w:type="dxa"/>
            <w:noWrap/>
            <w:vAlign w:val="center"/>
            <w:hideMark/>
          </w:tcPr>
          <w:p w14:paraId="6DD02CF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Lysosomal β-mannosidase</w:t>
            </w:r>
          </w:p>
        </w:tc>
        <w:tc>
          <w:tcPr>
            <w:tcW w:w="2415" w:type="dxa"/>
            <w:noWrap/>
            <w:vAlign w:val="center"/>
            <w:hideMark/>
          </w:tcPr>
          <w:p w14:paraId="6658F48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Glycoprotein degradation</w:t>
            </w:r>
          </w:p>
        </w:tc>
        <w:tc>
          <w:tcPr>
            <w:tcW w:w="2880" w:type="dxa"/>
            <w:noWrap/>
            <w:vAlign w:val="center"/>
            <w:hideMark/>
          </w:tcPr>
          <w:p w14:paraId="7DA9333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β-Mannosidosis (neurodegeneration, cattle/goat)</w:t>
            </w:r>
          </w:p>
        </w:tc>
        <w:tc>
          <w:tcPr>
            <w:tcW w:w="1710" w:type="dxa"/>
            <w:noWrap/>
            <w:vAlign w:val="center"/>
            <w:hideMark/>
          </w:tcPr>
          <w:p w14:paraId="5F1E6E7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Lysosomal metabolism</w:t>
            </w:r>
          </w:p>
        </w:tc>
        <w:tc>
          <w:tcPr>
            <w:tcW w:w="3960" w:type="dxa"/>
            <w:vAlign w:val="center"/>
          </w:tcPr>
          <w:p w14:paraId="227DAE2A" w14:textId="29B835F0"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1529D992" w14:textId="1AFA0F68"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D20D389" w14:textId="018C74D5" w:rsidTr="000632BA">
        <w:trPr>
          <w:trHeight w:val="300"/>
        </w:trPr>
        <w:tc>
          <w:tcPr>
            <w:tcW w:w="849" w:type="dxa"/>
            <w:noWrap/>
            <w:vAlign w:val="center"/>
            <w:hideMark/>
          </w:tcPr>
          <w:p w14:paraId="616B3E05"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MC1R</w:t>
            </w:r>
          </w:p>
        </w:tc>
        <w:tc>
          <w:tcPr>
            <w:tcW w:w="1941" w:type="dxa"/>
            <w:noWrap/>
            <w:vAlign w:val="center"/>
            <w:hideMark/>
          </w:tcPr>
          <w:p w14:paraId="6A3726B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Melanocortin-1 receptor</w:t>
            </w:r>
          </w:p>
        </w:tc>
        <w:tc>
          <w:tcPr>
            <w:tcW w:w="2415" w:type="dxa"/>
            <w:noWrap/>
            <w:vAlign w:val="center"/>
            <w:hideMark/>
          </w:tcPr>
          <w:p w14:paraId="60D4758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Pigmentation regulation</w:t>
            </w:r>
          </w:p>
        </w:tc>
        <w:tc>
          <w:tcPr>
            <w:tcW w:w="2880" w:type="dxa"/>
            <w:noWrap/>
            <w:vAlign w:val="center"/>
            <w:hideMark/>
          </w:tcPr>
          <w:p w14:paraId="51AE518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Horse coat color (chestnut/black variants)</w:t>
            </w:r>
          </w:p>
        </w:tc>
        <w:tc>
          <w:tcPr>
            <w:tcW w:w="1710" w:type="dxa"/>
            <w:noWrap/>
            <w:vAlign w:val="center"/>
            <w:hideMark/>
          </w:tcPr>
          <w:p w14:paraId="27798CF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Pigmentation</w:t>
            </w:r>
          </w:p>
        </w:tc>
        <w:tc>
          <w:tcPr>
            <w:tcW w:w="3960" w:type="dxa"/>
            <w:vAlign w:val="center"/>
          </w:tcPr>
          <w:p w14:paraId="771711BA" w14:textId="062DCCB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046ACB1A" w14:textId="26146533"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0C32BD87" w14:textId="0FFE4F02" w:rsidTr="000632BA">
        <w:trPr>
          <w:trHeight w:val="300"/>
        </w:trPr>
        <w:tc>
          <w:tcPr>
            <w:tcW w:w="849" w:type="dxa"/>
            <w:noWrap/>
            <w:vAlign w:val="center"/>
            <w:hideMark/>
          </w:tcPr>
          <w:p w14:paraId="6F6034B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NFKB1</w:t>
            </w:r>
          </w:p>
        </w:tc>
        <w:tc>
          <w:tcPr>
            <w:tcW w:w="1941" w:type="dxa"/>
            <w:noWrap/>
            <w:vAlign w:val="center"/>
            <w:hideMark/>
          </w:tcPr>
          <w:p w14:paraId="58D42E2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 factor (NF-κB pathway)</w:t>
            </w:r>
          </w:p>
        </w:tc>
        <w:tc>
          <w:tcPr>
            <w:tcW w:w="2415" w:type="dxa"/>
            <w:noWrap/>
            <w:vAlign w:val="center"/>
            <w:hideMark/>
          </w:tcPr>
          <w:p w14:paraId="5EFC1D0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Inflammation, immunity</w:t>
            </w:r>
          </w:p>
        </w:tc>
        <w:tc>
          <w:tcPr>
            <w:tcW w:w="2880" w:type="dxa"/>
            <w:noWrap/>
            <w:vAlign w:val="center"/>
            <w:hideMark/>
          </w:tcPr>
          <w:p w14:paraId="08F2ADF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Chronic inflammatory diseases (mammals)</w:t>
            </w:r>
          </w:p>
        </w:tc>
        <w:tc>
          <w:tcPr>
            <w:tcW w:w="1710" w:type="dxa"/>
            <w:noWrap/>
            <w:vAlign w:val="center"/>
            <w:hideMark/>
          </w:tcPr>
          <w:p w14:paraId="6108084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regulation</w:t>
            </w:r>
          </w:p>
        </w:tc>
        <w:tc>
          <w:tcPr>
            <w:tcW w:w="3960" w:type="dxa"/>
            <w:vAlign w:val="center"/>
          </w:tcPr>
          <w:p w14:paraId="4150FF0E" w14:textId="777B16A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2A29C54B" w14:textId="4820657F"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2A910A52" w14:textId="1F82A658" w:rsidTr="000632BA">
        <w:trPr>
          <w:trHeight w:val="300"/>
        </w:trPr>
        <w:tc>
          <w:tcPr>
            <w:tcW w:w="849" w:type="dxa"/>
            <w:noWrap/>
            <w:vAlign w:val="center"/>
            <w:hideMark/>
          </w:tcPr>
          <w:p w14:paraId="119D91D4"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RPL13</w:t>
            </w:r>
          </w:p>
        </w:tc>
        <w:tc>
          <w:tcPr>
            <w:tcW w:w="1941" w:type="dxa"/>
            <w:noWrap/>
            <w:vAlign w:val="center"/>
            <w:hideMark/>
          </w:tcPr>
          <w:p w14:paraId="64F024D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Ribosomal protein (60S subunit)</w:t>
            </w:r>
          </w:p>
        </w:tc>
        <w:tc>
          <w:tcPr>
            <w:tcW w:w="2415" w:type="dxa"/>
            <w:noWrap/>
            <w:vAlign w:val="center"/>
            <w:hideMark/>
          </w:tcPr>
          <w:p w14:paraId="6BC1459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translation</w:t>
            </w:r>
          </w:p>
        </w:tc>
        <w:tc>
          <w:tcPr>
            <w:tcW w:w="2880" w:type="dxa"/>
            <w:noWrap/>
            <w:vAlign w:val="center"/>
            <w:hideMark/>
          </w:tcPr>
          <w:p w14:paraId="709849C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Diamond-Blackfan anemia (human)</w:t>
            </w:r>
          </w:p>
        </w:tc>
        <w:tc>
          <w:tcPr>
            <w:tcW w:w="1710" w:type="dxa"/>
            <w:noWrap/>
            <w:vAlign w:val="center"/>
            <w:hideMark/>
          </w:tcPr>
          <w:p w14:paraId="1D53953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synthesis</w:t>
            </w:r>
          </w:p>
        </w:tc>
        <w:tc>
          <w:tcPr>
            <w:tcW w:w="3960" w:type="dxa"/>
            <w:vAlign w:val="center"/>
          </w:tcPr>
          <w:p w14:paraId="7BFE26EF" w14:textId="1DE2A3C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23450B0" w14:textId="1AB1358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25CFE4C4" w14:textId="5C085E28" w:rsidTr="000632BA">
        <w:trPr>
          <w:trHeight w:val="300"/>
        </w:trPr>
        <w:tc>
          <w:tcPr>
            <w:tcW w:w="849" w:type="dxa"/>
            <w:noWrap/>
            <w:vAlign w:val="center"/>
            <w:hideMark/>
          </w:tcPr>
          <w:p w14:paraId="1945B85E"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SLC39A8</w:t>
            </w:r>
          </w:p>
        </w:tc>
        <w:tc>
          <w:tcPr>
            <w:tcW w:w="1941" w:type="dxa"/>
            <w:noWrap/>
            <w:vAlign w:val="center"/>
            <w:hideMark/>
          </w:tcPr>
          <w:p w14:paraId="22BEBA0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Zinc/iron transporter</w:t>
            </w:r>
          </w:p>
        </w:tc>
        <w:tc>
          <w:tcPr>
            <w:tcW w:w="2415" w:type="dxa"/>
            <w:noWrap/>
            <w:vAlign w:val="center"/>
            <w:hideMark/>
          </w:tcPr>
          <w:p w14:paraId="09F45EA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Metal ion homeostasis</w:t>
            </w:r>
          </w:p>
        </w:tc>
        <w:tc>
          <w:tcPr>
            <w:tcW w:w="2880" w:type="dxa"/>
            <w:noWrap/>
            <w:vAlign w:val="center"/>
            <w:hideMark/>
          </w:tcPr>
          <w:p w14:paraId="7EDF6BD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Manganese deficiency (developmental defects, human)</w:t>
            </w:r>
          </w:p>
        </w:tc>
        <w:tc>
          <w:tcPr>
            <w:tcW w:w="1710" w:type="dxa"/>
            <w:noWrap/>
            <w:vAlign w:val="center"/>
            <w:hideMark/>
          </w:tcPr>
          <w:p w14:paraId="5C3985D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Ion transport</w:t>
            </w:r>
          </w:p>
        </w:tc>
        <w:tc>
          <w:tcPr>
            <w:tcW w:w="3960" w:type="dxa"/>
            <w:vAlign w:val="center"/>
          </w:tcPr>
          <w:p w14:paraId="0E0E27E3" w14:textId="1B5F2CA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481105DD" w14:textId="2D4197E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48CB4DC6" w14:textId="501AC740" w:rsidTr="000632BA">
        <w:trPr>
          <w:trHeight w:val="300"/>
        </w:trPr>
        <w:tc>
          <w:tcPr>
            <w:tcW w:w="849" w:type="dxa"/>
            <w:noWrap/>
            <w:vAlign w:val="center"/>
            <w:hideMark/>
          </w:tcPr>
          <w:p w14:paraId="3388095F"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SLC9B1</w:t>
            </w:r>
          </w:p>
        </w:tc>
        <w:tc>
          <w:tcPr>
            <w:tcW w:w="1941" w:type="dxa"/>
            <w:noWrap/>
            <w:vAlign w:val="center"/>
            <w:hideMark/>
          </w:tcPr>
          <w:p w14:paraId="04DC570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Sodium/hydrogen exchanger</w:t>
            </w:r>
          </w:p>
        </w:tc>
        <w:tc>
          <w:tcPr>
            <w:tcW w:w="2415" w:type="dxa"/>
            <w:noWrap/>
            <w:vAlign w:val="center"/>
            <w:hideMark/>
          </w:tcPr>
          <w:p w14:paraId="1402A4D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pH regulation, sperm function</w:t>
            </w:r>
          </w:p>
        </w:tc>
        <w:tc>
          <w:tcPr>
            <w:tcW w:w="2880" w:type="dxa"/>
            <w:noWrap/>
            <w:vAlign w:val="center"/>
            <w:hideMark/>
          </w:tcPr>
          <w:p w14:paraId="447BBAE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Male infertility (mouse homolog)</w:t>
            </w:r>
          </w:p>
        </w:tc>
        <w:tc>
          <w:tcPr>
            <w:tcW w:w="1710" w:type="dxa"/>
            <w:noWrap/>
            <w:vAlign w:val="center"/>
            <w:hideMark/>
          </w:tcPr>
          <w:p w14:paraId="59BD289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Ion transport / sperm</w:t>
            </w:r>
          </w:p>
        </w:tc>
        <w:tc>
          <w:tcPr>
            <w:tcW w:w="3960" w:type="dxa"/>
            <w:vAlign w:val="center"/>
          </w:tcPr>
          <w:p w14:paraId="7FD9221B" w14:textId="486D5574"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2E5AC588" w14:textId="2574297F"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415DA2E" w14:textId="6B58BFBB" w:rsidTr="000632BA">
        <w:trPr>
          <w:trHeight w:val="300"/>
        </w:trPr>
        <w:tc>
          <w:tcPr>
            <w:tcW w:w="849" w:type="dxa"/>
            <w:noWrap/>
            <w:vAlign w:val="center"/>
            <w:hideMark/>
          </w:tcPr>
          <w:p w14:paraId="3A7376C1"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SLC9B2</w:t>
            </w:r>
          </w:p>
        </w:tc>
        <w:tc>
          <w:tcPr>
            <w:tcW w:w="1941" w:type="dxa"/>
            <w:noWrap/>
            <w:vAlign w:val="center"/>
            <w:hideMark/>
          </w:tcPr>
          <w:p w14:paraId="7A9F8B1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Sodium/hydrogen exchanger</w:t>
            </w:r>
          </w:p>
        </w:tc>
        <w:tc>
          <w:tcPr>
            <w:tcW w:w="2415" w:type="dxa"/>
            <w:noWrap/>
            <w:vAlign w:val="center"/>
            <w:hideMark/>
          </w:tcPr>
          <w:p w14:paraId="55A7443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Renal/intestinal ion transport</w:t>
            </w:r>
          </w:p>
        </w:tc>
        <w:tc>
          <w:tcPr>
            <w:tcW w:w="2880" w:type="dxa"/>
            <w:noWrap/>
            <w:vAlign w:val="center"/>
            <w:hideMark/>
          </w:tcPr>
          <w:p w14:paraId="0CF217E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3E8BCBC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Ion transport</w:t>
            </w:r>
          </w:p>
        </w:tc>
        <w:tc>
          <w:tcPr>
            <w:tcW w:w="3960" w:type="dxa"/>
            <w:vAlign w:val="center"/>
          </w:tcPr>
          <w:p w14:paraId="06122D77" w14:textId="7468A54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46C05428" w14:textId="6D98B0B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4FC36357" w14:textId="5B6959AC" w:rsidTr="000632BA">
        <w:trPr>
          <w:trHeight w:val="300"/>
        </w:trPr>
        <w:tc>
          <w:tcPr>
            <w:tcW w:w="849" w:type="dxa"/>
            <w:noWrap/>
            <w:vAlign w:val="center"/>
            <w:hideMark/>
          </w:tcPr>
          <w:p w14:paraId="255FC95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SNORD68</w:t>
            </w:r>
          </w:p>
        </w:tc>
        <w:tc>
          <w:tcPr>
            <w:tcW w:w="1941" w:type="dxa"/>
            <w:noWrap/>
            <w:vAlign w:val="center"/>
            <w:hideMark/>
          </w:tcPr>
          <w:p w14:paraId="66BCC68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Small nucleolar RNA (snoRNA)</w:t>
            </w:r>
          </w:p>
        </w:tc>
        <w:tc>
          <w:tcPr>
            <w:tcW w:w="2415" w:type="dxa"/>
            <w:noWrap/>
            <w:vAlign w:val="center"/>
            <w:hideMark/>
          </w:tcPr>
          <w:p w14:paraId="73192FC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rRNA modification</w:t>
            </w:r>
          </w:p>
        </w:tc>
        <w:tc>
          <w:tcPr>
            <w:tcW w:w="2880" w:type="dxa"/>
            <w:noWrap/>
            <w:vAlign w:val="center"/>
            <w:hideMark/>
          </w:tcPr>
          <w:p w14:paraId="284A3C4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direct phenotype</w:t>
            </w:r>
          </w:p>
        </w:tc>
        <w:tc>
          <w:tcPr>
            <w:tcW w:w="1710" w:type="dxa"/>
            <w:noWrap/>
            <w:vAlign w:val="center"/>
            <w:hideMark/>
          </w:tcPr>
          <w:p w14:paraId="42F86EE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Involved in ribosomal RNA maturation</w:t>
            </w:r>
          </w:p>
        </w:tc>
        <w:tc>
          <w:tcPr>
            <w:tcW w:w="3960" w:type="dxa"/>
            <w:vAlign w:val="center"/>
          </w:tcPr>
          <w:p w14:paraId="3D8969F9" w14:textId="15BF365E"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3A1FED6" w14:textId="6395735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089C0ABA" w14:textId="28BA5267" w:rsidTr="000632BA">
        <w:trPr>
          <w:trHeight w:val="300"/>
        </w:trPr>
        <w:tc>
          <w:tcPr>
            <w:tcW w:w="849" w:type="dxa"/>
            <w:noWrap/>
            <w:vAlign w:val="center"/>
            <w:hideMark/>
          </w:tcPr>
          <w:p w14:paraId="15C6EF21"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lastRenderedPageBreak/>
              <w:t>SPATA2L</w:t>
            </w:r>
          </w:p>
        </w:tc>
        <w:tc>
          <w:tcPr>
            <w:tcW w:w="1941" w:type="dxa"/>
            <w:noWrap/>
            <w:vAlign w:val="center"/>
            <w:hideMark/>
          </w:tcPr>
          <w:p w14:paraId="0BD0756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Spermatogenesis-associated protein</w:t>
            </w:r>
          </w:p>
        </w:tc>
        <w:tc>
          <w:tcPr>
            <w:tcW w:w="2415" w:type="dxa"/>
            <w:noWrap/>
            <w:vAlign w:val="center"/>
            <w:hideMark/>
          </w:tcPr>
          <w:p w14:paraId="5734643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Germ cell development</w:t>
            </w:r>
          </w:p>
        </w:tc>
        <w:tc>
          <w:tcPr>
            <w:tcW w:w="2880" w:type="dxa"/>
            <w:noWrap/>
            <w:vAlign w:val="center"/>
            <w:hideMark/>
          </w:tcPr>
          <w:p w14:paraId="0FF507C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4638B59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Reproduction</w:t>
            </w:r>
          </w:p>
        </w:tc>
        <w:tc>
          <w:tcPr>
            <w:tcW w:w="3960" w:type="dxa"/>
            <w:vAlign w:val="center"/>
          </w:tcPr>
          <w:p w14:paraId="083567F4" w14:textId="7775A29E"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0EF7FA3C" w14:textId="76EC907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67F22722" w14:textId="5A4787D8" w:rsidTr="000632BA">
        <w:trPr>
          <w:trHeight w:val="300"/>
        </w:trPr>
        <w:tc>
          <w:tcPr>
            <w:tcW w:w="849" w:type="dxa"/>
            <w:noWrap/>
            <w:vAlign w:val="center"/>
            <w:hideMark/>
          </w:tcPr>
          <w:p w14:paraId="6554280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SPG7</w:t>
            </w:r>
          </w:p>
        </w:tc>
        <w:tc>
          <w:tcPr>
            <w:tcW w:w="1941" w:type="dxa"/>
            <w:noWrap/>
            <w:vAlign w:val="center"/>
            <w:hideMark/>
          </w:tcPr>
          <w:p w14:paraId="688FB58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Mitochondrial metalloprotease</w:t>
            </w:r>
          </w:p>
        </w:tc>
        <w:tc>
          <w:tcPr>
            <w:tcW w:w="2415" w:type="dxa"/>
            <w:noWrap/>
            <w:vAlign w:val="center"/>
            <w:hideMark/>
          </w:tcPr>
          <w:p w14:paraId="6C34165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Axon maintenance</w:t>
            </w:r>
          </w:p>
        </w:tc>
        <w:tc>
          <w:tcPr>
            <w:tcW w:w="2880" w:type="dxa"/>
            <w:noWrap/>
            <w:vAlign w:val="center"/>
            <w:hideMark/>
          </w:tcPr>
          <w:p w14:paraId="2549218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Equine degenerative myeloencephalopathy (EDM)</w:t>
            </w:r>
          </w:p>
        </w:tc>
        <w:tc>
          <w:tcPr>
            <w:tcW w:w="1710" w:type="dxa"/>
            <w:noWrap/>
            <w:vAlign w:val="center"/>
            <w:hideMark/>
          </w:tcPr>
          <w:p w14:paraId="01990F7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Nervous system</w:t>
            </w:r>
          </w:p>
        </w:tc>
        <w:tc>
          <w:tcPr>
            <w:tcW w:w="3960" w:type="dxa"/>
            <w:vAlign w:val="center"/>
          </w:tcPr>
          <w:p w14:paraId="03BD26F0" w14:textId="6C6E216E"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05333E37" w14:textId="580565D5"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3944EE55" w14:textId="19E6882B" w:rsidTr="000632BA">
        <w:trPr>
          <w:trHeight w:val="300"/>
        </w:trPr>
        <w:tc>
          <w:tcPr>
            <w:tcW w:w="849" w:type="dxa"/>
            <w:noWrap/>
            <w:vAlign w:val="center"/>
            <w:hideMark/>
          </w:tcPr>
          <w:p w14:paraId="4FD42F5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SPIRE2</w:t>
            </w:r>
          </w:p>
        </w:tc>
        <w:tc>
          <w:tcPr>
            <w:tcW w:w="1941" w:type="dxa"/>
            <w:noWrap/>
            <w:vAlign w:val="center"/>
            <w:hideMark/>
          </w:tcPr>
          <w:p w14:paraId="1A285EA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Actin nucleation factor</w:t>
            </w:r>
          </w:p>
        </w:tc>
        <w:tc>
          <w:tcPr>
            <w:tcW w:w="2415" w:type="dxa"/>
            <w:noWrap/>
            <w:vAlign w:val="center"/>
            <w:hideMark/>
          </w:tcPr>
          <w:p w14:paraId="19C38B1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Cytoskeleton organization</w:t>
            </w:r>
          </w:p>
        </w:tc>
        <w:tc>
          <w:tcPr>
            <w:tcW w:w="2880" w:type="dxa"/>
            <w:noWrap/>
            <w:vAlign w:val="center"/>
            <w:hideMark/>
          </w:tcPr>
          <w:p w14:paraId="7DBC2FE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3786610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Cytoskeleton</w:t>
            </w:r>
          </w:p>
        </w:tc>
        <w:tc>
          <w:tcPr>
            <w:tcW w:w="3960" w:type="dxa"/>
            <w:vAlign w:val="center"/>
          </w:tcPr>
          <w:p w14:paraId="225EF1EB" w14:textId="6220735E"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3C029856" w14:textId="11F6D8EF"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04D9AF77" w14:textId="4A9AF65B" w:rsidTr="000632BA">
        <w:trPr>
          <w:trHeight w:val="300"/>
        </w:trPr>
        <w:tc>
          <w:tcPr>
            <w:tcW w:w="849" w:type="dxa"/>
            <w:noWrap/>
            <w:vAlign w:val="center"/>
            <w:hideMark/>
          </w:tcPr>
          <w:p w14:paraId="247813D7"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TCF25</w:t>
            </w:r>
          </w:p>
        </w:tc>
        <w:tc>
          <w:tcPr>
            <w:tcW w:w="1941" w:type="dxa"/>
            <w:noWrap/>
            <w:vAlign w:val="center"/>
            <w:hideMark/>
          </w:tcPr>
          <w:p w14:paraId="2D9DD43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 factor</w:t>
            </w:r>
          </w:p>
        </w:tc>
        <w:tc>
          <w:tcPr>
            <w:tcW w:w="2415" w:type="dxa"/>
            <w:noWrap/>
            <w:vAlign w:val="center"/>
            <w:hideMark/>
          </w:tcPr>
          <w:p w14:paraId="1AE3ACF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differentiation</w:t>
            </w:r>
          </w:p>
        </w:tc>
        <w:tc>
          <w:tcPr>
            <w:tcW w:w="2880" w:type="dxa"/>
            <w:noWrap/>
            <w:vAlign w:val="center"/>
            <w:hideMark/>
          </w:tcPr>
          <w:p w14:paraId="2B6EFE7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known equine phenotype</w:t>
            </w:r>
          </w:p>
        </w:tc>
        <w:tc>
          <w:tcPr>
            <w:tcW w:w="1710" w:type="dxa"/>
            <w:noWrap/>
            <w:vAlign w:val="center"/>
            <w:hideMark/>
          </w:tcPr>
          <w:p w14:paraId="5C24A4F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Developmental regulation</w:t>
            </w:r>
          </w:p>
        </w:tc>
        <w:tc>
          <w:tcPr>
            <w:tcW w:w="3960" w:type="dxa"/>
            <w:vAlign w:val="center"/>
          </w:tcPr>
          <w:p w14:paraId="7BE65035" w14:textId="45ECFEF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35E9D61A" w14:textId="2FFF62F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4B23BF16" w14:textId="66C78380" w:rsidTr="000632BA">
        <w:trPr>
          <w:trHeight w:val="300"/>
        </w:trPr>
        <w:tc>
          <w:tcPr>
            <w:tcW w:w="849" w:type="dxa"/>
            <w:noWrap/>
            <w:vAlign w:val="center"/>
            <w:hideMark/>
          </w:tcPr>
          <w:p w14:paraId="2E2D14E4"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TUBB3</w:t>
            </w:r>
          </w:p>
        </w:tc>
        <w:tc>
          <w:tcPr>
            <w:tcW w:w="1941" w:type="dxa"/>
            <w:noWrap/>
            <w:vAlign w:val="center"/>
            <w:hideMark/>
          </w:tcPr>
          <w:p w14:paraId="12872C3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Neuronal microtubule component</w:t>
            </w:r>
          </w:p>
        </w:tc>
        <w:tc>
          <w:tcPr>
            <w:tcW w:w="2415" w:type="dxa"/>
            <w:noWrap/>
            <w:vAlign w:val="center"/>
            <w:hideMark/>
          </w:tcPr>
          <w:p w14:paraId="66B74AE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Axon guidance</w:t>
            </w:r>
          </w:p>
        </w:tc>
        <w:tc>
          <w:tcPr>
            <w:tcW w:w="2880" w:type="dxa"/>
            <w:noWrap/>
            <w:vAlign w:val="center"/>
            <w:hideMark/>
          </w:tcPr>
          <w:p w14:paraId="20C2ABB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Neurodevelopmental disorders (human)</w:t>
            </w:r>
          </w:p>
        </w:tc>
        <w:tc>
          <w:tcPr>
            <w:tcW w:w="1710" w:type="dxa"/>
            <w:noWrap/>
            <w:vAlign w:val="center"/>
            <w:hideMark/>
          </w:tcPr>
          <w:p w14:paraId="674131E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Nervous system</w:t>
            </w:r>
          </w:p>
        </w:tc>
        <w:tc>
          <w:tcPr>
            <w:tcW w:w="3960" w:type="dxa"/>
            <w:vAlign w:val="center"/>
          </w:tcPr>
          <w:p w14:paraId="0DE63CF2" w14:textId="73856264"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0F0CC076" w14:textId="5F1C986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126D2B83" w14:textId="7740251D" w:rsidTr="000632BA">
        <w:trPr>
          <w:trHeight w:val="300"/>
        </w:trPr>
        <w:tc>
          <w:tcPr>
            <w:tcW w:w="849" w:type="dxa"/>
            <w:noWrap/>
            <w:vAlign w:val="center"/>
            <w:hideMark/>
          </w:tcPr>
          <w:p w14:paraId="35667EDE"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URAH</w:t>
            </w:r>
          </w:p>
        </w:tc>
        <w:tc>
          <w:tcPr>
            <w:tcW w:w="1941" w:type="dxa"/>
            <w:noWrap/>
            <w:vAlign w:val="center"/>
            <w:hideMark/>
          </w:tcPr>
          <w:p w14:paraId="381DD64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Predicted urate hydroxyiso-hydrolase</w:t>
            </w:r>
          </w:p>
        </w:tc>
        <w:tc>
          <w:tcPr>
            <w:tcW w:w="2415" w:type="dxa"/>
            <w:noWrap/>
            <w:vAlign w:val="center"/>
            <w:hideMark/>
          </w:tcPr>
          <w:p w14:paraId="6BB139A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Purine catabolism, nitrogen metabolism, antioxidant defense</w:t>
            </w:r>
          </w:p>
        </w:tc>
        <w:tc>
          <w:tcPr>
            <w:tcW w:w="2880" w:type="dxa"/>
            <w:noWrap/>
            <w:vAlign w:val="center"/>
            <w:hideMark/>
          </w:tcPr>
          <w:p w14:paraId="08FDA4C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Linked to hyperuricemia/gout, oxidative stress regulation</w:t>
            </w:r>
          </w:p>
        </w:tc>
        <w:tc>
          <w:tcPr>
            <w:tcW w:w="1710" w:type="dxa"/>
            <w:noWrap/>
            <w:vAlign w:val="center"/>
            <w:hideMark/>
          </w:tcPr>
          <w:p w14:paraId="05A7D39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 / redox</w:t>
            </w:r>
          </w:p>
        </w:tc>
        <w:tc>
          <w:tcPr>
            <w:tcW w:w="3960" w:type="dxa"/>
            <w:vAlign w:val="center"/>
          </w:tcPr>
          <w:p w14:paraId="68084BDA" w14:textId="670F8DD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2DCB6DA" w14:textId="5AC17CEC"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3D9663EA" w14:textId="185FCA00" w:rsidTr="000632BA">
        <w:trPr>
          <w:trHeight w:val="300"/>
        </w:trPr>
        <w:tc>
          <w:tcPr>
            <w:tcW w:w="849" w:type="dxa"/>
            <w:noWrap/>
            <w:vAlign w:val="center"/>
            <w:hideMark/>
          </w:tcPr>
          <w:p w14:paraId="012B0A66"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VPS9D1</w:t>
            </w:r>
          </w:p>
        </w:tc>
        <w:tc>
          <w:tcPr>
            <w:tcW w:w="1941" w:type="dxa"/>
            <w:noWrap/>
            <w:vAlign w:val="center"/>
            <w:hideMark/>
          </w:tcPr>
          <w:p w14:paraId="6B3A9B4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Vesicle trafficking protein</w:t>
            </w:r>
          </w:p>
        </w:tc>
        <w:tc>
          <w:tcPr>
            <w:tcW w:w="2415" w:type="dxa"/>
            <w:noWrap/>
            <w:vAlign w:val="center"/>
            <w:hideMark/>
          </w:tcPr>
          <w:p w14:paraId="4264FEA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Endosomal sorting</w:t>
            </w:r>
          </w:p>
        </w:tc>
        <w:tc>
          <w:tcPr>
            <w:tcW w:w="2880" w:type="dxa"/>
            <w:noWrap/>
            <w:vAlign w:val="center"/>
            <w:hideMark/>
          </w:tcPr>
          <w:p w14:paraId="3789AFF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3830A77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Vesicle trafficking</w:t>
            </w:r>
          </w:p>
        </w:tc>
        <w:tc>
          <w:tcPr>
            <w:tcW w:w="3960" w:type="dxa"/>
            <w:vAlign w:val="center"/>
          </w:tcPr>
          <w:p w14:paraId="032291D0" w14:textId="4BE2415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2DD51EC5" w14:textId="41F0F3F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F88AF04" w14:textId="640A2AF4" w:rsidTr="000632BA">
        <w:trPr>
          <w:trHeight w:val="300"/>
        </w:trPr>
        <w:tc>
          <w:tcPr>
            <w:tcW w:w="849" w:type="dxa"/>
            <w:noWrap/>
            <w:vAlign w:val="center"/>
            <w:hideMark/>
          </w:tcPr>
          <w:p w14:paraId="4D83EB5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ZNF276</w:t>
            </w:r>
          </w:p>
        </w:tc>
        <w:tc>
          <w:tcPr>
            <w:tcW w:w="1941" w:type="dxa"/>
            <w:noWrap/>
            <w:vAlign w:val="center"/>
            <w:hideMark/>
          </w:tcPr>
          <w:p w14:paraId="58E9231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Zinc finger transcription factor</w:t>
            </w:r>
          </w:p>
        </w:tc>
        <w:tc>
          <w:tcPr>
            <w:tcW w:w="2415" w:type="dxa"/>
            <w:noWrap/>
            <w:vAlign w:val="center"/>
            <w:hideMark/>
          </w:tcPr>
          <w:p w14:paraId="02F39D5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Gene regulation</w:t>
            </w:r>
          </w:p>
        </w:tc>
        <w:tc>
          <w:tcPr>
            <w:tcW w:w="2880" w:type="dxa"/>
            <w:noWrap/>
            <w:vAlign w:val="center"/>
            <w:hideMark/>
          </w:tcPr>
          <w:p w14:paraId="56E8F69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w:t>
            </w:r>
          </w:p>
        </w:tc>
        <w:tc>
          <w:tcPr>
            <w:tcW w:w="1710" w:type="dxa"/>
            <w:noWrap/>
            <w:vAlign w:val="center"/>
            <w:hideMark/>
          </w:tcPr>
          <w:p w14:paraId="4248D7B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regulation</w:t>
            </w:r>
          </w:p>
        </w:tc>
        <w:tc>
          <w:tcPr>
            <w:tcW w:w="3960" w:type="dxa"/>
            <w:vAlign w:val="center"/>
          </w:tcPr>
          <w:p w14:paraId="24666E8C" w14:textId="53CBB992"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751EC61A" w14:textId="499AFF63"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708060CB" w14:textId="38A2D020" w:rsidTr="000632BA">
        <w:trPr>
          <w:trHeight w:val="300"/>
        </w:trPr>
        <w:tc>
          <w:tcPr>
            <w:tcW w:w="849" w:type="dxa"/>
            <w:noWrap/>
            <w:vAlign w:val="center"/>
            <w:hideMark/>
          </w:tcPr>
          <w:p w14:paraId="39AF325A"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eca-mir-9074</w:t>
            </w:r>
          </w:p>
        </w:tc>
        <w:tc>
          <w:tcPr>
            <w:tcW w:w="1941" w:type="dxa"/>
            <w:noWrap/>
            <w:vAlign w:val="center"/>
            <w:hideMark/>
          </w:tcPr>
          <w:p w14:paraId="112B70F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MicroRNA</w:t>
            </w:r>
          </w:p>
        </w:tc>
        <w:tc>
          <w:tcPr>
            <w:tcW w:w="2415" w:type="dxa"/>
            <w:noWrap/>
            <w:vAlign w:val="center"/>
            <w:hideMark/>
          </w:tcPr>
          <w:p w14:paraId="4A98F45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Post-transcriptional regulation</w:t>
            </w:r>
          </w:p>
        </w:tc>
        <w:tc>
          <w:tcPr>
            <w:tcW w:w="2880" w:type="dxa"/>
            <w:noWrap/>
            <w:vAlign w:val="center"/>
            <w:hideMark/>
          </w:tcPr>
          <w:p w14:paraId="68E2942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Potential biomarker (no equine phenotype reported)</w:t>
            </w:r>
          </w:p>
        </w:tc>
        <w:tc>
          <w:tcPr>
            <w:tcW w:w="1710" w:type="dxa"/>
            <w:noWrap/>
            <w:vAlign w:val="center"/>
            <w:hideMark/>
          </w:tcPr>
          <w:p w14:paraId="575B9C1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Regulatory RNA</w:t>
            </w:r>
          </w:p>
        </w:tc>
        <w:tc>
          <w:tcPr>
            <w:tcW w:w="3960" w:type="dxa"/>
            <w:vAlign w:val="center"/>
          </w:tcPr>
          <w:p w14:paraId="3CEBBBFB" w14:textId="5A4461A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Belgian, Caspian, Icelandic, Morgan, QuarterHorse, Welsh</w:t>
            </w:r>
          </w:p>
        </w:tc>
        <w:tc>
          <w:tcPr>
            <w:tcW w:w="1170" w:type="dxa"/>
            <w:vAlign w:val="center"/>
          </w:tcPr>
          <w:p w14:paraId="59173F0E" w14:textId="0C62A0E8"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7</w:t>
            </w:r>
          </w:p>
        </w:tc>
      </w:tr>
      <w:tr w:rsidR="006D0E76" w:rsidRPr="004D24EB" w14:paraId="265E6B7E" w14:textId="6BDAD759" w:rsidTr="000632BA">
        <w:trPr>
          <w:trHeight w:val="300"/>
        </w:trPr>
        <w:tc>
          <w:tcPr>
            <w:tcW w:w="849" w:type="dxa"/>
            <w:noWrap/>
            <w:vAlign w:val="center"/>
            <w:hideMark/>
          </w:tcPr>
          <w:p w14:paraId="080E334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APRT</w:t>
            </w:r>
          </w:p>
        </w:tc>
        <w:tc>
          <w:tcPr>
            <w:tcW w:w="1941" w:type="dxa"/>
            <w:noWrap/>
            <w:vAlign w:val="center"/>
            <w:hideMark/>
          </w:tcPr>
          <w:p w14:paraId="23D2C5A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Adenine phosphoribosyltransferase</w:t>
            </w:r>
          </w:p>
        </w:tc>
        <w:tc>
          <w:tcPr>
            <w:tcW w:w="2415" w:type="dxa"/>
            <w:noWrap/>
            <w:vAlign w:val="center"/>
            <w:hideMark/>
          </w:tcPr>
          <w:p w14:paraId="67F53F6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Purine salvage pathway</w:t>
            </w:r>
          </w:p>
        </w:tc>
        <w:tc>
          <w:tcPr>
            <w:tcW w:w="2880" w:type="dxa"/>
            <w:noWrap/>
            <w:vAlign w:val="center"/>
            <w:hideMark/>
          </w:tcPr>
          <w:p w14:paraId="468D506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Kidney stones (APRT deficiency, mammals)</w:t>
            </w:r>
          </w:p>
        </w:tc>
        <w:tc>
          <w:tcPr>
            <w:tcW w:w="1710" w:type="dxa"/>
            <w:noWrap/>
            <w:vAlign w:val="center"/>
            <w:hideMark/>
          </w:tcPr>
          <w:p w14:paraId="3652ED1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 / disease marker</w:t>
            </w:r>
          </w:p>
        </w:tc>
        <w:tc>
          <w:tcPr>
            <w:tcW w:w="3960" w:type="dxa"/>
            <w:vAlign w:val="center"/>
          </w:tcPr>
          <w:p w14:paraId="5E9BF58E" w14:textId="3EC38CF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45845450" w14:textId="6F03D1C5"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6B0C971A" w14:textId="00A358F5" w:rsidTr="000632BA">
        <w:trPr>
          <w:trHeight w:val="300"/>
        </w:trPr>
        <w:tc>
          <w:tcPr>
            <w:tcW w:w="849" w:type="dxa"/>
            <w:noWrap/>
            <w:vAlign w:val="center"/>
            <w:hideMark/>
          </w:tcPr>
          <w:p w14:paraId="0F4E75FA"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CBFA2T3</w:t>
            </w:r>
          </w:p>
        </w:tc>
        <w:tc>
          <w:tcPr>
            <w:tcW w:w="1941" w:type="dxa"/>
            <w:noWrap/>
            <w:vAlign w:val="center"/>
            <w:hideMark/>
          </w:tcPr>
          <w:p w14:paraId="5010A9F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corepressor</w:t>
            </w:r>
          </w:p>
        </w:tc>
        <w:tc>
          <w:tcPr>
            <w:tcW w:w="2415" w:type="dxa"/>
            <w:noWrap/>
            <w:vAlign w:val="center"/>
            <w:hideMark/>
          </w:tcPr>
          <w:p w14:paraId="2A54969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Hematopoiesis</w:t>
            </w:r>
          </w:p>
        </w:tc>
        <w:tc>
          <w:tcPr>
            <w:tcW w:w="2880" w:type="dxa"/>
            <w:noWrap/>
            <w:vAlign w:val="center"/>
            <w:hideMark/>
          </w:tcPr>
          <w:p w14:paraId="0A22B58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Acute myeloid leukemia (human)</w:t>
            </w:r>
          </w:p>
        </w:tc>
        <w:tc>
          <w:tcPr>
            <w:tcW w:w="1710" w:type="dxa"/>
            <w:noWrap/>
            <w:vAlign w:val="center"/>
            <w:hideMark/>
          </w:tcPr>
          <w:p w14:paraId="709A506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Hematopoiesis</w:t>
            </w:r>
          </w:p>
        </w:tc>
        <w:tc>
          <w:tcPr>
            <w:tcW w:w="3960" w:type="dxa"/>
            <w:vAlign w:val="center"/>
          </w:tcPr>
          <w:p w14:paraId="41586344" w14:textId="00935DF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159864F5" w14:textId="3087A54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1C9D892D" w14:textId="1265B618" w:rsidTr="000632BA">
        <w:trPr>
          <w:trHeight w:val="300"/>
        </w:trPr>
        <w:tc>
          <w:tcPr>
            <w:tcW w:w="849" w:type="dxa"/>
            <w:noWrap/>
            <w:vAlign w:val="center"/>
            <w:hideMark/>
          </w:tcPr>
          <w:p w14:paraId="5D0DA61F"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CDT1</w:t>
            </w:r>
          </w:p>
        </w:tc>
        <w:tc>
          <w:tcPr>
            <w:tcW w:w="1941" w:type="dxa"/>
            <w:noWrap/>
            <w:vAlign w:val="center"/>
            <w:hideMark/>
          </w:tcPr>
          <w:p w14:paraId="6FAADFD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replication licensing factor</w:t>
            </w:r>
          </w:p>
        </w:tc>
        <w:tc>
          <w:tcPr>
            <w:tcW w:w="2415" w:type="dxa"/>
            <w:noWrap/>
            <w:vAlign w:val="center"/>
            <w:hideMark/>
          </w:tcPr>
          <w:p w14:paraId="0959CFC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cycle control</w:t>
            </w:r>
          </w:p>
        </w:tc>
        <w:tc>
          <w:tcPr>
            <w:tcW w:w="2880" w:type="dxa"/>
            <w:noWrap/>
            <w:vAlign w:val="center"/>
            <w:hideMark/>
          </w:tcPr>
          <w:p w14:paraId="558530F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re-replication (cancer risk, mammals)</w:t>
            </w:r>
          </w:p>
        </w:tc>
        <w:tc>
          <w:tcPr>
            <w:tcW w:w="1710" w:type="dxa"/>
            <w:noWrap/>
            <w:vAlign w:val="center"/>
            <w:hideMark/>
          </w:tcPr>
          <w:p w14:paraId="71B3DFC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cycle</w:t>
            </w:r>
          </w:p>
        </w:tc>
        <w:tc>
          <w:tcPr>
            <w:tcW w:w="3960" w:type="dxa"/>
            <w:vAlign w:val="center"/>
          </w:tcPr>
          <w:p w14:paraId="4ADABEC5" w14:textId="5EDBFCD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63076057" w14:textId="387EBE7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385C46F1" w14:textId="2D07D2D8" w:rsidTr="000632BA">
        <w:trPr>
          <w:trHeight w:val="300"/>
        </w:trPr>
        <w:tc>
          <w:tcPr>
            <w:tcW w:w="849" w:type="dxa"/>
            <w:noWrap/>
            <w:vAlign w:val="center"/>
            <w:hideMark/>
          </w:tcPr>
          <w:p w14:paraId="62A444C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GALNS</w:t>
            </w:r>
          </w:p>
        </w:tc>
        <w:tc>
          <w:tcPr>
            <w:tcW w:w="1941" w:type="dxa"/>
            <w:noWrap/>
            <w:vAlign w:val="center"/>
            <w:hideMark/>
          </w:tcPr>
          <w:p w14:paraId="52EEB64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Lysosomal enzyme (chondroitin sulfate)</w:t>
            </w:r>
          </w:p>
        </w:tc>
        <w:tc>
          <w:tcPr>
            <w:tcW w:w="2415" w:type="dxa"/>
            <w:noWrap/>
            <w:vAlign w:val="center"/>
            <w:hideMark/>
          </w:tcPr>
          <w:p w14:paraId="2AD34F3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Mucopolysaccharide metabolism</w:t>
            </w:r>
          </w:p>
        </w:tc>
        <w:tc>
          <w:tcPr>
            <w:tcW w:w="2880" w:type="dxa"/>
            <w:noWrap/>
            <w:vAlign w:val="center"/>
            <w:hideMark/>
          </w:tcPr>
          <w:p w14:paraId="07926B7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Mucopolysaccharidosis IVA (Morquio syndrome)</w:t>
            </w:r>
          </w:p>
        </w:tc>
        <w:tc>
          <w:tcPr>
            <w:tcW w:w="1710" w:type="dxa"/>
            <w:noWrap/>
            <w:vAlign w:val="center"/>
            <w:hideMark/>
          </w:tcPr>
          <w:p w14:paraId="1730709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Lysosome / metabolism</w:t>
            </w:r>
          </w:p>
        </w:tc>
        <w:tc>
          <w:tcPr>
            <w:tcW w:w="3960" w:type="dxa"/>
            <w:vAlign w:val="center"/>
          </w:tcPr>
          <w:p w14:paraId="4B8E8235" w14:textId="715DF056"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2030738D" w14:textId="3BD9FEEA"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578CCDDC" w14:textId="7DCD9BD8" w:rsidTr="000632BA">
        <w:trPr>
          <w:trHeight w:val="300"/>
        </w:trPr>
        <w:tc>
          <w:tcPr>
            <w:tcW w:w="849" w:type="dxa"/>
            <w:noWrap/>
            <w:vAlign w:val="center"/>
            <w:hideMark/>
          </w:tcPr>
          <w:p w14:paraId="471A6F94"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PABPN1L</w:t>
            </w:r>
          </w:p>
        </w:tc>
        <w:tc>
          <w:tcPr>
            <w:tcW w:w="1941" w:type="dxa"/>
            <w:noWrap/>
            <w:vAlign w:val="center"/>
            <w:hideMark/>
          </w:tcPr>
          <w:p w14:paraId="5C376D6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binding (polyadenylation)</w:t>
            </w:r>
          </w:p>
        </w:tc>
        <w:tc>
          <w:tcPr>
            <w:tcW w:w="2415" w:type="dxa"/>
            <w:noWrap/>
            <w:vAlign w:val="center"/>
            <w:hideMark/>
          </w:tcPr>
          <w:p w14:paraId="556D3D8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mRNA processing</w:t>
            </w:r>
          </w:p>
        </w:tc>
        <w:tc>
          <w:tcPr>
            <w:tcW w:w="2880" w:type="dxa"/>
            <w:noWrap/>
            <w:vAlign w:val="center"/>
            <w:hideMark/>
          </w:tcPr>
          <w:p w14:paraId="5ADDF22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0F9EBB8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processing</w:t>
            </w:r>
          </w:p>
        </w:tc>
        <w:tc>
          <w:tcPr>
            <w:tcW w:w="3960" w:type="dxa"/>
            <w:vAlign w:val="center"/>
          </w:tcPr>
          <w:p w14:paraId="118F5983" w14:textId="35153199"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53E0B371" w14:textId="091C853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42B8D9F4" w14:textId="6E50C732" w:rsidTr="000632BA">
        <w:trPr>
          <w:trHeight w:val="300"/>
        </w:trPr>
        <w:tc>
          <w:tcPr>
            <w:tcW w:w="849" w:type="dxa"/>
            <w:noWrap/>
            <w:vAlign w:val="center"/>
            <w:hideMark/>
          </w:tcPr>
          <w:p w14:paraId="4FC24404"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PIEZO1</w:t>
            </w:r>
          </w:p>
        </w:tc>
        <w:tc>
          <w:tcPr>
            <w:tcW w:w="1941" w:type="dxa"/>
            <w:noWrap/>
            <w:vAlign w:val="center"/>
            <w:hideMark/>
          </w:tcPr>
          <w:p w14:paraId="6AB8382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Mechanosensitive ion channel</w:t>
            </w:r>
          </w:p>
        </w:tc>
        <w:tc>
          <w:tcPr>
            <w:tcW w:w="2415" w:type="dxa"/>
            <w:noWrap/>
            <w:vAlign w:val="center"/>
            <w:hideMark/>
          </w:tcPr>
          <w:p w14:paraId="384EFCD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Erythrocyte volume regulation</w:t>
            </w:r>
          </w:p>
        </w:tc>
        <w:tc>
          <w:tcPr>
            <w:tcW w:w="2880" w:type="dxa"/>
            <w:noWrap/>
            <w:vAlign w:val="center"/>
            <w:hideMark/>
          </w:tcPr>
          <w:p w14:paraId="4945D72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Dehydrated hereditary stomatocytosis (hemolytic anemia)</w:t>
            </w:r>
          </w:p>
        </w:tc>
        <w:tc>
          <w:tcPr>
            <w:tcW w:w="1710" w:type="dxa"/>
            <w:noWrap/>
            <w:vAlign w:val="center"/>
            <w:hideMark/>
          </w:tcPr>
          <w:p w14:paraId="175C15B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Ion channel / erythrocytes</w:t>
            </w:r>
          </w:p>
        </w:tc>
        <w:tc>
          <w:tcPr>
            <w:tcW w:w="3960" w:type="dxa"/>
            <w:vAlign w:val="center"/>
          </w:tcPr>
          <w:p w14:paraId="46C82A32" w14:textId="262F3F29"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Icelandic, Morgan, QuarterHorse, Welsh</w:t>
            </w:r>
          </w:p>
        </w:tc>
        <w:tc>
          <w:tcPr>
            <w:tcW w:w="1170" w:type="dxa"/>
            <w:vAlign w:val="center"/>
          </w:tcPr>
          <w:p w14:paraId="2BF6BE81" w14:textId="7D96D9D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6</w:t>
            </w:r>
          </w:p>
        </w:tc>
      </w:tr>
      <w:tr w:rsidR="006D0E76" w:rsidRPr="004D24EB" w14:paraId="5520D3FB" w14:textId="33F71FB9" w:rsidTr="000632BA">
        <w:trPr>
          <w:trHeight w:val="300"/>
        </w:trPr>
        <w:tc>
          <w:tcPr>
            <w:tcW w:w="849" w:type="dxa"/>
            <w:noWrap/>
            <w:vAlign w:val="center"/>
            <w:hideMark/>
          </w:tcPr>
          <w:p w14:paraId="488E376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BANP</w:t>
            </w:r>
          </w:p>
        </w:tc>
        <w:tc>
          <w:tcPr>
            <w:tcW w:w="1941" w:type="dxa"/>
            <w:noWrap/>
            <w:vAlign w:val="center"/>
            <w:hideMark/>
          </w:tcPr>
          <w:p w14:paraId="12EFB15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 factor</w:t>
            </w:r>
          </w:p>
        </w:tc>
        <w:tc>
          <w:tcPr>
            <w:tcW w:w="2415" w:type="dxa"/>
            <w:noWrap/>
            <w:vAlign w:val="center"/>
            <w:hideMark/>
          </w:tcPr>
          <w:p w14:paraId="1072874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DNA methylation, tumor suppression</w:t>
            </w:r>
          </w:p>
        </w:tc>
        <w:tc>
          <w:tcPr>
            <w:tcW w:w="2880" w:type="dxa"/>
            <w:noWrap/>
            <w:vAlign w:val="center"/>
            <w:hideMark/>
          </w:tcPr>
          <w:p w14:paraId="14BBBB1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Cancer (human/mouse)</w:t>
            </w:r>
          </w:p>
        </w:tc>
        <w:tc>
          <w:tcPr>
            <w:tcW w:w="1710" w:type="dxa"/>
            <w:noWrap/>
            <w:vAlign w:val="center"/>
            <w:hideMark/>
          </w:tcPr>
          <w:p w14:paraId="0105C34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Cancer / transcriptional regulation</w:t>
            </w:r>
          </w:p>
        </w:tc>
        <w:tc>
          <w:tcPr>
            <w:tcW w:w="3960" w:type="dxa"/>
            <w:vAlign w:val="center"/>
          </w:tcPr>
          <w:p w14:paraId="2444C5B6" w14:textId="1F30E88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2A88D346" w14:textId="3256270A"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14F5DA53" w14:textId="5E1E00D1" w:rsidTr="000632BA">
        <w:trPr>
          <w:trHeight w:val="300"/>
        </w:trPr>
        <w:tc>
          <w:tcPr>
            <w:tcW w:w="849" w:type="dxa"/>
            <w:noWrap/>
            <w:vAlign w:val="center"/>
            <w:hideMark/>
          </w:tcPr>
          <w:p w14:paraId="67711A9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CTU2</w:t>
            </w:r>
          </w:p>
        </w:tc>
        <w:tc>
          <w:tcPr>
            <w:tcW w:w="1941" w:type="dxa"/>
            <w:noWrap/>
            <w:vAlign w:val="center"/>
            <w:hideMark/>
          </w:tcPr>
          <w:p w14:paraId="79156F4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tRNA thiolation enzyme</w:t>
            </w:r>
          </w:p>
        </w:tc>
        <w:tc>
          <w:tcPr>
            <w:tcW w:w="2415" w:type="dxa"/>
            <w:noWrap/>
            <w:vAlign w:val="center"/>
            <w:hideMark/>
          </w:tcPr>
          <w:p w14:paraId="465A52D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tRNA modification</w:t>
            </w:r>
          </w:p>
        </w:tc>
        <w:tc>
          <w:tcPr>
            <w:tcW w:w="2880" w:type="dxa"/>
            <w:noWrap/>
            <w:vAlign w:val="center"/>
            <w:hideMark/>
          </w:tcPr>
          <w:p w14:paraId="122861A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Developmental defects (human)</w:t>
            </w:r>
          </w:p>
        </w:tc>
        <w:tc>
          <w:tcPr>
            <w:tcW w:w="1710" w:type="dxa"/>
            <w:noWrap/>
            <w:vAlign w:val="center"/>
            <w:hideMark/>
          </w:tcPr>
          <w:p w14:paraId="323777A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modification</w:t>
            </w:r>
          </w:p>
        </w:tc>
        <w:tc>
          <w:tcPr>
            <w:tcW w:w="3960" w:type="dxa"/>
            <w:vAlign w:val="center"/>
          </w:tcPr>
          <w:p w14:paraId="27ABFA3B" w14:textId="2E247EDB"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40122A57" w14:textId="4923515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483A5190" w14:textId="13EF3256" w:rsidTr="000632BA">
        <w:trPr>
          <w:trHeight w:val="300"/>
        </w:trPr>
        <w:tc>
          <w:tcPr>
            <w:tcW w:w="849" w:type="dxa"/>
            <w:noWrap/>
            <w:vAlign w:val="center"/>
            <w:hideMark/>
          </w:tcPr>
          <w:p w14:paraId="36C54C6A"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CYBA</w:t>
            </w:r>
          </w:p>
        </w:tc>
        <w:tc>
          <w:tcPr>
            <w:tcW w:w="1941" w:type="dxa"/>
            <w:noWrap/>
            <w:vAlign w:val="center"/>
            <w:hideMark/>
          </w:tcPr>
          <w:p w14:paraId="4A11431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NADPH oxidase subunit</w:t>
            </w:r>
          </w:p>
        </w:tc>
        <w:tc>
          <w:tcPr>
            <w:tcW w:w="2415" w:type="dxa"/>
            <w:noWrap/>
            <w:vAlign w:val="center"/>
            <w:hideMark/>
          </w:tcPr>
          <w:p w14:paraId="1346C4B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Reactive oxygen species (ROS) production</w:t>
            </w:r>
          </w:p>
        </w:tc>
        <w:tc>
          <w:tcPr>
            <w:tcW w:w="2880" w:type="dxa"/>
            <w:noWrap/>
            <w:vAlign w:val="center"/>
            <w:hideMark/>
          </w:tcPr>
          <w:p w14:paraId="1CF626C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Chronic granulomatous disease (human)</w:t>
            </w:r>
          </w:p>
        </w:tc>
        <w:tc>
          <w:tcPr>
            <w:tcW w:w="1710" w:type="dxa"/>
            <w:noWrap/>
            <w:vAlign w:val="center"/>
            <w:hideMark/>
          </w:tcPr>
          <w:p w14:paraId="2A3B83C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 redox</w:t>
            </w:r>
          </w:p>
        </w:tc>
        <w:tc>
          <w:tcPr>
            <w:tcW w:w="3960" w:type="dxa"/>
            <w:vAlign w:val="center"/>
          </w:tcPr>
          <w:p w14:paraId="49B615B1" w14:textId="6AF3DF1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5A6AC1D7" w14:textId="28C1DAC2"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00508F7A" w14:textId="4C9B4293" w:rsidTr="000632BA">
        <w:trPr>
          <w:trHeight w:val="300"/>
        </w:trPr>
        <w:tc>
          <w:tcPr>
            <w:tcW w:w="849" w:type="dxa"/>
            <w:noWrap/>
            <w:vAlign w:val="center"/>
            <w:hideMark/>
          </w:tcPr>
          <w:p w14:paraId="0057E1F9"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IL17C</w:t>
            </w:r>
          </w:p>
        </w:tc>
        <w:tc>
          <w:tcPr>
            <w:tcW w:w="1941" w:type="dxa"/>
            <w:noWrap/>
            <w:vAlign w:val="center"/>
            <w:hideMark/>
          </w:tcPr>
          <w:p w14:paraId="4684CD1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Pro-inflammatory cytokine</w:t>
            </w:r>
          </w:p>
        </w:tc>
        <w:tc>
          <w:tcPr>
            <w:tcW w:w="2415" w:type="dxa"/>
            <w:noWrap/>
            <w:vAlign w:val="center"/>
            <w:hideMark/>
          </w:tcPr>
          <w:p w14:paraId="6FBC0D8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Mucosal immunity</w:t>
            </w:r>
          </w:p>
        </w:tc>
        <w:tc>
          <w:tcPr>
            <w:tcW w:w="2880" w:type="dxa"/>
            <w:noWrap/>
            <w:vAlign w:val="center"/>
            <w:hideMark/>
          </w:tcPr>
          <w:p w14:paraId="1C608C3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Inflammatory bowel disease (mammals)</w:t>
            </w:r>
          </w:p>
        </w:tc>
        <w:tc>
          <w:tcPr>
            <w:tcW w:w="1710" w:type="dxa"/>
            <w:noWrap/>
            <w:vAlign w:val="center"/>
            <w:hideMark/>
          </w:tcPr>
          <w:p w14:paraId="3EEF605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Immune response</w:t>
            </w:r>
          </w:p>
        </w:tc>
        <w:tc>
          <w:tcPr>
            <w:tcW w:w="3960" w:type="dxa"/>
            <w:vAlign w:val="center"/>
          </w:tcPr>
          <w:p w14:paraId="4C143159" w14:textId="2FF20BE2"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7B55E9B3" w14:textId="73BEBAE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79DE33C9" w14:textId="29F3723D" w:rsidTr="000632BA">
        <w:trPr>
          <w:trHeight w:val="300"/>
        </w:trPr>
        <w:tc>
          <w:tcPr>
            <w:tcW w:w="849" w:type="dxa"/>
            <w:noWrap/>
            <w:vAlign w:val="center"/>
            <w:hideMark/>
          </w:tcPr>
          <w:p w14:paraId="2D9CFDEF"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MVD</w:t>
            </w:r>
          </w:p>
        </w:tc>
        <w:tc>
          <w:tcPr>
            <w:tcW w:w="1941" w:type="dxa"/>
            <w:noWrap/>
            <w:vAlign w:val="center"/>
            <w:hideMark/>
          </w:tcPr>
          <w:p w14:paraId="7AC67FA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Mevalonate diphosphate decarboxylase</w:t>
            </w:r>
          </w:p>
        </w:tc>
        <w:tc>
          <w:tcPr>
            <w:tcW w:w="2415" w:type="dxa"/>
            <w:noWrap/>
            <w:vAlign w:val="center"/>
            <w:hideMark/>
          </w:tcPr>
          <w:p w14:paraId="2C1C435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Cholesterol biosynthesis</w:t>
            </w:r>
          </w:p>
        </w:tc>
        <w:tc>
          <w:tcPr>
            <w:tcW w:w="2880" w:type="dxa"/>
            <w:noWrap/>
            <w:vAlign w:val="center"/>
            <w:hideMark/>
          </w:tcPr>
          <w:p w14:paraId="535075C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Mevalonic aciduria (human)</w:t>
            </w:r>
          </w:p>
        </w:tc>
        <w:tc>
          <w:tcPr>
            <w:tcW w:w="1710" w:type="dxa"/>
            <w:noWrap/>
            <w:vAlign w:val="center"/>
            <w:hideMark/>
          </w:tcPr>
          <w:p w14:paraId="50C392A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w:t>
            </w:r>
          </w:p>
        </w:tc>
        <w:tc>
          <w:tcPr>
            <w:tcW w:w="3960" w:type="dxa"/>
            <w:vAlign w:val="center"/>
          </w:tcPr>
          <w:p w14:paraId="0C1FB73E" w14:textId="7715665E"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7B724B86" w14:textId="0B05096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03D8A601" w14:textId="6AC84AD0" w:rsidTr="000632BA">
        <w:trPr>
          <w:trHeight w:val="300"/>
        </w:trPr>
        <w:tc>
          <w:tcPr>
            <w:tcW w:w="849" w:type="dxa"/>
            <w:noWrap/>
            <w:vAlign w:val="center"/>
            <w:hideMark/>
          </w:tcPr>
          <w:p w14:paraId="5C75906B"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RNF166</w:t>
            </w:r>
          </w:p>
        </w:tc>
        <w:tc>
          <w:tcPr>
            <w:tcW w:w="1941" w:type="dxa"/>
            <w:noWrap/>
            <w:vAlign w:val="center"/>
            <w:hideMark/>
          </w:tcPr>
          <w:p w14:paraId="2532300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Ubiquitin ligase</w:t>
            </w:r>
          </w:p>
        </w:tc>
        <w:tc>
          <w:tcPr>
            <w:tcW w:w="2415" w:type="dxa"/>
            <w:noWrap/>
            <w:vAlign w:val="center"/>
            <w:hideMark/>
          </w:tcPr>
          <w:p w14:paraId="1168C67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degradation</w:t>
            </w:r>
          </w:p>
        </w:tc>
        <w:tc>
          <w:tcPr>
            <w:tcW w:w="2880" w:type="dxa"/>
            <w:noWrap/>
            <w:vAlign w:val="center"/>
            <w:hideMark/>
          </w:tcPr>
          <w:p w14:paraId="7B91D7B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w:t>
            </w:r>
          </w:p>
        </w:tc>
        <w:tc>
          <w:tcPr>
            <w:tcW w:w="1710" w:type="dxa"/>
            <w:noWrap/>
            <w:vAlign w:val="center"/>
            <w:hideMark/>
          </w:tcPr>
          <w:p w14:paraId="250D21D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turnover</w:t>
            </w:r>
          </w:p>
        </w:tc>
        <w:tc>
          <w:tcPr>
            <w:tcW w:w="3960" w:type="dxa"/>
            <w:vAlign w:val="center"/>
          </w:tcPr>
          <w:p w14:paraId="2EFBF873" w14:textId="5B459100"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20EB0693" w14:textId="16D880C6"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77345569" w14:textId="7367F65D" w:rsidTr="000632BA">
        <w:trPr>
          <w:trHeight w:val="300"/>
        </w:trPr>
        <w:tc>
          <w:tcPr>
            <w:tcW w:w="849" w:type="dxa"/>
            <w:noWrap/>
            <w:vAlign w:val="center"/>
            <w:hideMark/>
          </w:tcPr>
          <w:p w14:paraId="296526DE"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SNAI3</w:t>
            </w:r>
          </w:p>
        </w:tc>
        <w:tc>
          <w:tcPr>
            <w:tcW w:w="1941" w:type="dxa"/>
            <w:noWrap/>
            <w:vAlign w:val="center"/>
            <w:hideMark/>
          </w:tcPr>
          <w:p w14:paraId="2890D67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Zinc finger transcription factor</w:t>
            </w:r>
          </w:p>
        </w:tc>
        <w:tc>
          <w:tcPr>
            <w:tcW w:w="2415" w:type="dxa"/>
            <w:noWrap/>
            <w:vAlign w:val="center"/>
            <w:hideMark/>
          </w:tcPr>
          <w:p w14:paraId="57802F1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Epithelial-mesenchymal transition (EMT)</w:t>
            </w:r>
          </w:p>
        </w:tc>
        <w:tc>
          <w:tcPr>
            <w:tcW w:w="2880" w:type="dxa"/>
            <w:noWrap/>
            <w:vAlign w:val="center"/>
            <w:hideMark/>
          </w:tcPr>
          <w:p w14:paraId="6B9BE82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Cancer metastasis (human)</w:t>
            </w:r>
          </w:p>
        </w:tc>
        <w:tc>
          <w:tcPr>
            <w:tcW w:w="1710" w:type="dxa"/>
            <w:noWrap/>
            <w:vAlign w:val="center"/>
            <w:hideMark/>
          </w:tcPr>
          <w:p w14:paraId="5726666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regulator in development and cancer</w:t>
            </w:r>
          </w:p>
        </w:tc>
        <w:tc>
          <w:tcPr>
            <w:tcW w:w="3960" w:type="dxa"/>
            <w:vAlign w:val="center"/>
          </w:tcPr>
          <w:p w14:paraId="595B0EE7" w14:textId="0AD0E242"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76633A21" w14:textId="0A84A58B"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543CC838" w14:textId="57B9F701" w:rsidTr="000632BA">
        <w:trPr>
          <w:trHeight w:val="300"/>
        </w:trPr>
        <w:tc>
          <w:tcPr>
            <w:tcW w:w="849" w:type="dxa"/>
            <w:noWrap/>
            <w:vAlign w:val="center"/>
            <w:hideMark/>
          </w:tcPr>
          <w:p w14:paraId="2DBD99FA"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ZC3H18</w:t>
            </w:r>
          </w:p>
        </w:tc>
        <w:tc>
          <w:tcPr>
            <w:tcW w:w="1941" w:type="dxa"/>
            <w:noWrap/>
            <w:vAlign w:val="center"/>
            <w:hideMark/>
          </w:tcPr>
          <w:p w14:paraId="5DC8D6F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binding protein</w:t>
            </w:r>
          </w:p>
        </w:tc>
        <w:tc>
          <w:tcPr>
            <w:tcW w:w="2415" w:type="dxa"/>
            <w:noWrap/>
            <w:vAlign w:val="center"/>
            <w:hideMark/>
          </w:tcPr>
          <w:p w14:paraId="7CEBEF6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mRNA export</w:t>
            </w:r>
          </w:p>
        </w:tc>
        <w:tc>
          <w:tcPr>
            <w:tcW w:w="2880" w:type="dxa"/>
            <w:noWrap/>
            <w:vAlign w:val="center"/>
            <w:hideMark/>
          </w:tcPr>
          <w:p w14:paraId="024C910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Intellectual disability (human)</w:t>
            </w:r>
          </w:p>
        </w:tc>
        <w:tc>
          <w:tcPr>
            <w:tcW w:w="1710" w:type="dxa"/>
            <w:noWrap/>
            <w:vAlign w:val="center"/>
            <w:hideMark/>
          </w:tcPr>
          <w:p w14:paraId="4E63583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processing / nuclear export</w:t>
            </w:r>
          </w:p>
        </w:tc>
        <w:tc>
          <w:tcPr>
            <w:tcW w:w="3960" w:type="dxa"/>
            <w:vAlign w:val="center"/>
          </w:tcPr>
          <w:p w14:paraId="5DF9B9B6" w14:textId="1DCF756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1445B450" w14:textId="3AD6C056"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4BC2AC26" w14:textId="51231776" w:rsidTr="000632BA">
        <w:trPr>
          <w:trHeight w:val="300"/>
        </w:trPr>
        <w:tc>
          <w:tcPr>
            <w:tcW w:w="849" w:type="dxa"/>
            <w:noWrap/>
            <w:vAlign w:val="center"/>
            <w:hideMark/>
          </w:tcPr>
          <w:p w14:paraId="3AD9F5B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ZFPM1</w:t>
            </w:r>
          </w:p>
        </w:tc>
        <w:tc>
          <w:tcPr>
            <w:tcW w:w="1941" w:type="dxa"/>
            <w:noWrap/>
            <w:vAlign w:val="center"/>
            <w:hideMark/>
          </w:tcPr>
          <w:p w14:paraId="56B36FF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 cofactor (GATA1 interaction)</w:t>
            </w:r>
          </w:p>
        </w:tc>
        <w:tc>
          <w:tcPr>
            <w:tcW w:w="2415" w:type="dxa"/>
            <w:noWrap/>
            <w:vAlign w:val="center"/>
            <w:hideMark/>
          </w:tcPr>
          <w:p w14:paraId="3CDB9A2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Hematopoiesis</w:t>
            </w:r>
          </w:p>
        </w:tc>
        <w:tc>
          <w:tcPr>
            <w:tcW w:w="2880" w:type="dxa"/>
            <w:noWrap/>
            <w:vAlign w:val="center"/>
            <w:hideMark/>
          </w:tcPr>
          <w:p w14:paraId="4FB54C7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Erythroid dysplasia (human/mouse)</w:t>
            </w:r>
          </w:p>
        </w:tc>
        <w:tc>
          <w:tcPr>
            <w:tcW w:w="1710" w:type="dxa"/>
            <w:noWrap/>
            <w:vAlign w:val="center"/>
            <w:hideMark/>
          </w:tcPr>
          <w:p w14:paraId="7944497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Hematopoiesis</w:t>
            </w:r>
          </w:p>
        </w:tc>
        <w:tc>
          <w:tcPr>
            <w:tcW w:w="3960" w:type="dxa"/>
            <w:vAlign w:val="center"/>
          </w:tcPr>
          <w:p w14:paraId="1E3667F3" w14:textId="5B9D82A0"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4A47DEC3" w14:textId="44A916BB"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34E868BA" w14:textId="4239B0F6" w:rsidTr="000632BA">
        <w:trPr>
          <w:trHeight w:val="300"/>
        </w:trPr>
        <w:tc>
          <w:tcPr>
            <w:tcW w:w="849" w:type="dxa"/>
            <w:noWrap/>
            <w:vAlign w:val="center"/>
            <w:hideMark/>
          </w:tcPr>
          <w:p w14:paraId="065312E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lastRenderedPageBreak/>
              <w:t>ZNF469</w:t>
            </w:r>
          </w:p>
        </w:tc>
        <w:tc>
          <w:tcPr>
            <w:tcW w:w="1941" w:type="dxa"/>
            <w:noWrap/>
            <w:vAlign w:val="center"/>
            <w:hideMark/>
          </w:tcPr>
          <w:p w14:paraId="3C08433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Collagen regulation</w:t>
            </w:r>
          </w:p>
        </w:tc>
        <w:tc>
          <w:tcPr>
            <w:tcW w:w="2415" w:type="dxa"/>
            <w:noWrap/>
            <w:vAlign w:val="center"/>
            <w:hideMark/>
          </w:tcPr>
          <w:p w14:paraId="24076A0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Extracellular matrix organization</w:t>
            </w:r>
          </w:p>
        </w:tc>
        <w:tc>
          <w:tcPr>
            <w:tcW w:w="2880" w:type="dxa"/>
            <w:noWrap/>
            <w:vAlign w:val="center"/>
            <w:hideMark/>
          </w:tcPr>
          <w:p w14:paraId="4B7B483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Corneal fragility (Ehlers-Danlos syndrome, human)</w:t>
            </w:r>
          </w:p>
        </w:tc>
        <w:tc>
          <w:tcPr>
            <w:tcW w:w="1710" w:type="dxa"/>
            <w:noWrap/>
            <w:vAlign w:val="center"/>
            <w:hideMark/>
          </w:tcPr>
          <w:p w14:paraId="538F20C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ECM / tissue integrity</w:t>
            </w:r>
          </w:p>
        </w:tc>
        <w:tc>
          <w:tcPr>
            <w:tcW w:w="3960" w:type="dxa"/>
            <w:vAlign w:val="center"/>
          </w:tcPr>
          <w:p w14:paraId="04D445FA" w14:textId="25D9DF46"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Caspian, Morgan, QuarterHorse, Welsh</w:t>
            </w:r>
          </w:p>
        </w:tc>
        <w:tc>
          <w:tcPr>
            <w:tcW w:w="1170" w:type="dxa"/>
            <w:vAlign w:val="center"/>
          </w:tcPr>
          <w:p w14:paraId="3A46AA34" w14:textId="3257440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5</w:t>
            </w:r>
          </w:p>
        </w:tc>
      </w:tr>
      <w:tr w:rsidR="006D0E76" w:rsidRPr="004D24EB" w14:paraId="5B1F02CA" w14:textId="43FC68C1" w:rsidTr="000632BA">
        <w:trPr>
          <w:trHeight w:val="300"/>
        </w:trPr>
        <w:tc>
          <w:tcPr>
            <w:tcW w:w="849" w:type="dxa"/>
            <w:noWrap/>
            <w:vAlign w:val="center"/>
            <w:hideMark/>
          </w:tcPr>
          <w:p w14:paraId="53066E87"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CA5A</w:t>
            </w:r>
          </w:p>
        </w:tc>
        <w:tc>
          <w:tcPr>
            <w:tcW w:w="1941" w:type="dxa"/>
            <w:noWrap/>
            <w:vAlign w:val="center"/>
            <w:hideMark/>
          </w:tcPr>
          <w:p w14:paraId="38CB0B6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Carbonic anhydrase (mitochondrial)</w:t>
            </w:r>
          </w:p>
        </w:tc>
        <w:tc>
          <w:tcPr>
            <w:tcW w:w="2415" w:type="dxa"/>
            <w:noWrap/>
            <w:vAlign w:val="center"/>
            <w:hideMark/>
          </w:tcPr>
          <w:p w14:paraId="608170D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pH regulation, gluconeogenesis</w:t>
            </w:r>
          </w:p>
        </w:tc>
        <w:tc>
          <w:tcPr>
            <w:tcW w:w="2880" w:type="dxa"/>
            <w:noWrap/>
            <w:vAlign w:val="center"/>
            <w:hideMark/>
          </w:tcPr>
          <w:p w14:paraId="60D3D78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3A01336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Metabolism / pH regulation</w:t>
            </w:r>
          </w:p>
        </w:tc>
        <w:tc>
          <w:tcPr>
            <w:tcW w:w="3960" w:type="dxa"/>
            <w:vAlign w:val="center"/>
          </w:tcPr>
          <w:p w14:paraId="68A4C140" w14:textId="58D92126"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Morgan, QuarterHorse, Welsh</w:t>
            </w:r>
          </w:p>
        </w:tc>
        <w:tc>
          <w:tcPr>
            <w:tcW w:w="1170" w:type="dxa"/>
            <w:vAlign w:val="center"/>
          </w:tcPr>
          <w:p w14:paraId="454B821D" w14:textId="1CD98486"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4</w:t>
            </w:r>
          </w:p>
        </w:tc>
      </w:tr>
      <w:tr w:rsidR="006D0E76" w:rsidRPr="004D24EB" w14:paraId="79D6B692" w14:textId="7CCB6FBE" w:rsidTr="000632BA">
        <w:trPr>
          <w:trHeight w:val="300"/>
        </w:trPr>
        <w:tc>
          <w:tcPr>
            <w:tcW w:w="849" w:type="dxa"/>
            <w:noWrap/>
            <w:vAlign w:val="center"/>
            <w:hideMark/>
          </w:tcPr>
          <w:p w14:paraId="4FBAD49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SLC7A5</w:t>
            </w:r>
          </w:p>
        </w:tc>
        <w:tc>
          <w:tcPr>
            <w:tcW w:w="1941" w:type="dxa"/>
            <w:noWrap/>
            <w:vAlign w:val="center"/>
            <w:hideMark/>
          </w:tcPr>
          <w:p w14:paraId="4D79F96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Amino acid transporter (LAT1)</w:t>
            </w:r>
          </w:p>
        </w:tc>
        <w:tc>
          <w:tcPr>
            <w:tcW w:w="2415" w:type="dxa"/>
            <w:noWrap/>
            <w:vAlign w:val="center"/>
            <w:hideMark/>
          </w:tcPr>
          <w:p w14:paraId="5B618A6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Nutrient uptake</w:t>
            </w:r>
          </w:p>
        </w:tc>
        <w:tc>
          <w:tcPr>
            <w:tcW w:w="2880" w:type="dxa"/>
            <w:noWrap/>
            <w:vAlign w:val="center"/>
            <w:hideMark/>
          </w:tcPr>
          <w:p w14:paraId="4807952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Cancer metabolism (human)</w:t>
            </w:r>
          </w:p>
        </w:tc>
        <w:tc>
          <w:tcPr>
            <w:tcW w:w="1710" w:type="dxa"/>
            <w:noWrap/>
            <w:vAlign w:val="center"/>
            <w:hideMark/>
          </w:tcPr>
          <w:p w14:paraId="65F16C5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Transport / metabolism</w:t>
            </w:r>
          </w:p>
        </w:tc>
        <w:tc>
          <w:tcPr>
            <w:tcW w:w="3960" w:type="dxa"/>
            <w:vAlign w:val="center"/>
          </w:tcPr>
          <w:p w14:paraId="122096AB" w14:textId="5FBDDAB9"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Morgan, QuarterHorse, Welsh</w:t>
            </w:r>
          </w:p>
        </w:tc>
        <w:tc>
          <w:tcPr>
            <w:tcW w:w="1170" w:type="dxa"/>
            <w:vAlign w:val="center"/>
          </w:tcPr>
          <w:p w14:paraId="238ACABB" w14:textId="117CE77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4</w:t>
            </w:r>
          </w:p>
        </w:tc>
      </w:tr>
      <w:tr w:rsidR="006D0E76" w:rsidRPr="004D24EB" w14:paraId="7EA18949" w14:textId="1E902168" w:rsidTr="000632BA">
        <w:trPr>
          <w:trHeight w:val="300"/>
        </w:trPr>
        <w:tc>
          <w:tcPr>
            <w:tcW w:w="849" w:type="dxa"/>
            <w:noWrap/>
            <w:vAlign w:val="center"/>
            <w:hideMark/>
          </w:tcPr>
          <w:p w14:paraId="3D27053C"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CCDC126</w:t>
            </w:r>
          </w:p>
        </w:tc>
        <w:tc>
          <w:tcPr>
            <w:tcW w:w="1941" w:type="dxa"/>
            <w:noWrap/>
            <w:vAlign w:val="center"/>
            <w:hideMark/>
          </w:tcPr>
          <w:p w14:paraId="1D00B4E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Coiled-coil domain protein</w:t>
            </w:r>
          </w:p>
        </w:tc>
        <w:tc>
          <w:tcPr>
            <w:tcW w:w="2415" w:type="dxa"/>
            <w:noWrap/>
            <w:vAlign w:val="center"/>
            <w:hideMark/>
          </w:tcPr>
          <w:p w14:paraId="3F29B1A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Cilia function</w:t>
            </w:r>
          </w:p>
        </w:tc>
        <w:tc>
          <w:tcPr>
            <w:tcW w:w="2880" w:type="dxa"/>
            <w:noWrap/>
            <w:vAlign w:val="center"/>
            <w:hideMark/>
          </w:tcPr>
          <w:p w14:paraId="3D9221E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2A2C400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Cilia</w:t>
            </w:r>
          </w:p>
        </w:tc>
        <w:tc>
          <w:tcPr>
            <w:tcW w:w="3960" w:type="dxa"/>
            <w:vAlign w:val="center"/>
          </w:tcPr>
          <w:p w14:paraId="5DD51F52" w14:textId="7FC793AB"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1A5E5279" w14:textId="2678FB1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31ECC24F" w14:textId="2F8EAE92" w:rsidTr="000632BA">
        <w:trPr>
          <w:trHeight w:val="300"/>
        </w:trPr>
        <w:tc>
          <w:tcPr>
            <w:tcW w:w="849" w:type="dxa"/>
            <w:noWrap/>
            <w:vAlign w:val="center"/>
            <w:hideMark/>
          </w:tcPr>
          <w:p w14:paraId="161CA491"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FAM221A</w:t>
            </w:r>
          </w:p>
        </w:tc>
        <w:tc>
          <w:tcPr>
            <w:tcW w:w="1941" w:type="dxa"/>
            <w:noWrap/>
            <w:vAlign w:val="center"/>
            <w:hideMark/>
          </w:tcPr>
          <w:p w14:paraId="63E209A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Unknown (predicted: signaling/structural)</w:t>
            </w:r>
          </w:p>
        </w:tc>
        <w:tc>
          <w:tcPr>
            <w:tcW w:w="2415" w:type="dxa"/>
            <w:noWrap/>
            <w:vAlign w:val="center"/>
            <w:hideMark/>
          </w:tcPr>
          <w:p w14:paraId="7198D6E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adhesion / intracellular transport</w:t>
            </w:r>
          </w:p>
        </w:tc>
        <w:tc>
          <w:tcPr>
            <w:tcW w:w="2880" w:type="dxa"/>
            <w:noWrap/>
            <w:vAlign w:val="center"/>
            <w:hideMark/>
          </w:tcPr>
          <w:p w14:paraId="0F79659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Potential cancer biomarker</w:t>
            </w:r>
          </w:p>
        </w:tc>
        <w:tc>
          <w:tcPr>
            <w:tcW w:w="1710" w:type="dxa"/>
            <w:noWrap/>
            <w:vAlign w:val="center"/>
            <w:hideMark/>
          </w:tcPr>
          <w:p w14:paraId="3F3A12B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Cell adhesion / signaling</w:t>
            </w:r>
          </w:p>
        </w:tc>
        <w:tc>
          <w:tcPr>
            <w:tcW w:w="3960" w:type="dxa"/>
            <w:vAlign w:val="center"/>
          </w:tcPr>
          <w:p w14:paraId="551B2FDD" w14:textId="0A4641E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0FCBDCE0" w14:textId="445B27D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1FA7A35F" w14:textId="1AE53BF1" w:rsidTr="000632BA">
        <w:trPr>
          <w:trHeight w:val="300"/>
        </w:trPr>
        <w:tc>
          <w:tcPr>
            <w:tcW w:w="849" w:type="dxa"/>
            <w:noWrap/>
            <w:vAlign w:val="center"/>
            <w:hideMark/>
          </w:tcPr>
          <w:p w14:paraId="62E723A5"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GPNMB</w:t>
            </w:r>
          </w:p>
        </w:tc>
        <w:tc>
          <w:tcPr>
            <w:tcW w:w="1941" w:type="dxa"/>
            <w:noWrap/>
            <w:vAlign w:val="center"/>
            <w:hideMark/>
          </w:tcPr>
          <w:p w14:paraId="584F4DB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Transmembrane glycoprotein</w:t>
            </w:r>
          </w:p>
        </w:tc>
        <w:tc>
          <w:tcPr>
            <w:tcW w:w="2415" w:type="dxa"/>
            <w:noWrap/>
            <w:vAlign w:val="center"/>
            <w:hideMark/>
          </w:tcPr>
          <w:p w14:paraId="7564C74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Melanogenesis, inflammation</w:t>
            </w:r>
          </w:p>
        </w:tc>
        <w:tc>
          <w:tcPr>
            <w:tcW w:w="2880" w:type="dxa"/>
            <w:noWrap/>
            <w:vAlign w:val="center"/>
            <w:hideMark/>
          </w:tcPr>
          <w:p w14:paraId="363E0DA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Melanoma susceptibility (horses/humans)</w:t>
            </w:r>
          </w:p>
        </w:tc>
        <w:tc>
          <w:tcPr>
            <w:tcW w:w="1710" w:type="dxa"/>
            <w:noWrap/>
            <w:vAlign w:val="center"/>
            <w:hideMark/>
          </w:tcPr>
          <w:p w14:paraId="059E296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Pigmentation / immunity</w:t>
            </w:r>
          </w:p>
        </w:tc>
        <w:tc>
          <w:tcPr>
            <w:tcW w:w="3960" w:type="dxa"/>
            <w:vAlign w:val="center"/>
          </w:tcPr>
          <w:p w14:paraId="453A7E4B" w14:textId="7815272B"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673959BA" w14:textId="5E8C8D50"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30BD1DDA" w14:textId="1E3411DC" w:rsidTr="000632BA">
        <w:trPr>
          <w:trHeight w:val="300"/>
        </w:trPr>
        <w:tc>
          <w:tcPr>
            <w:tcW w:w="849" w:type="dxa"/>
            <w:noWrap/>
            <w:vAlign w:val="center"/>
            <w:hideMark/>
          </w:tcPr>
          <w:p w14:paraId="7D33418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HYCC1</w:t>
            </w:r>
          </w:p>
        </w:tc>
        <w:tc>
          <w:tcPr>
            <w:tcW w:w="1941" w:type="dxa"/>
            <w:noWrap/>
            <w:vAlign w:val="center"/>
            <w:hideMark/>
          </w:tcPr>
          <w:p w14:paraId="32651BC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Hyccin (membrane protein)</w:t>
            </w:r>
          </w:p>
        </w:tc>
        <w:tc>
          <w:tcPr>
            <w:tcW w:w="2415" w:type="dxa"/>
            <w:noWrap/>
            <w:vAlign w:val="center"/>
            <w:hideMark/>
          </w:tcPr>
          <w:p w14:paraId="6BE85FD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White matter development</w:t>
            </w:r>
          </w:p>
        </w:tc>
        <w:tc>
          <w:tcPr>
            <w:tcW w:w="2880" w:type="dxa"/>
            <w:noWrap/>
            <w:vAlign w:val="center"/>
            <w:hideMark/>
          </w:tcPr>
          <w:p w14:paraId="4CB08E5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Hypomyelination (human)</w:t>
            </w:r>
          </w:p>
        </w:tc>
        <w:tc>
          <w:tcPr>
            <w:tcW w:w="1710" w:type="dxa"/>
            <w:noWrap/>
            <w:vAlign w:val="center"/>
            <w:hideMark/>
          </w:tcPr>
          <w:p w14:paraId="2C50BF0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Neural development</w:t>
            </w:r>
          </w:p>
        </w:tc>
        <w:tc>
          <w:tcPr>
            <w:tcW w:w="3960" w:type="dxa"/>
            <w:vAlign w:val="center"/>
          </w:tcPr>
          <w:p w14:paraId="128F2245" w14:textId="5116171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4E9DDDDE" w14:textId="5780D62C"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1BC0B914" w14:textId="1955694A" w:rsidTr="000632BA">
        <w:trPr>
          <w:trHeight w:val="300"/>
        </w:trPr>
        <w:tc>
          <w:tcPr>
            <w:tcW w:w="849" w:type="dxa"/>
            <w:noWrap/>
            <w:vAlign w:val="center"/>
            <w:hideMark/>
          </w:tcPr>
          <w:p w14:paraId="622EF169"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IGF2BP3</w:t>
            </w:r>
          </w:p>
        </w:tc>
        <w:tc>
          <w:tcPr>
            <w:tcW w:w="1941" w:type="dxa"/>
            <w:noWrap/>
            <w:vAlign w:val="center"/>
            <w:hideMark/>
          </w:tcPr>
          <w:p w14:paraId="3DF0325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RNA-binding protein</w:t>
            </w:r>
          </w:p>
        </w:tc>
        <w:tc>
          <w:tcPr>
            <w:tcW w:w="2415" w:type="dxa"/>
            <w:noWrap/>
            <w:vAlign w:val="center"/>
            <w:hideMark/>
          </w:tcPr>
          <w:p w14:paraId="42C834B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Fetal development, cancer</w:t>
            </w:r>
          </w:p>
        </w:tc>
        <w:tc>
          <w:tcPr>
            <w:tcW w:w="2880" w:type="dxa"/>
            <w:noWrap/>
            <w:vAlign w:val="center"/>
            <w:hideMark/>
          </w:tcPr>
          <w:p w14:paraId="159ADC5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Overexpressed in tumors (human)</w:t>
            </w:r>
          </w:p>
        </w:tc>
        <w:tc>
          <w:tcPr>
            <w:tcW w:w="1710" w:type="dxa"/>
            <w:noWrap/>
            <w:vAlign w:val="center"/>
            <w:hideMark/>
          </w:tcPr>
          <w:p w14:paraId="71030416"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Development / cancer</w:t>
            </w:r>
          </w:p>
        </w:tc>
        <w:tc>
          <w:tcPr>
            <w:tcW w:w="3960" w:type="dxa"/>
            <w:vAlign w:val="center"/>
          </w:tcPr>
          <w:p w14:paraId="7C6663EC" w14:textId="04A549C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7CB4F4FA" w14:textId="540B169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03151E76" w14:textId="45270465" w:rsidTr="000632BA">
        <w:trPr>
          <w:trHeight w:val="300"/>
        </w:trPr>
        <w:tc>
          <w:tcPr>
            <w:tcW w:w="849" w:type="dxa"/>
            <w:noWrap/>
            <w:vAlign w:val="center"/>
            <w:hideMark/>
          </w:tcPr>
          <w:p w14:paraId="4B88FC1F"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JPH3</w:t>
            </w:r>
          </w:p>
        </w:tc>
        <w:tc>
          <w:tcPr>
            <w:tcW w:w="1941" w:type="dxa"/>
            <w:noWrap/>
            <w:vAlign w:val="center"/>
            <w:hideMark/>
          </w:tcPr>
          <w:p w14:paraId="613D128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Junctophilin (calcium signaling)</w:t>
            </w:r>
          </w:p>
        </w:tc>
        <w:tc>
          <w:tcPr>
            <w:tcW w:w="2415" w:type="dxa"/>
            <w:noWrap/>
            <w:vAlign w:val="center"/>
            <w:hideMark/>
          </w:tcPr>
          <w:p w14:paraId="7EFC494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Excitation-contraction coupling</w:t>
            </w:r>
          </w:p>
        </w:tc>
        <w:tc>
          <w:tcPr>
            <w:tcW w:w="2880" w:type="dxa"/>
            <w:noWrap/>
            <w:vAlign w:val="center"/>
            <w:hideMark/>
          </w:tcPr>
          <w:p w14:paraId="2F95697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Huntington’s-like disease (human)</w:t>
            </w:r>
          </w:p>
        </w:tc>
        <w:tc>
          <w:tcPr>
            <w:tcW w:w="1710" w:type="dxa"/>
            <w:noWrap/>
            <w:vAlign w:val="center"/>
            <w:hideMark/>
          </w:tcPr>
          <w:p w14:paraId="11FBC72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Muscle / neural signaling</w:t>
            </w:r>
          </w:p>
        </w:tc>
        <w:tc>
          <w:tcPr>
            <w:tcW w:w="3960" w:type="dxa"/>
            <w:vAlign w:val="center"/>
          </w:tcPr>
          <w:p w14:paraId="473CAD44" w14:textId="486DFEB6"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Morgan, QuarterHorse</w:t>
            </w:r>
          </w:p>
        </w:tc>
        <w:tc>
          <w:tcPr>
            <w:tcW w:w="1170" w:type="dxa"/>
            <w:vAlign w:val="center"/>
          </w:tcPr>
          <w:p w14:paraId="04E06DFD" w14:textId="3ED168E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7B06205B" w14:textId="30E8277A" w:rsidTr="000632BA">
        <w:trPr>
          <w:trHeight w:val="300"/>
        </w:trPr>
        <w:tc>
          <w:tcPr>
            <w:tcW w:w="849" w:type="dxa"/>
            <w:noWrap/>
            <w:vAlign w:val="center"/>
            <w:hideMark/>
          </w:tcPr>
          <w:p w14:paraId="5C3E33D0"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KLHDC4</w:t>
            </w:r>
          </w:p>
        </w:tc>
        <w:tc>
          <w:tcPr>
            <w:tcW w:w="1941" w:type="dxa"/>
            <w:noWrap/>
            <w:vAlign w:val="center"/>
            <w:hideMark/>
          </w:tcPr>
          <w:p w14:paraId="59568D1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Kelch domain protein</w:t>
            </w:r>
          </w:p>
        </w:tc>
        <w:tc>
          <w:tcPr>
            <w:tcW w:w="2415" w:type="dxa"/>
            <w:noWrap/>
            <w:vAlign w:val="center"/>
            <w:hideMark/>
          </w:tcPr>
          <w:p w14:paraId="686F12E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Protein-protein interactions</w:t>
            </w:r>
          </w:p>
        </w:tc>
        <w:tc>
          <w:tcPr>
            <w:tcW w:w="2880" w:type="dxa"/>
            <w:noWrap/>
            <w:vAlign w:val="center"/>
            <w:hideMark/>
          </w:tcPr>
          <w:p w14:paraId="0836061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w:t>
            </w:r>
          </w:p>
        </w:tc>
        <w:tc>
          <w:tcPr>
            <w:tcW w:w="1710" w:type="dxa"/>
            <w:noWrap/>
            <w:vAlign w:val="center"/>
            <w:hideMark/>
          </w:tcPr>
          <w:p w14:paraId="1B933FD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interactions</w:t>
            </w:r>
          </w:p>
        </w:tc>
        <w:tc>
          <w:tcPr>
            <w:tcW w:w="3960" w:type="dxa"/>
            <w:vAlign w:val="center"/>
          </w:tcPr>
          <w:p w14:paraId="2B815B5C" w14:textId="02B154A3"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Belgian, Morgan, QuarterHorse</w:t>
            </w:r>
          </w:p>
        </w:tc>
        <w:tc>
          <w:tcPr>
            <w:tcW w:w="1170" w:type="dxa"/>
            <w:vAlign w:val="center"/>
          </w:tcPr>
          <w:p w14:paraId="553F3F5F" w14:textId="68089CF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1536ABD4" w14:textId="766F075C" w:rsidTr="000632BA">
        <w:trPr>
          <w:trHeight w:val="300"/>
        </w:trPr>
        <w:tc>
          <w:tcPr>
            <w:tcW w:w="849" w:type="dxa"/>
            <w:noWrap/>
            <w:vAlign w:val="center"/>
            <w:hideMark/>
          </w:tcPr>
          <w:p w14:paraId="351434C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KLHL7</w:t>
            </w:r>
          </w:p>
        </w:tc>
        <w:tc>
          <w:tcPr>
            <w:tcW w:w="1941" w:type="dxa"/>
            <w:noWrap/>
            <w:vAlign w:val="center"/>
            <w:hideMark/>
          </w:tcPr>
          <w:p w14:paraId="633A6C1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Ubiquitin ligase substrate adapter</w:t>
            </w:r>
          </w:p>
        </w:tc>
        <w:tc>
          <w:tcPr>
            <w:tcW w:w="2415" w:type="dxa"/>
            <w:noWrap/>
            <w:vAlign w:val="center"/>
            <w:hideMark/>
          </w:tcPr>
          <w:p w14:paraId="5352BE5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degradation</w:t>
            </w:r>
          </w:p>
        </w:tc>
        <w:tc>
          <w:tcPr>
            <w:tcW w:w="2880" w:type="dxa"/>
            <w:noWrap/>
            <w:vAlign w:val="center"/>
            <w:hideMark/>
          </w:tcPr>
          <w:p w14:paraId="285C408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Retinitis pigmentosa (human)</w:t>
            </w:r>
          </w:p>
        </w:tc>
        <w:tc>
          <w:tcPr>
            <w:tcW w:w="1710" w:type="dxa"/>
            <w:noWrap/>
            <w:vAlign w:val="center"/>
            <w:hideMark/>
          </w:tcPr>
          <w:p w14:paraId="76256F95"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Protein turnover</w:t>
            </w:r>
          </w:p>
        </w:tc>
        <w:tc>
          <w:tcPr>
            <w:tcW w:w="3960" w:type="dxa"/>
            <w:vAlign w:val="center"/>
          </w:tcPr>
          <w:p w14:paraId="72BEA827" w14:textId="2D7AD94C"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1C7A4B30" w14:textId="5CEF051C"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79235C1F" w14:textId="1AA3202B" w:rsidTr="000632BA">
        <w:trPr>
          <w:trHeight w:val="300"/>
        </w:trPr>
        <w:tc>
          <w:tcPr>
            <w:tcW w:w="849" w:type="dxa"/>
            <w:noWrap/>
            <w:vAlign w:val="center"/>
            <w:hideMark/>
          </w:tcPr>
          <w:p w14:paraId="6D6AB1DD"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MALSU1</w:t>
            </w:r>
          </w:p>
        </w:tc>
        <w:tc>
          <w:tcPr>
            <w:tcW w:w="1941" w:type="dxa"/>
            <w:noWrap/>
            <w:vAlign w:val="center"/>
            <w:hideMark/>
          </w:tcPr>
          <w:p w14:paraId="313660E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Mitochondrial ribosomal protein</w:t>
            </w:r>
          </w:p>
        </w:tc>
        <w:tc>
          <w:tcPr>
            <w:tcW w:w="2415" w:type="dxa"/>
            <w:noWrap/>
            <w:vAlign w:val="center"/>
            <w:hideMark/>
          </w:tcPr>
          <w:p w14:paraId="0E311E7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Oxidative phosphorylation</w:t>
            </w:r>
          </w:p>
        </w:tc>
        <w:tc>
          <w:tcPr>
            <w:tcW w:w="2880" w:type="dxa"/>
            <w:noWrap/>
            <w:vAlign w:val="center"/>
            <w:hideMark/>
          </w:tcPr>
          <w:p w14:paraId="0D6AA82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4FC2A43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Mitochondrial translation</w:t>
            </w:r>
          </w:p>
        </w:tc>
        <w:tc>
          <w:tcPr>
            <w:tcW w:w="3960" w:type="dxa"/>
            <w:vAlign w:val="center"/>
          </w:tcPr>
          <w:p w14:paraId="6AFD5973" w14:textId="58A3EE78"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7F15E024" w14:textId="24004FA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74D24657" w14:textId="0544D312" w:rsidTr="000632BA">
        <w:trPr>
          <w:trHeight w:val="300"/>
        </w:trPr>
        <w:tc>
          <w:tcPr>
            <w:tcW w:w="849" w:type="dxa"/>
            <w:noWrap/>
            <w:vAlign w:val="center"/>
            <w:hideMark/>
          </w:tcPr>
          <w:p w14:paraId="5C9218A8"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NPY</w:t>
            </w:r>
          </w:p>
        </w:tc>
        <w:tc>
          <w:tcPr>
            <w:tcW w:w="1941" w:type="dxa"/>
            <w:noWrap/>
            <w:vAlign w:val="center"/>
            <w:hideMark/>
          </w:tcPr>
          <w:p w14:paraId="6BC8C78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Neuropeptide Y</w:t>
            </w:r>
          </w:p>
        </w:tc>
        <w:tc>
          <w:tcPr>
            <w:tcW w:w="2415" w:type="dxa"/>
            <w:noWrap/>
            <w:vAlign w:val="center"/>
            <w:hideMark/>
          </w:tcPr>
          <w:p w14:paraId="109CB3A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Appetite regulation, stress response</w:t>
            </w:r>
          </w:p>
        </w:tc>
        <w:tc>
          <w:tcPr>
            <w:tcW w:w="2880" w:type="dxa"/>
            <w:noWrap/>
            <w:vAlign w:val="center"/>
            <w:hideMark/>
          </w:tcPr>
          <w:p w14:paraId="66A6086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Behavioral/metabolic traits</w:t>
            </w:r>
          </w:p>
        </w:tc>
        <w:tc>
          <w:tcPr>
            <w:tcW w:w="1710" w:type="dxa"/>
            <w:noWrap/>
            <w:vAlign w:val="center"/>
            <w:hideMark/>
          </w:tcPr>
          <w:p w14:paraId="0A9E453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Neural / metabolic</w:t>
            </w:r>
          </w:p>
        </w:tc>
        <w:tc>
          <w:tcPr>
            <w:tcW w:w="3960" w:type="dxa"/>
            <w:vAlign w:val="center"/>
          </w:tcPr>
          <w:p w14:paraId="64D79B9F" w14:textId="3AFBABC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3C62151C" w14:textId="63F8E3E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2D1A358B" w14:textId="19D09629" w:rsidTr="000632BA">
        <w:trPr>
          <w:trHeight w:val="300"/>
        </w:trPr>
        <w:tc>
          <w:tcPr>
            <w:tcW w:w="849" w:type="dxa"/>
            <w:noWrap/>
            <w:vAlign w:val="center"/>
            <w:hideMark/>
          </w:tcPr>
          <w:p w14:paraId="41E15F0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NUP42</w:t>
            </w:r>
          </w:p>
        </w:tc>
        <w:tc>
          <w:tcPr>
            <w:tcW w:w="1941" w:type="dxa"/>
            <w:noWrap/>
            <w:vAlign w:val="center"/>
            <w:hideMark/>
          </w:tcPr>
          <w:p w14:paraId="7E069CA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Nuclear pore complex protein</w:t>
            </w:r>
          </w:p>
        </w:tc>
        <w:tc>
          <w:tcPr>
            <w:tcW w:w="2415" w:type="dxa"/>
            <w:noWrap/>
            <w:vAlign w:val="center"/>
            <w:hideMark/>
          </w:tcPr>
          <w:p w14:paraId="5EB5879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Nucleocytoplasmic transport</w:t>
            </w:r>
          </w:p>
        </w:tc>
        <w:tc>
          <w:tcPr>
            <w:tcW w:w="2880" w:type="dxa"/>
            <w:noWrap/>
            <w:vAlign w:val="center"/>
            <w:hideMark/>
          </w:tcPr>
          <w:p w14:paraId="751F97A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w:t>
            </w:r>
          </w:p>
        </w:tc>
        <w:tc>
          <w:tcPr>
            <w:tcW w:w="1710" w:type="dxa"/>
            <w:noWrap/>
            <w:vAlign w:val="center"/>
            <w:hideMark/>
          </w:tcPr>
          <w:p w14:paraId="580AB04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Nuclear transport</w:t>
            </w:r>
          </w:p>
        </w:tc>
        <w:tc>
          <w:tcPr>
            <w:tcW w:w="3960" w:type="dxa"/>
            <w:vAlign w:val="center"/>
          </w:tcPr>
          <w:p w14:paraId="6A99FD92" w14:textId="5E4BF81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721D6534" w14:textId="237AA9FC"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05CEF950" w14:textId="6CC07293" w:rsidTr="000632BA">
        <w:trPr>
          <w:trHeight w:val="300"/>
        </w:trPr>
        <w:tc>
          <w:tcPr>
            <w:tcW w:w="849" w:type="dxa"/>
            <w:noWrap/>
            <w:vAlign w:val="center"/>
            <w:hideMark/>
          </w:tcPr>
          <w:p w14:paraId="6184D87B"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OR1M1</w:t>
            </w:r>
          </w:p>
        </w:tc>
        <w:tc>
          <w:tcPr>
            <w:tcW w:w="1941" w:type="dxa"/>
            <w:noWrap/>
            <w:vAlign w:val="center"/>
            <w:hideMark/>
          </w:tcPr>
          <w:p w14:paraId="4071CF5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Olfactory receptor</w:t>
            </w:r>
          </w:p>
        </w:tc>
        <w:tc>
          <w:tcPr>
            <w:tcW w:w="2415" w:type="dxa"/>
            <w:noWrap/>
            <w:vAlign w:val="center"/>
            <w:hideMark/>
          </w:tcPr>
          <w:p w14:paraId="692CCCB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Odor detection</w:t>
            </w:r>
          </w:p>
        </w:tc>
        <w:tc>
          <w:tcPr>
            <w:tcW w:w="2880" w:type="dxa"/>
            <w:noWrap/>
            <w:vAlign w:val="center"/>
            <w:hideMark/>
          </w:tcPr>
          <w:p w14:paraId="76B78A6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Breed-specific scent sensitivity</w:t>
            </w:r>
          </w:p>
        </w:tc>
        <w:tc>
          <w:tcPr>
            <w:tcW w:w="1710" w:type="dxa"/>
            <w:noWrap/>
            <w:vAlign w:val="center"/>
            <w:hideMark/>
          </w:tcPr>
          <w:p w14:paraId="7A46B65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Sensory / olfaction</w:t>
            </w:r>
          </w:p>
        </w:tc>
        <w:tc>
          <w:tcPr>
            <w:tcW w:w="3960" w:type="dxa"/>
            <w:vAlign w:val="center"/>
          </w:tcPr>
          <w:p w14:paraId="460A0A09" w14:textId="33D7F187"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2DF866D1" w14:textId="7E599EBB"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757F6E60" w14:textId="2D8D2BAE" w:rsidTr="000632BA">
        <w:trPr>
          <w:trHeight w:val="300"/>
        </w:trPr>
        <w:tc>
          <w:tcPr>
            <w:tcW w:w="849" w:type="dxa"/>
            <w:noWrap/>
            <w:vAlign w:val="center"/>
            <w:hideMark/>
          </w:tcPr>
          <w:p w14:paraId="703F1859"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OR7D2</w:t>
            </w:r>
          </w:p>
        </w:tc>
        <w:tc>
          <w:tcPr>
            <w:tcW w:w="1941" w:type="dxa"/>
            <w:noWrap/>
            <w:vAlign w:val="center"/>
            <w:hideMark/>
          </w:tcPr>
          <w:p w14:paraId="3F96079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Olfactory receptor</w:t>
            </w:r>
          </w:p>
        </w:tc>
        <w:tc>
          <w:tcPr>
            <w:tcW w:w="2415" w:type="dxa"/>
            <w:noWrap/>
            <w:vAlign w:val="center"/>
            <w:hideMark/>
          </w:tcPr>
          <w:p w14:paraId="79AD1B9E"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Pheromone detection</w:t>
            </w:r>
          </w:p>
        </w:tc>
        <w:tc>
          <w:tcPr>
            <w:tcW w:w="2880" w:type="dxa"/>
            <w:noWrap/>
            <w:vAlign w:val="center"/>
            <w:hideMark/>
          </w:tcPr>
          <w:p w14:paraId="0109635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Breed-specific olfaction</w:t>
            </w:r>
          </w:p>
        </w:tc>
        <w:tc>
          <w:tcPr>
            <w:tcW w:w="1710" w:type="dxa"/>
            <w:noWrap/>
            <w:vAlign w:val="center"/>
            <w:hideMark/>
          </w:tcPr>
          <w:p w14:paraId="60353D5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Sensory / olfaction</w:t>
            </w:r>
          </w:p>
        </w:tc>
        <w:tc>
          <w:tcPr>
            <w:tcW w:w="3960" w:type="dxa"/>
            <w:vAlign w:val="center"/>
          </w:tcPr>
          <w:p w14:paraId="6A626A12" w14:textId="4F2B7234"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1BD17E31" w14:textId="50C921E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63E294AD" w14:textId="4EE2D852" w:rsidTr="000632BA">
        <w:trPr>
          <w:trHeight w:val="300"/>
        </w:trPr>
        <w:tc>
          <w:tcPr>
            <w:tcW w:w="849" w:type="dxa"/>
            <w:noWrap/>
            <w:vAlign w:val="center"/>
            <w:hideMark/>
          </w:tcPr>
          <w:p w14:paraId="34BA4586"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OR7D20</w:t>
            </w:r>
          </w:p>
        </w:tc>
        <w:tc>
          <w:tcPr>
            <w:tcW w:w="1941" w:type="dxa"/>
            <w:noWrap/>
            <w:vAlign w:val="center"/>
            <w:hideMark/>
          </w:tcPr>
          <w:p w14:paraId="6909E7D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Olfactory receptor</w:t>
            </w:r>
          </w:p>
        </w:tc>
        <w:tc>
          <w:tcPr>
            <w:tcW w:w="2415" w:type="dxa"/>
            <w:noWrap/>
            <w:vAlign w:val="center"/>
            <w:hideMark/>
          </w:tcPr>
          <w:p w14:paraId="3C100BD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Chemosensation</w:t>
            </w:r>
          </w:p>
        </w:tc>
        <w:tc>
          <w:tcPr>
            <w:tcW w:w="2880" w:type="dxa"/>
            <w:noWrap/>
            <w:vAlign w:val="center"/>
            <w:hideMark/>
          </w:tcPr>
          <w:p w14:paraId="4EA3A7D9"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equine data</w:t>
            </w:r>
          </w:p>
        </w:tc>
        <w:tc>
          <w:tcPr>
            <w:tcW w:w="1710" w:type="dxa"/>
            <w:noWrap/>
            <w:vAlign w:val="center"/>
            <w:hideMark/>
          </w:tcPr>
          <w:p w14:paraId="776B211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Sensory / olfaction</w:t>
            </w:r>
          </w:p>
        </w:tc>
        <w:tc>
          <w:tcPr>
            <w:tcW w:w="3960" w:type="dxa"/>
            <w:vAlign w:val="center"/>
          </w:tcPr>
          <w:p w14:paraId="08631F20" w14:textId="4F26CC7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6F91964E" w14:textId="1E8010B6"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1E44BC5B" w14:textId="3F402A58" w:rsidTr="000632BA">
        <w:trPr>
          <w:trHeight w:val="300"/>
        </w:trPr>
        <w:tc>
          <w:tcPr>
            <w:tcW w:w="849" w:type="dxa"/>
            <w:noWrap/>
            <w:vAlign w:val="center"/>
            <w:hideMark/>
          </w:tcPr>
          <w:p w14:paraId="066E98C7"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OR7E220</w:t>
            </w:r>
          </w:p>
        </w:tc>
        <w:tc>
          <w:tcPr>
            <w:tcW w:w="1941" w:type="dxa"/>
            <w:noWrap/>
            <w:vAlign w:val="center"/>
            <w:hideMark/>
          </w:tcPr>
          <w:p w14:paraId="5BE7BB4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Olfactory receptor</w:t>
            </w:r>
          </w:p>
        </w:tc>
        <w:tc>
          <w:tcPr>
            <w:tcW w:w="2415" w:type="dxa"/>
            <w:noWrap/>
            <w:vAlign w:val="center"/>
            <w:hideMark/>
          </w:tcPr>
          <w:p w14:paraId="6409248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Chemosensation</w:t>
            </w:r>
          </w:p>
        </w:tc>
        <w:tc>
          <w:tcPr>
            <w:tcW w:w="2880" w:type="dxa"/>
            <w:noWrap/>
            <w:vAlign w:val="center"/>
            <w:hideMark/>
          </w:tcPr>
          <w:p w14:paraId="4DCA5728"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equine data</w:t>
            </w:r>
          </w:p>
        </w:tc>
        <w:tc>
          <w:tcPr>
            <w:tcW w:w="1710" w:type="dxa"/>
            <w:noWrap/>
            <w:vAlign w:val="center"/>
            <w:hideMark/>
          </w:tcPr>
          <w:p w14:paraId="667E81C1"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Sensory / olfaction</w:t>
            </w:r>
          </w:p>
        </w:tc>
        <w:tc>
          <w:tcPr>
            <w:tcW w:w="3960" w:type="dxa"/>
            <w:vAlign w:val="center"/>
          </w:tcPr>
          <w:p w14:paraId="6BDCE98F" w14:textId="320DD129"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1BA53D20" w14:textId="571DF0D4"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7A2BA682" w14:textId="2D26AF38" w:rsidTr="000632BA">
        <w:trPr>
          <w:trHeight w:val="300"/>
        </w:trPr>
        <w:tc>
          <w:tcPr>
            <w:tcW w:w="849" w:type="dxa"/>
            <w:noWrap/>
            <w:vAlign w:val="center"/>
            <w:hideMark/>
          </w:tcPr>
          <w:p w14:paraId="4DFAB078"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OR7H3</w:t>
            </w:r>
          </w:p>
        </w:tc>
        <w:tc>
          <w:tcPr>
            <w:tcW w:w="1941" w:type="dxa"/>
            <w:noWrap/>
            <w:vAlign w:val="center"/>
            <w:hideMark/>
          </w:tcPr>
          <w:p w14:paraId="2550DB64"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Olfactory receptor</w:t>
            </w:r>
          </w:p>
        </w:tc>
        <w:tc>
          <w:tcPr>
            <w:tcW w:w="2415" w:type="dxa"/>
            <w:noWrap/>
            <w:vAlign w:val="center"/>
            <w:hideMark/>
          </w:tcPr>
          <w:p w14:paraId="29FD3F1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Chemosensation</w:t>
            </w:r>
          </w:p>
        </w:tc>
        <w:tc>
          <w:tcPr>
            <w:tcW w:w="2880" w:type="dxa"/>
            <w:noWrap/>
            <w:vAlign w:val="center"/>
            <w:hideMark/>
          </w:tcPr>
          <w:p w14:paraId="736AB5F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 equine data</w:t>
            </w:r>
          </w:p>
        </w:tc>
        <w:tc>
          <w:tcPr>
            <w:tcW w:w="1710" w:type="dxa"/>
            <w:noWrap/>
            <w:vAlign w:val="center"/>
            <w:hideMark/>
          </w:tcPr>
          <w:p w14:paraId="5FD49A2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Sensory / olfaction</w:t>
            </w:r>
          </w:p>
        </w:tc>
        <w:tc>
          <w:tcPr>
            <w:tcW w:w="3960" w:type="dxa"/>
            <w:vAlign w:val="center"/>
          </w:tcPr>
          <w:p w14:paraId="2E4D1FC9" w14:textId="32ACD42D"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401CD2D5" w14:textId="2B54900D"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453A9185" w14:textId="2CD106E7" w:rsidTr="000632BA">
        <w:trPr>
          <w:trHeight w:val="300"/>
        </w:trPr>
        <w:tc>
          <w:tcPr>
            <w:tcW w:w="849" w:type="dxa"/>
            <w:noWrap/>
            <w:vAlign w:val="center"/>
            <w:hideMark/>
          </w:tcPr>
          <w:p w14:paraId="779FB439"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STK31</w:t>
            </w:r>
          </w:p>
        </w:tc>
        <w:tc>
          <w:tcPr>
            <w:tcW w:w="1941" w:type="dxa"/>
            <w:noWrap/>
            <w:vAlign w:val="center"/>
            <w:hideMark/>
          </w:tcPr>
          <w:p w14:paraId="44D1D73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Serine/threonine kinase</w:t>
            </w:r>
          </w:p>
        </w:tc>
        <w:tc>
          <w:tcPr>
            <w:tcW w:w="2415" w:type="dxa"/>
            <w:noWrap/>
            <w:vAlign w:val="center"/>
            <w:hideMark/>
          </w:tcPr>
          <w:p w14:paraId="413ADB4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Germ cell development</w:t>
            </w:r>
          </w:p>
        </w:tc>
        <w:tc>
          <w:tcPr>
            <w:tcW w:w="2880" w:type="dxa"/>
            <w:noWrap/>
            <w:vAlign w:val="center"/>
            <w:hideMark/>
          </w:tcPr>
          <w:p w14:paraId="09FA513D"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Cancer/testis antigen (human)</w:t>
            </w:r>
          </w:p>
        </w:tc>
        <w:tc>
          <w:tcPr>
            <w:tcW w:w="1710" w:type="dxa"/>
            <w:noWrap/>
            <w:vAlign w:val="center"/>
            <w:hideMark/>
          </w:tcPr>
          <w:p w14:paraId="630B57F7"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Reproduction / cancer</w:t>
            </w:r>
          </w:p>
        </w:tc>
        <w:tc>
          <w:tcPr>
            <w:tcW w:w="3960" w:type="dxa"/>
            <w:vAlign w:val="center"/>
          </w:tcPr>
          <w:p w14:paraId="45F059C2" w14:textId="6627040F"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6A02975E" w14:textId="01D39C47"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0CF00259" w14:textId="0075EDFC" w:rsidTr="000632BA">
        <w:trPr>
          <w:trHeight w:val="300"/>
        </w:trPr>
        <w:tc>
          <w:tcPr>
            <w:tcW w:w="849" w:type="dxa"/>
            <w:noWrap/>
            <w:vAlign w:val="center"/>
            <w:hideMark/>
          </w:tcPr>
          <w:p w14:paraId="72ED7FA5"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TRA2A</w:t>
            </w:r>
          </w:p>
        </w:tc>
        <w:tc>
          <w:tcPr>
            <w:tcW w:w="1941" w:type="dxa"/>
            <w:noWrap/>
            <w:vAlign w:val="center"/>
            <w:hideMark/>
          </w:tcPr>
          <w:p w14:paraId="1C46BF1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splicing factor</w:t>
            </w:r>
          </w:p>
        </w:tc>
        <w:tc>
          <w:tcPr>
            <w:tcW w:w="2415" w:type="dxa"/>
            <w:noWrap/>
            <w:vAlign w:val="center"/>
            <w:hideMark/>
          </w:tcPr>
          <w:p w14:paraId="611DFA1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Alternative splicing</w:t>
            </w:r>
          </w:p>
        </w:tc>
        <w:tc>
          <w:tcPr>
            <w:tcW w:w="2880" w:type="dxa"/>
            <w:noWrap/>
            <w:vAlign w:val="center"/>
            <w:hideMark/>
          </w:tcPr>
          <w:p w14:paraId="5611618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 in horses</w:t>
            </w:r>
          </w:p>
        </w:tc>
        <w:tc>
          <w:tcPr>
            <w:tcW w:w="1710" w:type="dxa"/>
            <w:noWrap/>
            <w:vAlign w:val="center"/>
            <w:hideMark/>
          </w:tcPr>
          <w:p w14:paraId="73D6A7CB"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RNA processing</w:t>
            </w:r>
          </w:p>
        </w:tc>
        <w:tc>
          <w:tcPr>
            <w:tcW w:w="3960" w:type="dxa"/>
            <w:vAlign w:val="center"/>
          </w:tcPr>
          <w:p w14:paraId="74847512" w14:textId="2E1F07B1"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Kurdish, PerArabian, Turkemen</w:t>
            </w:r>
          </w:p>
        </w:tc>
        <w:tc>
          <w:tcPr>
            <w:tcW w:w="1170" w:type="dxa"/>
            <w:vAlign w:val="center"/>
          </w:tcPr>
          <w:p w14:paraId="47378130" w14:textId="7776D81B"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617DABA5" w14:textId="3763E176" w:rsidTr="000632BA">
        <w:trPr>
          <w:trHeight w:val="300"/>
        </w:trPr>
        <w:tc>
          <w:tcPr>
            <w:tcW w:w="849" w:type="dxa"/>
            <w:noWrap/>
            <w:vAlign w:val="center"/>
            <w:hideMark/>
          </w:tcPr>
          <w:p w14:paraId="6E96BD83"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ZNF317</w:t>
            </w:r>
          </w:p>
        </w:tc>
        <w:tc>
          <w:tcPr>
            <w:tcW w:w="1941" w:type="dxa"/>
            <w:noWrap/>
            <w:vAlign w:val="center"/>
            <w:hideMark/>
          </w:tcPr>
          <w:p w14:paraId="27F138B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Zinc finger transcription factor</w:t>
            </w:r>
          </w:p>
        </w:tc>
        <w:tc>
          <w:tcPr>
            <w:tcW w:w="2415" w:type="dxa"/>
            <w:noWrap/>
            <w:vAlign w:val="center"/>
            <w:hideMark/>
          </w:tcPr>
          <w:p w14:paraId="6C1A5EB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Gene silencing</w:t>
            </w:r>
          </w:p>
        </w:tc>
        <w:tc>
          <w:tcPr>
            <w:tcW w:w="2880" w:type="dxa"/>
            <w:noWrap/>
            <w:vAlign w:val="center"/>
            <w:hideMark/>
          </w:tcPr>
          <w:p w14:paraId="4AB1355A"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characterized in horses</w:t>
            </w:r>
          </w:p>
        </w:tc>
        <w:tc>
          <w:tcPr>
            <w:tcW w:w="1710" w:type="dxa"/>
            <w:noWrap/>
            <w:vAlign w:val="center"/>
            <w:hideMark/>
          </w:tcPr>
          <w:p w14:paraId="0B589CA2"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regulation</w:t>
            </w:r>
          </w:p>
        </w:tc>
        <w:tc>
          <w:tcPr>
            <w:tcW w:w="3960" w:type="dxa"/>
            <w:vAlign w:val="center"/>
          </w:tcPr>
          <w:p w14:paraId="528D95AB" w14:textId="254D8D9B"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0DCD34B3" w14:textId="2B3E2849"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r w:rsidR="006D0E76" w:rsidRPr="004D24EB" w14:paraId="32E83B75" w14:textId="146B7FC9" w:rsidTr="000632BA">
        <w:trPr>
          <w:trHeight w:val="300"/>
        </w:trPr>
        <w:tc>
          <w:tcPr>
            <w:tcW w:w="849" w:type="dxa"/>
            <w:noWrap/>
            <w:vAlign w:val="center"/>
            <w:hideMark/>
          </w:tcPr>
          <w:p w14:paraId="2D2ECD02" w14:textId="77777777" w:rsidR="006D0E76" w:rsidRPr="004F6248" w:rsidRDefault="006D0E76" w:rsidP="006D0E76">
            <w:pPr>
              <w:jc w:val="cente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ZNF699</w:t>
            </w:r>
          </w:p>
        </w:tc>
        <w:tc>
          <w:tcPr>
            <w:tcW w:w="1941" w:type="dxa"/>
            <w:noWrap/>
            <w:vAlign w:val="center"/>
            <w:hideMark/>
          </w:tcPr>
          <w:p w14:paraId="777B8710"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Zinc finger transcription factor</w:t>
            </w:r>
          </w:p>
        </w:tc>
        <w:tc>
          <w:tcPr>
            <w:tcW w:w="2415" w:type="dxa"/>
            <w:noWrap/>
            <w:vAlign w:val="center"/>
            <w:hideMark/>
          </w:tcPr>
          <w:p w14:paraId="58F959A3"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Gene regulation</w:t>
            </w:r>
          </w:p>
        </w:tc>
        <w:tc>
          <w:tcPr>
            <w:tcW w:w="2880" w:type="dxa"/>
            <w:noWrap/>
            <w:vAlign w:val="center"/>
            <w:hideMark/>
          </w:tcPr>
          <w:p w14:paraId="70F0A08C"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Not well-studied</w:t>
            </w:r>
          </w:p>
        </w:tc>
        <w:tc>
          <w:tcPr>
            <w:tcW w:w="1710" w:type="dxa"/>
            <w:noWrap/>
            <w:vAlign w:val="center"/>
            <w:hideMark/>
          </w:tcPr>
          <w:p w14:paraId="5A4C0EFF" w14:textId="77777777" w:rsidR="006D0E76" w:rsidRPr="004F6248" w:rsidRDefault="006D0E76" w:rsidP="006D0E76">
            <w:pPr>
              <w:rPr>
                <w:rFonts w:asciiTheme="majorBidi" w:hAnsiTheme="majorBidi" w:cstheme="majorBidi"/>
                <w:b w:val="0"/>
                <w:bCs w:val="0"/>
                <w:color w:val="000000" w:themeColor="text1"/>
                <w:sz w:val="14"/>
                <w:szCs w:val="14"/>
                <w:lang w:bidi="fa-IR"/>
              </w:rPr>
            </w:pPr>
            <w:r w:rsidRPr="004F6248">
              <w:rPr>
                <w:rFonts w:asciiTheme="majorBidi" w:hAnsiTheme="majorBidi" w:cstheme="majorBidi"/>
                <w:b w:val="0"/>
                <w:bCs w:val="0"/>
                <w:color w:val="000000" w:themeColor="text1"/>
                <w:sz w:val="14"/>
                <w:szCs w:val="14"/>
                <w:lang w:bidi="fa-IR"/>
              </w:rPr>
              <w:t>Transcriptional regulation</w:t>
            </w:r>
          </w:p>
        </w:tc>
        <w:tc>
          <w:tcPr>
            <w:tcW w:w="3960" w:type="dxa"/>
            <w:vAlign w:val="center"/>
          </w:tcPr>
          <w:p w14:paraId="31EAB9ED" w14:textId="0A9C3C1C" w:rsidR="006D0E76" w:rsidRPr="006D0E76" w:rsidRDefault="006D0E76" w:rsidP="006D0E76">
            <w:pP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Arabian, Kurdish, Turkemen</w:t>
            </w:r>
          </w:p>
        </w:tc>
        <w:tc>
          <w:tcPr>
            <w:tcW w:w="1170" w:type="dxa"/>
            <w:vAlign w:val="center"/>
          </w:tcPr>
          <w:p w14:paraId="7B1203CE" w14:textId="26BAAB81" w:rsidR="006D0E76" w:rsidRPr="006D0E76" w:rsidRDefault="006D0E76" w:rsidP="006D0E76">
            <w:pPr>
              <w:jc w:val="center"/>
              <w:rPr>
                <w:rFonts w:asciiTheme="majorBidi" w:hAnsiTheme="majorBidi" w:cstheme="majorBidi"/>
                <w:b w:val="0"/>
                <w:bCs w:val="0"/>
                <w:color w:val="000000" w:themeColor="text1"/>
                <w:sz w:val="14"/>
                <w:szCs w:val="14"/>
                <w:lang w:bidi="fa-IR"/>
              </w:rPr>
            </w:pPr>
            <w:r w:rsidRPr="00415E51">
              <w:rPr>
                <w:rFonts w:asciiTheme="majorBidi" w:hAnsiTheme="majorBidi" w:cstheme="majorBidi"/>
                <w:b w:val="0"/>
                <w:bCs w:val="0"/>
                <w:color w:val="000000" w:themeColor="text1"/>
                <w:sz w:val="14"/>
                <w:szCs w:val="14"/>
                <w:lang w:bidi="fa-IR"/>
              </w:rPr>
              <w:t>3</w:t>
            </w:r>
          </w:p>
        </w:tc>
      </w:tr>
    </w:tbl>
    <w:p w14:paraId="123DC3C9" w14:textId="77777777" w:rsidR="004F6248" w:rsidRDefault="004F6248" w:rsidP="004F6248">
      <w:pPr>
        <w:spacing w:after="0" w:line="240" w:lineRule="auto"/>
        <w:jc w:val="both"/>
        <w:rPr>
          <w:rFonts w:ascii="Times New Roman" w:hAnsi="Times New Roman" w:cstheme="majorBidi"/>
          <w:sz w:val="20"/>
          <w:szCs w:val="20"/>
          <w:lang w:bidi="fa-IR"/>
        </w:rPr>
      </w:pPr>
    </w:p>
    <w:p w14:paraId="39CB0AE1" w14:textId="503684A3" w:rsidR="00064784" w:rsidRPr="00317A86" w:rsidRDefault="00317A86" w:rsidP="00317A86">
      <w:pPr>
        <w:spacing w:line="480" w:lineRule="auto"/>
        <w:jc w:val="both"/>
        <w:rPr>
          <w:rFonts w:asciiTheme="majorBidi" w:hAnsiTheme="majorBidi" w:cstheme="majorBidi"/>
        </w:rPr>
      </w:pPr>
      <w:r w:rsidRPr="00317A86">
        <w:rPr>
          <w:rFonts w:asciiTheme="majorBidi" w:hAnsiTheme="majorBidi" w:cstheme="majorBidi"/>
        </w:rPr>
        <w:lastRenderedPageBreak/>
        <w:t xml:space="preserve">For the 670K SNP array data, a total of 927 genes were identified within the top ROH islands across all breeds. Among these, 69 genes were found in ROH islands shared by at least three breeds, suggesting possible signatures of common selection or conserved biological functions. Corresponds to ROH islands identified from Additional file </w:t>
      </w:r>
      <w:r>
        <w:rPr>
          <w:rFonts w:asciiTheme="majorBidi" w:hAnsiTheme="majorBidi" w:cstheme="majorBidi"/>
        </w:rPr>
        <w:t>7</w:t>
      </w:r>
      <w:r w:rsidRPr="00317A86">
        <w:rPr>
          <w:rFonts w:asciiTheme="majorBidi" w:hAnsiTheme="majorBidi" w:cstheme="majorBidi"/>
        </w:rPr>
        <w:t>.</w:t>
      </w:r>
    </w:p>
    <w:sectPr w:rsidR="00064784" w:rsidRPr="00317A86" w:rsidSect="0072566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9D"/>
    <w:rsid w:val="00047063"/>
    <w:rsid w:val="000632BA"/>
    <w:rsid w:val="00064784"/>
    <w:rsid w:val="001C744B"/>
    <w:rsid w:val="00210C70"/>
    <w:rsid w:val="00292508"/>
    <w:rsid w:val="002C7DA8"/>
    <w:rsid w:val="00317A86"/>
    <w:rsid w:val="00415E51"/>
    <w:rsid w:val="004F6248"/>
    <w:rsid w:val="0068581B"/>
    <w:rsid w:val="006C1E9D"/>
    <w:rsid w:val="006D0E76"/>
    <w:rsid w:val="00725665"/>
    <w:rsid w:val="00856453"/>
    <w:rsid w:val="00C41D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72F0A"/>
  <w14:defaultImageDpi w14:val="32767"/>
  <w15:chartTrackingRefBased/>
  <w15:docId w15:val="{8AD9D277-7767-4688-9F3C-D058B17B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b/>
        <w:bCs/>
        <w:kern w:val="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248"/>
    <w:pPr>
      <w:spacing w:line="278" w:lineRule="auto"/>
    </w:pPr>
    <w:rPr>
      <w:rFonts w:asciiTheme="minorHAnsi" w:hAnsiTheme="minorHAnsi" w:cstheme="minorBidi"/>
      <w:b w:val="0"/>
      <w:bCs w:val="0"/>
      <w:sz w:val="24"/>
    </w:rPr>
  </w:style>
  <w:style w:type="paragraph" w:styleId="Heading1">
    <w:name w:val="heading 1"/>
    <w:basedOn w:val="Normal"/>
    <w:next w:val="Normal"/>
    <w:link w:val="Heading1Char"/>
    <w:uiPriority w:val="9"/>
    <w:qFormat/>
    <w:rsid w:val="006C1E9D"/>
    <w:pPr>
      <w:keepNext/>
      <w:keepLines/>
      <w:spacing w:before="360" w:after="80" w:line="259" w:lineRule="auto"/>
      <w:outlineLvl w:val="0"/>
    </w:pPr>
    <w:rPr>
      <w:rFonts w:asciiTheme="majorHAnsi" w:eastAsiaTheme="majorEastAsia" w:hAnsiTheme="majorHAnsi" w:cstheme="majorBidi"/>
      <w:b/>
      <w:bCs/>
      <w:color w:val="2E74B5" w:themeColor="accent1" w:themeShade="BF"/>
      <w:sz w:val="40"/>
      <w:szCs w:val="40"/>
    </w:rPr>
  </w:style>
  <w:style w:type="paragraph" w:styleId="Heading2">
    <w:name w:val="heading 2"/>
    <w:basedOn w:val="Normal"/>
    <w:next w:val="Normal"/>
    <w:link w:val="Heading2Char"/>
    <w:uiPriority w:val="9"/>
    <w:semiHidden/>
    <w:unhideWhenUsed/>
    <w:qFormat/>
    <w:rsid w:val="006C1E9D"/>
    <w:pPr>
      <w:keepNext/>
      <w:keepLines/>
      <w:spacing w:before="160" w:after="80" w:line="259" w:lineRule="auto"/>
      <w:outlineLvl w:val="1"/>
    </w:pPr>
    <w:rPr>
      <w:rFonts w:asciiTheme="majorHAnsi" w:eastAsiaTheme="majorEastAsia" w:hAnsiTheme="majorHAnsi" w:cstheme="majorBidi"/>
      <w:b/>
      <w:bCs/>
      <w:color w:val="2E74B5" w:themeColor="accent1" w:themeShade="BF"/>
      <w:sz w:val="32"/>
      <w:szCs w:val="32"/>
    </w:rPr>
  </w:style>
  <w:style w:type="paragraph" w:styleId="Heading3">
    <w:name w:val="heading 3"/>
    <w:basedOn w:val="Normal"/>
    <w:next w:val="Normal"/>
    <w:link w:val="Heading3Char"/>
    <w:uiPriority w:val="9"/>
    <w:semiHidden/>
    <w:unhideWhenUsed/>
    <w:qFormat/>
    <w:rsid w:val="006C1E9D"/>
    <w:pPr>
      <w:keepNext/>
      <w:keepLines/>
      <w:spacing w:before="160" w:after="80" w:line="259" w:lineRule="auto"/>
      <w:outlineLvl w:val="2"/>
    </w:pPr>
    <w:rPr>
      <w:rFonts w:eastAsiaTheme="majorEastAsia"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C1E9D"/>
    <w:pPr>
      <w:keepNext/>
      <w:keepLines/>
      <w:spacing w:before="80" w:after="40" w:line="259" w:lineRule="auto"/>
      <w:outlineLvl w:val="3"/>
    </w:pPr>
    <w:rPr>
      <w:rFonts w:eastAsiaTheme="majorEastAsia" w:cstheme="majorBidi"/>
      <w:b/>
      <w:bCs/>
      <w:i/>
      <w:iCs/>
      <w:color w:val="2E74B5" w:themeColor="accent1" w:themeShade="BF"/>
      <w:sz w:val="20"/>
    </w:rPr>
  </w:style>
  <w:style w:type="paragraph" w:styleId="Heading5">
    <w:name w:val="heading 5"/>
    <w:basedOn w:val="Normal"/>
    <w:next w:val="Normal"/>
    <w:link w:val="Heading5Char"/>
    <w:uiPriority w:val="9"/>
    <w:semiHidden/>
    <w:unhideWhenUsed/>
    <w:qFormat/>
    <w:rsid w:val="006C1E9D"/>
    <w:pPr>
      <w:keepNext/>
      <w:keepLines/>
      <w:spacing w:before="80" w:after="40" w:line="259" w:lineRule="auto"/>
      <w:outlineLvl w:val="4"/>
    </w:pPr>
    <w:rPr>
      <w:rFonts w:eastAsiaTheme="majorEastAsia" w:cstheme="majorBidi"/>
      <w:b/>
      <w:bCs/>
      <w:color w:val="2E74B5" w:themeColor="accent1" w:themeShade="BF"/>
      <w:sz w:val="20"/>
    </w:rPr>
  </w:style>
  <w:style w:type="paragraph" w:styleId="Heading6">
    <w:name w:val="heading 6"/>
    <w:basedOn w:val="Normal"/>
    <w:next w:val="Normal"/>
    <w:link w:val="Heading6Char"/>
    <w:uiPriority w:val="9"/>
    <w:semiHidden/>
    <w:unhideWhenUsed/>
    <w:qFormat/>
    <w:rsid w:val="006C1E9D"/>
    <w:pPr>
      <w:keepNext/>
      <w:keepLines/>
      <w:spacing w:before="40" w:after="0" w:line="259" w:lineRule="auto"/>
      <w:outlineLvl w:val="5"/>
    </w:pPr>
    <w:rPr>
      <w:rFonts w:eastAsiaTheme="majorEastAsia" w:cstheme="majorBidi"/>
      <w:b/>
      <w:bCs/>
      <w:i/>
      <w:iCs/>
      <w:color w:val="595959" w:themeColor="text1" w:themeTint="A6"/>
      <w:sz w:val="20"/>
    </w:rPr>
  </w:style>
  <w:style w:type="paragraph" w:styleId="Heading7">
    <w:name w:val="heading 7"/>
    <w:basedOn w:val="Normal"/>
    <w:next w:val="Normal"/>
    <w:link w:val="Heading7Char"/>
    <w:uiPriority w:val="9"/>
    <w:semiHidden/>
    <w:unhideWhenUsed/>
    <w:qFormat/>
    <w:rsid w:val="006C1E9D"/>
    <w:pPr>
      <w:keepNext/>
      <w:keepLines/>
      <w:spacing w:before="40" w:after="0" w:line="259" w:lineRule="auto"/>
      <w:outlineLvl w:val="6"/>
    </w:pPr>
    <w:rPr>
      <w:rFonts w:eastAsiaTheme="majorEastAsia" w:cstheme="majorBidi"/>
      <w:b/>
      <w:bCs/>
      <w:color w:val="595959" w:themeColor="text1" w:themeTint="A6"/>
      <w:sz w:val="20"/>
    </w:rPr>
  </w:style>
  <w:style w:type="paragraph" w:styleId="Heading8">
    <w:name w:val="heading 8"/>
    <w:basedOn w:val="Normal"/>
    <w:next w:val="Normal"/>
    <w:link w:val="Heading8Char"/>
    <w:uiPriority w:val="9"/>
    <w:semiHidden/>
    <w:unhideWhenUsed/>
    <w:qFormat/>
    <w:rsid w:val="006C1E9D"/>
    <w:pPr>
      <w:keepNext/>
      <w:keepLines/>
      <w:spacing w:after="0" w:line="259" w:lineRule="auto"/>
      <w:outlineLvl w:val="7"/>
    </w:pPr>
    <w:rPr>
      <w:rFonts w:eastAsiaTheme="majorEastAsia" w:cstheme="majorBidi"/>
      <w:b/>
      <w:bCs/>
      <w:i/>
      <w:iCs/>
      <w:color w:val="272727" w:themeColor="text1" w:themeTint="D8"/>
      <w:sz w:val="20"/>
    </w:rPr>
  </w:style>
  <w:style w:type="paragraph" w:styleId="Heading9">
    <w:name w:val="heading 9"/>
    <w:basedOn w:val="Normal"/>
    <w:next w:val="Normal"/>
    <w:link w:val="Heading9Char"/>
    <w:uiPriority w:val="9"/>
    <w:semiHidden/>
    <w:unhideWhenUsed/>
    <w:qFormat/>
    <w:rsid w:val="006C1E9D"/>
    <w:pPr>
      <w:keepNext/>
      <w:keepLines/>
      <w:spacing w:after="0" w:line="259" w:lineRule="auto"/>
      <w:outlineLvl w:val="8"/>
    </w:pPr>
    <w:rPr>
      <w:rFonts w:eastAsiaTheme="majorEastAsia" w:cstheme="majorBidi"/>
      <w:b/>
      <w:bCs/>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E9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C1E9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C1E9D"/>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C1E9D"/>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6C1E9D"/>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C1E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1E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1E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1E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1E9D"/>
    <w:pPr>
      <w:spacing w:after="80" w:line="240" w:lineRule="auto"/>
      <w:contextualSpacing/>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6C1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E9D"/>
    <w:pPr>
      <w:numPr>
        <w:ilvl w:val="1"/>
      </w:numPr>
      <w:spacing w:line="259" w:lineRule="auto"/>
    </w:pPr>
    <w:rPr>
      <w:rFonts w:eastAsiaTheme="majorEastAsia" w:cstheme="majorBidi"/>
      <w:b/>
      <w:bCs/>
      <w:color w:val="595959" w:themeColor="text1" w:themeTint="A6"/>
      <w:spacing w:val="15"/>
      <w:sz w:val="28"/>
      <w:szCs w:val="28"/>
    </w:rPr>
  </w:style>
  <w:style w:type="character" w:customStyle="1" w:styleId="SubtitleChar">
    <w:name w:val="Subtitle Char"/>
    <w:basedOn w:val="DefaultParagraphFont"/>
    <w:link w:val="Subtitle"/>
    <w:uiPriority w:val="11"/>
    <w:rsid w:val="006C1E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1E9D"/>
    <w:pPr>
      <w:spacing w:before="160" w:line="259" w:lineRule="auto"/>
      <w:jc w:val="center"/>
    </w:pPr>
    <w:rPr>
      <w:rFonts w:ascii="Times New Roman" w:hAnsi="Times New Roman" w:cs="B Nazanin"/>
      <w:b/>
      <w:bCs/>
      <w:i/>
      <w:iCs/>
      <w:color w:val="404040" w:themeColor="text1" w:themeTint="BF"/>
      <w:sz w:val="20"/>
    </w:rPr>
  </w:style>
  <w:style w:type="character" w:customStyle="1" w:styleId="QuoteChar">
    <w:name w:val="Quote Char"/>
    <w:basedOn w:val="DefaultParagraphFont"/>
    <w:link w:val="Quote"/>
    <w:uiPriority w:val="29"/>
    <w:rsid w:val="006C1E9D"/>
    <w:rPr>
      <w:i/>
      <w:iCs/>
      <w:color w:val="404040" w:themeColor="text1" w:themeTint="BF"/>
    </w:rPr>
  </w:style>
  <w:style w:type="paragraph" w:styleId="ListParagraph">
    <w:name w:val="List Paragraph"/>
    <w:basedOn w:val="Normal"/>
    <w:uiPriority w:val="34"/>
    <w:qFormat/>
    <w:rsid w:val="006C1E9D"/>
    <w:pPr>
      <w:spacing w:line="259" w:lineRule="auto"/>
      <w:ind w:left="720"/>
      <w:contextualSpacing/>
    </w:pPr>
    <w:rPr>
      <w:rFonts w:ascii="Times New Roman" w:hAnsi="Times New Roman" w:cs="B Nazanin"/>
      <w:b/>
      <w:bCs/>
      <w:sz w:val="20"/>
    </w:rPr>
  </w:style>
  <w:style w:type="character" w:styleId="IntenseEmphasis">
    <w:name w:val="Intense Emphasis"/>
    <w:basedOn w:val="DefaultParagraphFont"/>
    <w:uiPriority w:val="21"/>
    <w:qFormat/>
    <w:rsid w:val="006C1E9D"/>
    <w:rPr>
      <w:i/>
      <w:iCs/>
      <w:color w:val="2E74B5" w:themeColor="accent1" w:themeShade="BF"/>
    </w:rPr>
  </w:style>
  <w:style w:type="paragraph" w:styleId="IntenseQuote">
    <w:name w:val="Intense Quote"/>
    <w:basedOn w:val="Normal"/>
    <w:next w:val="Normal"/>
    <w:link w:val="IntenseQuoteChar"/>
    <w:uiPriority w:val="30"/>
    <w:qFormat/>
    <w:rsid w:val="006C1E9D"/>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imes New Roman" w:hAnsi="Times New Roman" w:cs="B Nazanin"/>
      <w:b/>
      <w:bCs/>
      <w:i/>
      <w:iCs/>
      <w:color w:val="2E74B5" w:themeColor="accent1" w:themeShade="BF"/>
      <w:sz w:val="20"/>
    </w:rPr>
  </w:style>
  <w:style w:type="character" w:customStyle="1" w:styleId="IntenseQuoteChar">
    <w:name w:val="Intense Quote Char"/>
    <w:basedOn w:val="DefaultParagraphFont"/>
    <w:link w:val="IntenseQuote"/>
    <w:uiPriority w:val="30"/>
    <w:rsid w:val="006C1E9D"/>
    <w:rPr>
      <w:i/>
      <w:iCs/>
      <w:color w:val="2E74B5" w:themeColor="accent1" w:themeShade="BF"/>
    </w:rPr>
  </w:style>
  <w:style w:type="character" w:styleId="IntenseReference">
    <w:name w:val="Intense Reference"/>
    <w:basedOn w:val="DefaultParagraphFont"/>
    <w:uiPriority w:val="32"/>
    <w:qFormat/>
    <w:rsid w:val="006C1E9D"/>
    <w:rPr>
      <w:b w:val="0"/>
      <w:bCs w:val="0"/>
      <w:smallCaps/>
      <w:color w:val="2E74B5" w:themeColor="accent1" w:themeShade="BF"/>
      <w:spacing w:val="5"/>
    </w:rPr>
  </w:style>
  <w:style w:type="table" w:styleId="TableGrid">
    <w:name w:val="Table Grid"/>
    <w:basedOn w:val="TableNormal"/>
    <w:uiPriority w:val="39"/>
    <w:rsid w:val="004F6248"/>
    <w:pPr>
      <w:spacing w:after="0" w:line="240" w:lineRule="auto"/>
    </w:pPr>
    <w:rPr>
      <w:rFonts w:asciiTheme="minorHAnsi" w:hAnsiTheme="minorHAnsi" w:cstheme="minorBidi"/>
      <w:b w:val="0"/>
      <w:bCs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632F7-6C0A-4EF9-BA17-5377E912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1796</Words>
  <Characters>10239</Characters>
  <Application>Microsoft Office Word</Application>
  <DocSecurity>0</DocSecurity>
  <Lines>85</Lines>
  <Paragraphs>24</Paragraphs>
  <ScaleCrop>false</ScaleCrop>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moslem moghbeli</dc:creator>
  <cp:keywords/>
  <dc:description/>
  <cp:lastModifiedBy>moslem moghbeli</cp:lastModifiedBy>
  <cp:revision>10</cp:revision>
  <dcterms:created xsi:type="dcterms:W3CDTF">2025-10-06T06:51:00Z</dcterms:created>
  <dcterms:modified xsi:type="dcterms:W3CDTF">2025-10-06T22:48:00Z</dcterms:modified>
</cp:coreProperties>
</file>