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E9BFDE" w14:textId="24DCAF22" w:rsidR="008C1305" w:rsidRDefault="00BD6768" w:rsidP="008704AC">
      <w:pPr>
        <w:spacing w:after="0" w:line="240" w:lineRule="auto"/>
        <w:ind w:left="-1080"/>
        <w:jc w:val="both"/>
        <w:rPr>
          <w:rFonts w:ascii="Times New Roman" w:hAnsi="Times New Roman" w:cstheme="majorBidi"/>
          <w:sz w:val="20"/>
          <w:szCs w:val="20"/>
          <w:lang w:bidi="fa-IR"/>
        </w:rPr>
      </w:pPr>
      <w:r w:rsidRPr="00BD6768">
        <w:rPr>
          <w:rFonts w:ascii="Times New Roman" w:hAnsi="Times New Roman" w:cstheme="majorBidi"/>
          <w:b/>
          <w:bCs/>
          <w:sz w:val="20"/>
          <w:szCs w:val="20"/>
          <w:lang w:bidi="fa-IR"/>
        </w:rPr>
        <w:t>Additional file 8</w:t>
      </w:r>
      <w:r w:rsidRPr="00BD6768">
        <w:rPr>
          <w:rFonts w:ascii="Times New Roman" w:hAnsi="Times New Roman" w:cstheme="majorBidi"/>
          <w:b/>
          <w:bCs/>
          <w:sz w:val="20"/>
          <w:szCs w:val="20"/>
          <w:lang w:bidi="fa-IR"/>
        </w:rPr>
        <w:t>.</w:t>
      </w:r>
      <w:r>
        <w:rPr>
          <w:rFonts w:ascii="Times New Roman" w:hAnsi="Times New Roman" w:cstheme="majorBidi"/>
          <w:sz w:val="20"/>
          <w:szCs w:val="20"/>
          <w:lang w:bidi="fa-IR"/>
        </w:rPr>
        <w:t xml:space="preserve"> </w:t>
      </w:r>
      <w:r w:rsidR="008C1305" w:rsidRPr="00B65E5F">
        <w:rPr>
          <w:rFonts w:ascii="Times New Roman" w:hAnsi="Times New Roman" w:cstheme="majorBidi"/>
          <w:sz w:val="20"/>
          <w:szCs w:val="20"/>
          <w:lang w:bidi="fa-IR"/>
        </w:rPr>
        <w:t>Functional enrichment analysis for genes identified within ROH Island (MNEc2M SNP array)</w:t>
      </w:r>
    </w:p>
    <w:tbl>
      <w:tblPr>
        <w:tblStyle w:val="TableGrid"/>
        <w:tblW w:w="15030" w:type="dxa"/>
        <w:tblInd w:w="-1085" w:type="dxa"/>
        <w:tblLook w:val="04A0" w:firstRow="1" w:lastRow="0" w:firstColumn="1" w:lastColumn="0" w:noHBand="0" w:noVBand="1"/>
      </w:tblPr>
      <w:tblGrid>
        <w:gridCol w:w="991"/>
        <w:gridCol w:w="1980"/>
        <w:gridCol w:w="2031"/>
        <w:gridCol w:w="2914"/>
        <w:gridCol w:w="2465"/>
        <w:gridCol w:w="3479"/>
        <w:gridCol w:w="1170"/>
      </w:tblGrid>
      <w:tr w:rsidR="008704AC" w:rsidRPr="00FC107E" w14:paraId="09F6D000" w14:textId="2107A3F8" w:rsidTr="00F328AD">
        <w:trPr>
          <w:trHeight w:val="300"/>
        </w:trPr>
        <w:tc>
          <w:tcPr>
            <w:tcW w:w="991" w:type="dxa"/>
            <w:noWrap/>
            <w:vAlign w:val="center"/>
            <w:hideMark/>
          </w:tcPr>
          <w:p w14:paraId="4A728948" w14:textId="77777777" w:rsidR="008704AC" w:rsidRPr="00835CDC" w:rsidRDefault="008704AC" w:rsidP="008704AC">
            <w:pPr>
              <w:jc w:val="center"/>
              <w:rPr>
                <w:rFonts w:asciiTheme="majorBidi" w:hAnsiTheme="majorBidi" w:cstheme="majorBidi"/>
                <w:color w:val="000000" w:themeColor="text1"/>
                <w:sz w:val="14"/>
                <w:szCs w:val="14"/>
                <w:lang w:bidi="fa-IR"/>
              </w:rPr>
            </w:pPr>
            <w:r w:rsidRPr="00835CDC">
              <w:rPr>
                <w:rFonts w:asciiTheme="majorBidi" w:hAnsiTheme="majorBidi" w:cstheme="majorBidi"/>
                <w:color w:val="000000" w:themeColor="text1"/>
                <w:sz w:val="14"/>
                <w:szCs w:val="14"/>
                <w:lang w:bidi="fa-IR"/>
              </w:rPr>
              <w:t>Gene</w:t>
            </w:r>
          </w:p>
        </w:tc>
        <w:tc>
          <w:tcPr>
            <w:tcW w:w="1980" w:type="dxa"/>
            <w:noWrap/>
            <w:vAlign w:val="center"/>
            <w:hideMark/>
          </w:tcPr>
          <w:p w14:paraId="27095CA2" w14:textId="77777777" w:rsidR="008704AC" w:rsidRPr="00835CDC" w:rsidRDefault="008704AC" w:rsidP="008704AC">
            <w:pPr>
              <w:jc w:val="center"/>
              <w:rPr>
                <w:rFonts w:asciiTheme="majorBidi" w:hAnsiTheme="majorBidi" w:cstheme="majorBidi"/>
                <w:color w:val="000000" w:themeColor="text1"/>
                <w:sz w:val="14"/>
                <w:szCs w:val="14"/>
                <w:lang w:bidi="fa-IR"/>
              </w:rPr>
            </w:pPr>
            <w:r w:rsidRPr="00835CDC">
              <w:rPr>
                <w:rFonts w:asciiTheme="majorBidi" w:hAnsiTheme="majorBidi" w:cstheme="majorBidi"/>
                <w:color w:val="000000" w:themeColor="text1"/>
                <w:sz w:val="14"/>
                <w:szCs w:val="14"/>
                <w:lang w:bidi="fa-IR"/>
              </w:rPr>
              <w:t>Molecular Function</w:t>
            </w:r>
          </w:p>
        </w:tc>
        <w:tc>
          <w:tcPr>
            <w:tcW w:w="2031" w:type="dxa"/>
            <w:noWrap/>
            <w:vAlign w:val="center"/>
            <w:hideMark/>
          </w:tcPr>
          <w:p w14:paraId="2D3385A6" w14:textId="77777777" w:rsidR="008704AC" w:rsidRPr="00835CDC" w:rsidRDefault="008704AC" w:rsidP="008704AC">
            <w:pPr>
              <w:jc w:val="center"/>
              <w:rPr>
                <w:rFonts w:asciiTheme="majorBidi" w:hAnsiTheme="majorBidi" w:cstheme="majorBidi"/>
                <w:color w:val="000000" w:themeColor="text1"/>
                <w:sz w:val="14"/>
                <w:szCs w:val="14"/>
                <w:lang w:bidi="fa-IR"/>
              </w:rPr>
            </w:pPr>
            <w:r w:rsidRPr="00835CDC">
              <w:rPr>
                <w:rFonts w:asciiTheme="majorBidi" w:hAnsiTheme="majorBidi" w:cstheme="majorBidi"/>
                <w:color w:val="000000" w:themeColor="text1"/>
                <w:sz w:val="14"/>
                <w:szCs w:val="14"/>
                <w:lang w:bidi="fa-IR"/>
              </w:rPr>
              <w:t>Biological Process</w:t>
            </w:r>
          </w:p>
        </w:tc>
        <w:tc>
          <w:tcPr>
            <w:tcW w:w="2914" w:type="dxa"/>
            <w:noWrap/>
            <w:vAlign w:val="center"/>
            <w:hideMark/>
          </w:tcPr>
          <w:p w14:paraId="2C9B0021" w14:textId="77777777" w:rsidR="008704AC" w:rsidRPr="00835CDC" w:rsidRDefault="008704AC" w:rsidP="008704AC">
            <w:pPr>
              <w:jc w:val="center"/>
              <w:rPr>
                <w:rFonts w:asciiTheme="majorBidi" w:hAnsiTheme="majorBidi" w:cstheme="majorBidi"/>
                <w:color w:val="000000" w:themeColor="text1"/>
                <w:sz w:val="14"/>
                <w:szCs w:val="14"/>
                <w:lang w:bidi="fa-IR"/>
              </w:rPr>
            </w:pPr>
            <w:r w:rsidRPr="00835CDC">
              <w:rPr>
                <w:rFonts w:asciiTheme="majorBidi" w:hAnsiTheme="majorBidi" w:cstheme="majorBidi"/>
                <w:color w:val="000000" w:themeColor="text1"/>
                <w:sz w:val="14"/>
                <w:szCs w:val="14"/>
                <w:lang w:bidi="fa-IR"/>
              </w:rPr>
              <w:t>Associated Phenotypes (Horse/Mammalian)</w:t>
            </w:r>
          </w:p>
        </w:tc>
        <w:tc>
          <w:tcPr>
            <w:tcW w:w="2465" w:type="dxa"/>
            <w:noWrap/>
            <w:vAlign w:val="center"/>
            <w:hideMark/>
          </w:tcPr>
          <w:p w14:paraId="5160CF20" w14:textId="77777777" w:rsidR="008704AC" w:rsidRPr="00835CDC" w:rsidRDefault="008704AC" w:rsidP="008704AC">
            <w:pPr>
              <w:jc w:val="center"/>
              <w:rPr>
                <w:rFonts w:asciiTheme="majorBidi" w:hAnsiTheme="majorBidi" w:cstheme="majorBidi"/>
                <w:color w:val="000000" w:themeColor="text1"/>
                <w:sz w:val="14"/>
                <w:szCs w:val="14"/>
                <w:lang w:bidi="fa-IR"/>
              </w:rPr>
            </w:pPr>
            <w:r w:rsidRPr="00835CDC">
              <w:rPr>
                <w:rFonts w:asciiTheme="majorBidi" w:hAnsiTheme="majorBidi" w:cstheme="majorBidi"/>
                <w:color w:val="000000" w:themeColor="text1"/>
                <w:sz w:val="14"/>
                <w:szCs w:val="14"/>
                <w:lang w:bidi="fa-IR"/>
              </w:rPr>
              <w:t>Notes (DAVID enrichment / pathway)</w:t>
            </w:r>
          </w:p>
        </w:tc>
        <w:tc>
          <w:tcPr>
            <w:tcW w:w="3479" w:type="dxa"/>
            <w:vAlign w:val="center"/>
          </w:tcPr>
          <w:p w14:paraId="3D2A1B50" w14:textId="4052C0ED" w:rsidR="008704AC" w:rsidRPr="00835CDC" w:rsidRDefault="008704AC" w:rsidP="008704AC">
            <w:pPr>
              <w:jc w:val="center"/>
              <w:rPr>
                <w:rFonts w:asciiTheme="majorBidi" w:hAnsiTheme="majorBidi" w:cstheme="majorBidi"/>
                <w:color w:val="000000" w:themeColor="text1"/>
                <w:sz w:val="14"/>
                <w:szCs w:val="14"/>
                <w:lang w:bidi="fa-IR"/>
              </w:rPr>
            </w:pPr>
            <w:r w:rsidRPr="008704AC">
              <w:rPr>
                <w:rFonts w:asciiTheme="majorBidi" w:hAnsiTheme="majorBidi" w:cstheme="majorBidi"/>
                <w:color w:val="000000" w:themeColor="text1"/>
                <w:sz w:val="14"/>
                <w:szCs w:val="14"/>
                <w:lang w:bidi="fa-IR"/>
              </w:rPr>
              <w:t>Breeds</w:t>
            </w:r>
          </w:p>
        </w:tc>
        <w:tc>
          <w:tcPr>
            <w:tcW w:w="1170" w:type="dxa"/>
            <w:vAlign w:val="center"/>
          </w:tcPr>
          <w:p w14:paraId="1366AB13" w14:textId="41C01FCF" w:rsidR="008704AC" w:rsidRPr="00835CDC" w:rsidRDefault="008704AC" w:rsidP="008704AC">
            <w:pPr>
              <w:jc w:val="center"/>
              <w:rPr>
                <w:rFonts w:asciiTheme="majorBidi" w:hAnsiTheme="majorBidi" w:cstheme="majorBidi"/>
                <w:color w:val="000000" w:themeColor="text1"/>
                <w:sz w:val="14"/>
                <w:szCs w:val="14"/>
                <w:lang w:bidi="fa-IR"/>
              </w:rPr>
            </w:pPr>
            <w:r w:rsidRPr="008704AC">
              <w:rPr>
                <w:rFonts w:asciiTheme="majorBidi" w:hAnsiTheme="majorBidi" w:cstheme="majorBidi"/>
                <w:color w:val="000000" w:themeColor="text1"/>
                <w:sz w:val="14"/>
                <w:szCs w:val="14"/>
                <w:lang w:bidi="fa-IR"/>
              </w:rPr>
              <w:t>Breed Count</w:t>
            </w:r>
          </w:p>
        </w:tc>
      </w:tr>
      <w:tr w:rsidR="008704AC" w:rsidRPr="00FC107E" w14:paraId="2A790A6A" w14:textId="64BDB7AA" w:rsidTr="008704AC">
        <w:trPr>
          <w:trHeight w:val="300"/>
        </w:trPr>
        <w:tc>
          <w:tcPr>
            <w:tcW w:w="991" w:type="dxa"/>
            <w:noWrap/>
            <w:vAlign w:val="center"/>
            <w:hideMark/>
          </w:tcPr>
          <w:p w14:paraId="5C964D84" w14:textId="77777777" w:rsidR="008704AC" w:rsidRPr="008C1305" w:rsidRDefault="008704AC" w:rsidP="008704AC">
            <w:pPr>
              <w:jc w:val="cente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OPCML</w:t>
            </w:r>
          </w:p>
        </w:tc>
        <w:tc>
          <w:tcPr>
            <w:tcW w:w="1980" w:type="dxa"/>
            <w:noWrap/>
            <w:vAlign w:val="center"/>
            <w:hideMark/>
          </w:tcPr>
          <w:p w14:paraId="0D289FAA"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Opioid-binding cell adhesion molecule</w:t>
            </w:r>
          </w:p>
        </w:tc>
        <w:tc>
          <w:tcPr>
            <w:tcW w:w="2031" w:type="dxa"/>
            <w:noWrap/>
            <w:vAlign w:val="center"/>
            <w:hideMark/>
          </w:tcPr>
          <w:p w14:paraId="6A820702"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Tumor suppression, synaptic plasticity</w:t>
            </w:r>
          </w:p>
        </w:tc>
        <w:tc>
          <w:tcPr>
            <w:tcW w:w="2914" w:type="dxa"/>
            <w:noWrap/>
            <w:vAlign w:val="center"/>
            <w:hideMark/>
          </w:tcPr>
          <w:p w14:paraId="1953D828"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Hypermethylated in cancers (e.g., ovarian, human); potential equine cancer biomarker</w:t>
            </w:r>
          </w:p>
        </w:tc>
        <w:tc>
          <w:tcPr>
            <w:tcW w:w="2465" w:type="dxa"/>
            <w:noWrap/>
            <w:vAlign w:val="center"/>
            <w:hideMark/>
          </w:tcPr>
          <w:p w14:paraId="409836BF"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Potential role in neural signaling and cancer biology; no direct equine phenotype</w:t>
            </w:r>
          </w:p>
        </w:tc>
        <w:tc>
          <w:tcPr>
            <w:tcW w:w="3479" w:type="dxa"/>
            <w:vAlign w:val="center"/>
          </w:tcPr>
          <w:p w14:paraId="5D3BE4B3" w14:textId="02912EA1" w:rsidR="008704AC" w:rsidRPr="008704AC" w:rsidRDefault="008704AC" w:rsidP="008704AC">
            <w:pPr>
              <w:rPr>
                <w:rFonts w:asciiTheme="majorBidi" w:hAnsiTheme="majorBidi" w:cstheme="majorBidi"/>
                <w:b w:val="0"/>
                <w:bCs w:val="0"/>
                <w:color w:val="000000" w:themeColor="text1"/>
                <w:sz w:val="14"/>
                <w:szCs w:val="14"/>
                <w:lang w:bidi="fa-IR"/>
              </w:rPr>
            </w:pPr>
            <w:r w:rsidRPr="008704AC">
              <w:rPr>
                <w:rFonts w:asciiTheme="majorBidi" w:hAnsiTheme="majorBidi" w:cstheme="majorBidi"/>
                <w:b w:val="0"/>
                <w:bCs w:val="0"/>
                <w:color w:val="000000" w:themeColor="text1"/>
                <w:sz w:val="14"/>
                <w:szCs w:val="14"/>
                <w:lang w:bidi="fa-IR"/>
              </w:rPr>
              <w:t>Arabian, PerArabian, QuarterHorse, Standardbred, Thoroughbred, Turkemen</w:t>
            </w:r>
          </w:p>
        </w:tc>
        <w:tc>
          <w:tcPr>
            <w:tcW w:w="1170" w:type="dxa"/>
            <w:vAlign w:val="center"/>
          </w:tcPr>
          <w:p w14:paraId="5DC18F1A" w14:textId="16B69595" w:rsidR="008704AC" w:rsidRPr="008704AC" w:rsidRDefault="008704AC" w:rsidP="008704AC">
            <w:pPr>
              <w:jc w:val="center"/>
              <w:rPr>
                <w:rFonts w:asciiTheme="majorBidi" w:hAnsiTheme="majorBidi" w:cstheme="majorBidi"/>
                <w:b w:val="0"/>
                <w:bCs w:val="0"/>
                <w:color w:val="000000" w:themeColor="text1"/>
                <w:sz w:val="14"/>
                <w:szCs w:val="14"/>
                <w:lang w:bidi="fa-IR"/>
              </w:rPr>
            </w:pPr>
            <w:r w:rsidRPr="008704AC">
              <w:rPr>
                <w:rFonts w:asciiTheme="majorBidi" w:hAnsiTheme="majorBidi" w:cstheme="majorBidi"/>
                <w:b w:val="0"/>
                <w:bCs w:val="0"/>
                <w:color w:val="000000" w:themeColor="text1"/>
                <w:sz w:val="14"/>
                <w:szCs w:val="14"/>
                <w:lang w:bidi="fa-IR"/>
              </w:rPr>
              <w:t>6</w:t>
            </w:r>
          </w:p>
        </w:tc>
      </w:tr>
      <w:tr w:rsidR="008704AC" w:rsidRPr="00FC107E" w14:paraId="2EE33BA4" w14:textId="659BBDBF" w:rsidTr="008704AC">
        <w:trPr>
          <w:trHeight w:val="300"/>
        </w:trPr>
        <w:tc>
          <w:tcPr>
            <w:tcW w:w="991" w:type="dxa"/>
            <w:noWrap/>
            <w:vAlign w:val="center"/>
            <w:hideMark/>
          </w:tcPr>
          <w:p w14:paraId="009153DC" w14:textId="77777777" w:rsidR="008704AC" w:rsidRPr="008C1305" w:rsidRDefault="008704AC" w:rsidP="008704AC">
            <w:pPr>
              <w:jc w:val="cente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NTM</w:t>
            </w:r>
          </w:p>
        </w:tc>
        <w:tc>
          <w:tcPr>
            <w:tcW w:w="1980" w:type="dxa"/>
            <w:noWrap/>
            <w:vAlign w:val="center"/>
            <w:hideMark/>
          </w:tcPr>
          <w:p w14:paraId="624AE01C"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Neurotrimin (cell adhesion)</w:t>
            </w:r>
          </w:p>
        </w:tc>
        <w:tc>
          <w:tcPr>
            <w:tcW w:w="2031" w:type="dxa"/>
            <w:noWrap/>
            <w:vAlign w:val="center"/>
            <w:hideMark/>
          </w:tcPr>
          <w:p w14:paraId="6D846D0F"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Neural development, axon guidance</w:t>
            </w:r>
          </w:p>
        </w:tc>
        <w:tc>
          <w:tcPr>
            <w:tcW w:w="2914" w:type="dxa"/>
            <w:noWrap/>
            <w:vAlign w:val="center"/>
            <w:hideMark/>
          </w:tcPr>
          <w:p w14:paraId="0C58CA6B"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Intellectual disability (human homolog); no equine data</w:t>
            </w:r>
          </w:p>
        </w:tc>
        <w:tc>
          <w:tcPr>
            <w:tcW w:w="2465" w:type="dxa"/>
            <w:noWrap/>
            <w:vAlign w:val="center"/>
            <w:hideMark/>
          </w:tcPr>
          <w:p w14:paraId="455A28FD"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Important for neural connectivity; equine function not characterized</w:t>
            </w:r>
          </w:p>
        </w:tc>
        <w:tc>
          <w:tcPr>
            <w:tcW w:w="3479" w:type="dxa"/>
            <w:vAlign w:val="center"/>
          </w:tcPr>
          <w:p w14:paraId="22CB3868" w14:textId="7595265B" w:rsidR="008704AC" w:rsidRPr="008704AC" w:rsidRDefault="008704AC" w:rsidP="008704AC">
            <w:pPr>
              <w:rPr>
                <w:rFonts w:asciiTheme="majorBidi" w:hAnsiTheme="majorBidi" w:cstheme="majorBidi"/>
                <w:b w:val="0"/>
                <w:bCs w:val="0"/>
                <w:color w:val="000000" w:themeColor="text1"/>
                <w:sz w:val="14"/>
                <w:szCs w:val="14"/>
                <w:lang w:bidi="fa-IR"/>
              </w:rPr>
            </w:pPr>
            <w:r w:rsidRPr="008704AC">
              <w:rPr>
                <w:rFonts w:asciiTheme="majorBidi" w:hAnsiTheme="majorBidi" w:cstheme="majorBidi"/>
                <w:b w:val="0"/>
                <w:bCs w:val="0"/>
                <w:color w:val="000000" w:themeColor="text1"/>
                <w:sz w:val="14"/>
                <w:szCs w:val="14"/>
                <w:lang w:bidi="fa-IR"/>
              </w:rPr>
              <w:t>Arabian, PerArabian, QuarterHorse, Standardbred, Turkemen</w:t>
            </w:r>
          </w:p>
        </w:tc>
        <w:tc>
          <w:tcPr>
            <w:tcW w:w="1170" w:type="dxa"/>
            <w:vAlign w:val="center"/>
          </w:tcPr>
          <w:p w14:paraId="693FB676" w14:textId="75ED6EDC" w:rsidR="008704AC" w:rsidRPr="008704AC" w:rsidRDefault="008704AC" w:rsidP="008704AC">
            <w:pPr>
              <w:jc w:val="center"/>
              <w:rPr>
                <w:rFonts w:asciiTheme="majorBidi" w:hAnsiTheme="majorBidi" w:cstheme="majorBidi"/>
                <w:b w:val="0"/>
                <w:bCs w:val="0"/>
                <w:color w:val="000000" w:themeColor="text1"/>
                <w:sz w:val="14"/>
                <w:szCs w:val="14"/>
                <w:lang w:bidi="fa-IR"/>
              </w:rPr>
            </w:pPr>
            <w:r w:rsidRPr="008704AC">
              <w:rPr>
                <w:rFonts w:asciiTheme="majorBidi" w:hAnsiTheme="majorBidi" w:cstheme="majorBidi"/>
                <w:b w:val="0"/>
                <w:bCs w:val="0"/>
                <w:color w:val="000000" w:themeColor="text1"/>
                <w:sz w:val="14"/>
                <w:szCs w:val="14"/>
                <w:lang w:bidi="fa-IR"/>
              </w:rPr>
              <w:t>5</w:t>
            </w:r>
          </w:p>
        </w:tc>
      </w:tr>
      <w:tr w:rsidR="008704AC" w:rsidRPr="00FC107E" w14:paraId="69E40CC9" w14:textId="4C47AE0C" w:rsidTr="008704AC">
        <w:trPr>
          <w:trHeight w:val="300"/>
        </w:trPr>
        <w:tc>
          <w:tcPr>
            <w:tcW w:w="991" w:type="dxa"/>
            <w:noWrap/>
            <w:vAlign w:val="center"/>
            <w:hideMark/>
          </w:tcPr>
          <w:p w14:paraId="5E73D23A" w14:textId="77777777" w:rsidR="008704AC" w:rsidRPr="008C1305" w:rsidRDefault="008704AC" w:rsidP="008704AC">
            <w:pPr>
              <w:jc w:val="cente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U6</w:t>
            </w:r>
          </w:p>
        </w:tc>
        <w:tc>
          <w:tcPr>
            <w:tcW w:w="1980" w:type="dxa"/>
            <w:noWrap/>
            <w:vAlign w:val="center"/>
            <w:hideMark/>
          </w:tcPr>
          <w:p w14:paraId="1C54D822"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Spliceosomal small nuclear RNA (snRNA)</w:t>
            </w:r>
          </w:p>
        </w:tc>
        <w:tc>
          <w:tcPr>
            <w:tcW w:w="2031" w:type="dxa"/>
            <w:noWrap/>
            <w:vAlign w:val="center"/>
            <w:hideMark/>
          </w:tcPr>
          <w:p w14:paraId="7DF45AC0"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mRNA splicing</w:t>
            </w:r>
          </w:p>
        </w:tc>
        <w:tc>
          <w:tcPr>
            <w:tcW w:w="2914" w:type="dxa"/>
            <w:noWrap/>
            <w:vAlign w:val="center"/>
            <w:hideMark/>
          </w:tcPr>
          <w:p w14:paraId="224A861E"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Essential for RNA processing; no direct phenotype</w:t>
            </w:r>
          </w:p>
        </w:tc>
        <w:tc>
          <w:tcPr>
            <w:tcW w:w="2465" w:type="dxa"/>
            <w:noWrap/>
            <w:vAlign w:val="center"/>
            <w:hideMark/>
          </w:tcPr>
          <w:p w14:paraId="2007E4DF"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RNA processing</w:t>
            </w:r>
          </w:p>
        </w:tc>
        <w:tc>
          <w:tcPr>
            <w:tcW w:w="3479" w:type="dxa"/>
            <w:vAlign w:val="center"/>
          </w:tcPr>
          <w:p w14:paraId="74ECF2C0" w14:textId="30C2ED3A" w:rsidR="008704AC" w:rsidRPr="008704AC" w:rsidRDefault="008704AC" w:rsidP="008704AC">
            <w:pPr>
              <w:rPr>
                <w:rFonts w:asciiTheme="majorBidi" w:hAnsiTheme="majorBidi" w:cstheme="majorBidi"/>
                <w:b w:val="0"/>
                <w:bCs w:val="0"/>
                <w:color w:val="000000" w:themeColor="text1"/>
                <w:sz w:val="14"/>
                <w:szCs w:val="14"/>
                <w:lang w:bidi="fa-IR"/>
              </w:rPr>
            </w:pPr>
            <w:r w:rsidRPr="008704AC">
              <w:rPr>
                <w:rFonts w:asciiTheme="majorBidi" w:hAnsiTheme="majorBidi" w:cstheme="majorBidi"/>
                <w:b w:val="0"/>
                <w:bCs w:val="0"/>
                <w:color w:val="000000" w:themeColor="text1"/>
                <w:sz w:val="14"/>
                <w:szCs w:val="14"/>
                <w:lang w:bidi="fa-IR"/>
              </w:rPr>
              <w:t>Caspian, Morgan, QuarterHorse, Turkemen, Welsh</w:t>
            </w:r>
          </w:p>
        </w:tc>
        <w:tc>
          <w:tcPr>
            <w:tcW w:w="1170" w:type="dxa"/>
            <w:vAlign w:val="center"/>
          </w:tcPr>
          <w:p w14:paraId="41299B46" w14:textId="411394ED" w:rsidR="008704AC" w:rsidRPr="008704AC" w:rsidRDefault="008704AC" w:rsidP="008704AC">
            <w:pPr>
              <w:jc w:val="center"/>
              <w:rPr>
                <w:rFonts w:asciiTheme="majorBidi" w:hAnsiTheme="majorBidi" w:cstheme="majorBidi"/>
                <w:b w:val="0"/>
                <w:bCs w:val="0"/>
                <w:color w:val="000000" w:themeColor="text1"/>
                <w:sz w:val="14"/>
                <w:szCs w:val="14"/>
                <w:lang w:bidi="fa-IR"/>
              </w:rPr>
            </w:pPr>
            <w:r w:rsidRPr="008704AC">
              <w:rPr>
                <w:rFonts w:asciiTheme="majorBidi" w:hAnsiTheme="majorBidi" w:cstheme="majorBidi"/>
                <w:b w:val="0"/>
                <w:bCs w:val="0"/>
                <w:color w:val="000000" w:themeColor="text1"/>
                <w:sz w:val="14"/>
                <w:szCs w:val="14"/>
                <w:lang w:bidi="fa-IR"/>
              </w:rPr>
              <w:t>5</w:t>
            </w:r>
          </w:p>
        </w:tc>
      </w:tr>
      <w:tr w:rsidR="008704AC" w:rsidRPr="00FC107E" w14:paraId="107FBCAC" w14:textId="74369914" w:rsidTr="008704AC">
        <w:trPr>
          <w:trHeight w:val="300"/>
        </w:trPr>
        <w:tc>
          <w:tcPr>
            <w:tcW w:w="991" w:type="dxa"/>
            <w:noWrap/>
            <w:vAlign w:val="center"/>
            <w:hideMark/>
          </w:tcPr>
          <w:p w14:paraId="6CCB69B0" w14:textId="77777777" w:rsidR="008704AC" w:rsidRPr="008C1305" w:rsidRDefault="008704AC" w:rsidP="008704AC">
            <w:pPr>
              <w:jc w:val="cente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ACSF3</w:t>
            </w:r>
          </w:p>
        </w:tc>
        <w:tc>
          <w:tcPr>
            <w:tcW w:w="1980" w:type="dxa"/>
            <w:noWrap/>
            <w:vAlign w:val="center"/>
            <w:hideMark/>
          </w:tcPr>
          <w:p w14:paraId="52A269A4"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Acyl-CoA synthetase</w:t>
            </w:r>
          </w:p>
        </w:tc>
        <w:tc>
          <w:tcPr>
            <w:tcW w:w="2031" w:type="dxa"/>
            <w:noWrap/>
            <w:vAlign w:val="center"/>
            <w:hideMark/>
          </w:tcPr>
          <w:p w14:paraId="3BBB9737"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Fatty acid β-oxidation</w:t>
            </w:r>
          </w:p>
        </w:tc>
        <w:tc>
          <w:tcPr>
            <w:tcW w:w="2914" w:type="dxa"/>
            <w:noWrap/>
            <w:vAlign w:val="center"/>
            <w:hideMark/>
          </w:tcPr>
          <w:p w14:paraId="26A4DC45"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Metabolic disorders (methylmalonic aciduria, human)</w:t>
            </w:r>
          </w:p>
        </w:tc>
        <w:tc>
          <w:tcPr>
            <w:tcW w:w="2465" w:type="dxa"/>
            <w:noWrap/>
            <w:vAlign w:val="center"/>
            <w:hideMark/>
          </w:tcPr>
          <w:p w14:paraId="1DA2FAE4"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Metabolism</w:t>
            </w:r>
          </w:p>
        </w:tc>
        <w:tc>
          <w:tcPr>
            <w:tcW w:w="3479" w:type="dxa"/>
            <w:vAlign w:val="center"/>
          </w:tcPr>
          <w:p w14:paraId="6D9B8D7F" w14:textId="27450D2F" w:rsidR="008704AC" w:rsidRPr="008704AC" w:rsidRDefault="008704AC" w:rsidP="008704AC">
            <w:pPr>
              <w:rPr>
                <w:rFonts w:asciiTheme="majorBidi" w:hAnsiTheme="majorBidi" w:cstheme="majorBidi"/>
                <w:b w:val="0"/>
                <w:bCs w:val="0"/>
                <w:color w:val="000000" w:themeColor="text1"/>
                <w:sz w:val="14"/>
                <w:szCs w:val="14"/>
                <w:lang w:bidi="fa-IR"/>
              </w:rPr>
            </w:pPr>
            <w:r w:rsidRPr="008704AC">
              <w:rPr>
                <w:rFonts w:asciiTheme="majorBidi" w:hAnsiTheme="majorBidi" w:cstheme="majorBidi"/>
                <w:b w:val="0"/>
                <w:bCs w:val="0"/>
                <w:color w:val="000000" w:themeColor="text1"/>
                <w:sz w:val="14"/>
                <w:szCs w:val="14"/>
                <w:lang w:bidi="fa-IR"/>
              </w:rPr>
              <w:t>Belgian, Icelandic, Morgan, Welsh</w:t>
            </w:r>
          </w:p>
        </w:tc>
        <w:tc>
          <w:tcPr>
            <w:tcW w:w="1170" w:type="dxa"/>
            <w:vAlign w:val="center"/>
          </w:tcPr>
          <w:p w14:paraId="03903D72" w14:textId="1F1789AF" w:rsidR="008704AC" w:rsidRPr="008704AC" w:rsidRDefault="008704AC" w:rsidP="008704AC">
            <w:pPr>
              <w:jc w:val="center"/>
              <w:rPr>
                <w:rFonts w:asciiTheme="majorBidi" w:hAnsiTheme="majorBidi" w:cstheme="majorBidi"/>
                <w:b w:val="0"/>
                <w:bCs w:val="0"/>
                <w:color w:val="000000" w:themeColor="text1"/>
                <w:sz w:val="14"/>
                <w:szCs w:val="14"/>
                <w:lang w:bidi="fa-IR"/>
              </w:rPr>
            </w:pPr>
            <w:r w:rsidRPr="008704AC">
              <w:rPr>
                <w:rFonts w:asciiTheme="majorBidi" w:hAnsiTheme="majorBidi" w:cstheme="majorBidi"/>
                <w:b w:val="0"/>
                <w:bCs w:val="0"/>
                <w:color w:val="000000" w:themeColor="text1"/>
                <w:sz w:val="14"/>
                <w:szCs w:val="14"/>
                <w:lang w:bidi="fa-IR"/>
              </w:rPr>
              <w:t>4</w:t>
            </w:r>
          </w:p>
        </w:tc>
      </w:tr>
      <w:tr w:rsidR="008704AC" w:rsidRPr="00FC107E" w14:paraId="1C70905B" w14:textId="4F91FF14" w:rsidTr="008704AC">
        <w:trPr>
          <w:trHeight w:val="300"/>
        </w:trPr>
        <w:tc>
          <w:tcPr>
            <w:tcW w:w="991" w:type="dxa"/>
            <w:noWrap/>
            <w:vAlign w:val="center"/>
            <w:hideMark/>
          </w:tcPr>
          <w:p w14:paraId="0F75BCAC" w14:textId="77777777" w:rsidR="008704AC" w:rsidRPr="008C1305" w:rsidRDefault="008704AC" w:rsidP="008704AC">
            <w:pPr>
              <w:jc w:val="cente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ANKRD11</w:t>
            </w:r>
          </w:p>
        </w:tc>
        <w:tc>
          <w:tcPr>
            <w:tcW w:w="1980" w:type="dxa"/>
            <w:noWrap/>
            <w:vAlign w:val="center"/>
            <w:hideMark/>
          </w:tcPr>
          <w:p w14:paraId="32D3D014"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Transcriptional co-repressor</w:t>
            </w:r>
          </w:p>
        </w:tc>
        <w:tc>
          <w:tcPr>
            <w:tcW w:w="2031" w:type="dxa"/>
            <w:noWrap/>
            <w:vAlign w:val="center"/>
            <w:hideMark/>
          </w:tcPr>
          <w:p w14:paraId="02E24E96"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Neural development, chromatin remodeling</w:t>
            </w:r>
          </w:p>
        </w:tc>
        <w:tc>
          <w:tcPr>
            <w:tcW w:w="2914" w:type="dxa"/>
            <w:noWrap/>
            <w:vAlign w:val="center"/>
            <w:hideMark/>
          </w:tcPr>
          <w:p w14:paraId="3EED7043"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KBG syndrome (intellectual disability, human)</w:t>
            </w:r>
          </w:p>
        </w:tc>
        <w:tc>
          <w:tcPr>
            <w:tcW w:w="2465" w:type="dxa"/>
            <w:noWrap/>
            <w:vAlign w:val="center"/>
            <w:hideMark/>
          </w:tcPr>
          <w:p w14:paraId="35F894C8"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Neural development</w:t>
            </w:r>
          </w:p>
        </w:tc>
        <w:tc>
          <w:tcPr>
            <w:tcW w:w="3479" w:type="dxa"/>
            <w:vAlign w:val="center"/>
          </w:tcPr>
          <w:p w14:paraId="2EF372BD" w14:textId="6509CE98" w:rsidR="008704AC" w:rsidRPr="008704AC" w:rsidRDefault="008704AC" w:rsidP="008704AC">
            <w:pPr>
              <w:rPr>
                <w:rFonts w:asciiTheme="majorBidi" w:hAnsiTheme="majorBidi" w:cstheme="majorBidi"/>
                <w:b w:val="0"/>
                <w:bCs w:val="0"/>
                <w:color w:val="000000" w:themeColor="text1"/>
                <w:sz w:val="14"/>
                <w:szCs w:val="14"/>
                <w:lang w:bidi="fa-IR"/>
              </w:rPr>
            </w:pPr>
            <w:r w:rsidRPr="008704AC">
              <w:rPr>
                <w:rFonts w:asciiTheme="majorBidi" w:hAnsiTheme="majorBidi" w:cstheme="majorBidi"/>
                <w:b w:val="0"/>
                <w:bCs w:val="0"/>
                <w:color w:val="000000" w:themeColor="text1"/>
                <w:sz w:val="14"/>
                <w:szCs w:val="14"/>
                <w:lang w:bidi="fa-IR"/>
              </w:rPr>
              <w:t>Belgian, Icelandic, Morgan, Welsh</w:t>
            </w:r>
          </w:p>
        </w:tc>
        <w:tc>
          <w:tcPr>
            <w:tcW w:w="1170" w:type="dxa"/>
            <w:vAlign w:val="center"/>
          </w:tcPr>
          <w:p w14:paraId="4C8599A5" w14:textId="44479D1F" w:rsidR="008704AC" w:rsidRPr="008704AC" w:rsidRDefault="008704AC" w:rsidP="008704AC">
            <w:pPr>
              <w:jc w:val="center"/>
              <w:rPr>
                <w:rFonts w:asciiTheme="majorBidi" w:hAnsiTheme="majorBidi" w:cstheme="majorBidi"/>
                <w:b w:val="0"/>
                <w:bCs w:val="0"/>
                <w:color w:val="000000" w:themeColor="text1"/>
                <w:sz w:val="14"/>
                <w:szCs w:val="14"/>
                <w:lang w:bidi="fa-IR"/>
              </w:rPr>
            </w:pPr>
            <w:r w:rsidRPr="008704AC">
              <w:rPr>
                <w:rFonts w:asciiTheme="majorBidi" w:hAnsiTheme="majorBidi" w:cstheme="majorBidi"/>
                <w:b w:val="0"/>
                <w:bCs w:val="0"/>
                <w:color w:val="000000" w:themeColor="text1"/>
                <w:sz w:val="14"/>
                <w:szCs w:val="14"/>
                <w:lang w:bidi="fa-IR"/>
              </w:rPr>
              <w:t>4</w:t>
            </w:r>
          </w:p>
        </w:tc>
      </w:tr>
      <w:tr w:rsidR="008704AC" w:rsidRPr="00FC107E" w14:paraId="646E5DFB" w14:textId="3C6438BE" w:rsidTr="008704AC">
        <w:trPr>
          <w:trHeight w:val="300"/>
        </w:trPr>
        <w:tc>
          <w:tcPr>
            <w:tcW w:w="991" w:type="dxa"/>
            <w:noWrap/>
            <w:vAlign w:val="center"/>
            <w:hideMark/>
          </w:tcPr>
          <w:p w14:paraId="255EA26A" w14:textId="77777777" w:rsidR="008704AC" w:rsidRPr="008C1305" w:rsidRDefault="008704AC" w:rsidP="008704AC">
            <w:pPr>
              <w:jc w:val="cente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CBFA2T3</w:t>
            </w:r>
          </w:p>
        </w:tc>
        <w:tc>
          <w:tcPr>
            <w:tcW w:w="1980" w:type="dxa"/>
            <w:noWrap/>
            <w:vAlign w:val="center"/>
            <w:hideMark/>
          </w:tcPr>
          <w:p w14:paraId="3A898E8E"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Transcriptional corepressor</w:t>
            </w:r>
          </w:p>
        </w:tc>
        <w:tc>
          <w:tcPr>
            <w:tcW w:w="2031" w:type="dxa"/>
            <w:noWrap/>
            <w:vAlign w:val="center"/>
            <w:hideMark/>
          </w:tcPr>
          <w:p w14:paraId="4A2EB374"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Hematopoiesis</w:t>
            </w:r>
          </w:p>
        </w:tc>
        <w:tc>
          <w:tcPr>
            <w:tcW w:w="2914" w:type="dxa"/>
            <w:noWrap/>
            <w:vAlign w:val="center"/>
            <w:hideMark/>
          </w:tcPr>
          <w:p w14:paraId="7CA7491F"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Acute myeloid leukemia (human)</w:t>
            </w:r>
          </w:p>
        </w:tc>
        <w:tc>
          <w:tcPr>
            <w:tcW w:w="2465" w:type="dxa"/>
            <w:noWrap/>
            <w:vAlign w:val="center"/>
            <w:hideMark/>
          </w:tcPr>
          <w:p w14:paraId="38AD1E40"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Hematopoiesis</w:t>
            </w:r>
          </w:p>
        </w:tc>
        <w:tc>
          <w:tcPr>
            <w:tcW w:w="3479" w:type="dxa"/>
            <w:vAlign w:val="center"/>
          </w:tcPr>
          <w:p w14:paraId="6BE196C8" w14:textId="0A638A6D" w:rsidR="008704AC" w:rsidRPr="008704AC" w:rsidRDefault="008704AC" w:rsidP="008704AC">
            <w:pPr>
              <w:rPr>
                <w:rFonts w:asciiTheme="majorBidi" w:hAnsiTheme="majorBidi" w:cstheme="majorBidi"/>
                <w:b w:val="0"/>
                <w:bCs w:val="0"/>
                <w:color w:val="000000" w:themeColor="text1"/>
                <w:sz w:val="14"/>
                <w:szCs w:val="14"/>
                <w:lang w:bidi="fa-IR"/>
              </w:rPr>
            </w:pPr>
            <w:r w:rsidRPr="008704AC">
              <w:rPr>
                <w:rFonts w:asciiTheme="majorBidi" w:hAnsiTheme="majorBidi" w:cstheme="majorBidi"/>
                <w:b w:val="0"/>
                <w:bCs w:val="0"/>
                <w:color w:val="000000" w:themeColor="text1"/>
                <w:sz w:val="14"/>
                <w:szCs w:val="14"/>
                <w:lang w:bidi="fa-IR"/>
              </w:rPr>
              <w:t>Belgian, Icelandic, Morgan, Welsh</w:t>
            </w:r>
          </w:p>
        </w:tc>
        <w:tc>
          <w:tcPr>
            <w:tcW w:w="1170" w:type="dxa"/>
            <w:vAlign w:val="center"/>
          </w:tcPr>
          <w:p w14:paraId="4862549E" w14:textId="27C23B1C" w:rsidR="008704AC" w:rsidRPr="008704AC" w:rsidRDefault="008704AC" w:rsidP="008704AC">
            <w:pPr>
              <w:jc w:val="center"/>
              <w:rPr>
                <w:rFonts w:asciiTheme="majorBidi" w:hAnsiTheme="majorBidi" w:cstheme="majorBidi"/>
                <w:b w:val="0"/>
                <w:bCs w:val="0"/>
                <w:color w:val="000000" w:themeColor="text1"/>
                <w:sz w:val="14"/>
                <w:szCs w:val="14"/>
                <w:lang w:bidi="fa-IR"/>
              </w:rPr>
            </w:pPr>
            <w:r w:rsidRPr="008704AC">
              <w:rPr>
                <w:rFonts w:asciiTheme="majorBidi" w:hAnsiTheme="majorBidi" w:cstheme="majorBidi"/>
                <w:b w:val="0"/>
                <w:bCs w:val="0"/>
                <w:color w:val="000000" w:themeColor="text1"/>
                <w:sz w:val="14"/>
                <w:szCs w:val="14"/>
                <w:lang w:bidi="fa-IR"/>
              </w:rPr>
              <w:t>4</w:t>
            </w:r>
          </w:p>
        </w:tc>
      </w:tr>
      <w:tr w:rsidR="008704AC" w:rsidRPr="00FC107E" w14:paraId="731097FA" w14:textId="7F5502D8" w:rsidTr="008704AC">
        <w:trPr>
          <w:trHeight w:val="300"/>
        </w:trPr>
        <w:tc>
          <w:tcPr>
            <w:tcW w:w="991" w:type="dxa"/>
            <w:noWrap/>
            <w:vAlign w:val="center"/>
            <w:hideMark/>
          </w:tcPr>
          <w:p w14:paraId="79185320" w14:textId="77777777" w:rsidR="008704AC" w:rsidRPr="008C1305" w:rsidRDefault="008704AC" w:rsidP="008704AC">
            <w:pPr>
              <w:jc w:val="cente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CDH15</w:t>
            </w:r>
          </w:p>
        </w:tc>
        <w:tc>
          <w:tcPr>
            <w:tcW w:w="1980" w:type="dxa"/>
            <w:noWrap/>
            <w:vAlign w:val="center"/>
            <w:hideMark/>
          </w:tcPr>
          <w:p w14:paraId="3539F6E0"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Calcium-dependent cell adhesion</w:t>
            </w:r>
          </w:p>
        </w:tc>
        <w:tc>
          <w:tcPr>
            <w:tcW w:w="2031" w:type="dxa"/>
            <w:noWrap/>
            <w:vAlign w:val="center"/>
            <w:hideMark/>
          </w:tcPr>
          <w:p w14:paraId="0BC0B9C8"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Muscle &amp; neuronal development</w:t>
            </w:r>
          </w:p>
        </w:tc>
        <w:tc>
          <w:tcPr>
            <w:tcW w:w="2914" w:type="dxa"/>
            <w:noWrap/>
            <w:vAlign w:val="center"/>
            <w:hideMark/>
          </w:tcPr>
          <w:p w14:paraId="7BA3EF4A"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Congenital myopathy (human/mouse)</w:t>
            </w:r>
          </w:p>
        </w:tc>
        <w:tc>
          <w:tcPr>
            <w:tcW w:w="2465" w:type="dxa"/>
            <w:noWrap/>
            <w:vAlign w:val="center"/>
            <w:hideMark/>
          </w:tcPr>
          <w:p w14:paraId="5B1FEE94"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Muscle/neural development</w:t>
            </w:r>
          </w:p>
        </w:tc>
        <w:tc>
          <w:tcPr>
            <w:tcW w:w="3479" w:type="dxa"/>
            <w:vAlign w:val="center"/>
          </w:tcPr>
          <w:p w14:paraId="7B5B0350" w14:textId="61626DE6" w:rsidR="008704AC" w:rsidRPr="008704AC" w:rsidRDefault="008704AC" w:rsidP="008704AC">
            <w:pPr>
              <w:rPr>
                <w:rFonts w:asciiTheme="majorBidi" w:hAnsiTheme="majorBidi" w:cstheme="majorBidi"/>
                <w:b w:val="0"/>
                <w:bCs w:val="0"/>
                <w:color w:val="000000" w:themeColor="text1"/>
                <w:sz w:val="14"/>
                <w:szCs w:val="14"/>
                <w:lang w:bidi="fa-IR"/>
              </w:rPr>
            </w:pPr>
            <w:r w:rsidRPr="008704AC">
              <w:rPr>
                <w:rFonts w:asciiTheme="majorBidi" w:hAnsiTheme="majorBidi" w:cstheme="majorBidi"/>
                <w:b w:val="0"/>
                <w:bCs w:val="0"/>
                <w:color w:val="000000" w:themeColor="text1"/>
                <w:sz w:val="14"/>
                <w:szCs w:val="14"/>
                <w:lang w:bidi="fa-IR"/>
              </w:rPr>
              <w:t>Belgian, Icelandic, Morgan, Welsh</w:t>
            </w:r>
          </w:p>
        </w:tc>
        <w:tc>
          <w:tcPr>
            <w:tcW w:w="1170" w:type="dxa"/>
            <w:vAlign w:val="center"/>
          </w:tcPr>
          <w:p w14:paraId="6D9B1529" w14:textId="181EEA65" w:rsidR="008704AC" w:rsidRPr="008704AC" w:rsidRDefault="008704AC" w:rsidP="008704AC">
            <w:pPr>
              <w:jc w:val="center"/>
              <w:rPr>
                <w:rFonts w:asciiTheme="majorBidi" w:hAnsiTheme="majorBidi" w:cstheme="majorBidi"/>
                <w:b w:val="0"/>
                <w:bCs w:val="0"/>
                <w:color w:val="000000" w:themeColor="text1"/>
                <w:sz w:val="14"/>
                <w:szCs w:val="14"/>
                <w:lang w:bidi="fa-IR"/>
              </w:rPr>
            </w:pPr>
            <w:r w:rsidRPr="008704AC">
              <w:rPr>
                <w:rFonts w:asciiTheme="majorBidi" w:hAnsiTheme="majorBidi" w:cstheme="majorBidi"/>
                <w:b w:val="0"/>
                <w:bCs w:val="0"/>
                <w:color w:val="000000" w:themeColor="text1"/>
                <w:sz w:val="14"/>
                <w:szCs w:val="14"/>
                <w:lang w:bidi="fa-IR"/>
              </w:rPr>
              <w:t>4</w:t>
            </w:r>
          </w:p>
        </w:tc>
      </w:tr>
      <w:tr w:rsidR="008704AC" w:rsidRPr="00FC107E" w14:paraId="5DCE217D" w14:textId="7187C4E5" w:rsidTr="008704AC">
        <w:trPr>
          <w:trHeight w:val="300"/>
        </w:trPr>
        <w:tc>
          <w:tcPr>
            <w:tcW w:w="991" w:type="dxa"/>
            <w:noWrap/>
            <w:vAlign w:val="center"/>
            <w:hideMark/>
          </w:tcPr>
          <w:p w14:paraId="5EA34775" w14:textId="77777777" w:rsidR="008704AC" w:rsidRPr="008C1305" w:rsidRDefault="008704AC" w:rsidP="008704AC">
            <w:pPr>
              <w:jc w:val="cente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ACAD8</w:t>
            </w:r>
          </w:p>
        </w:tc>
        <w:tc>
          <w:tcPr>
            <w:tcW w:w="1980" w:type="dxa"/>
            <w:noWrap/>
            <w:vAlign w:val="center"/>
            <w:hideMark/>
          </w:tcPr>
          <w:p w14:paraId="38F9343D"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Acyl-CoA dehydrogenase</w:t>
            </w:r>
          </w:p>
        </w:tc>
        <w:tc>
          <w:tcPr>
            <w:tcW w:w="2031" w:type="dxa"/>
            <w:noWrap/>
            <w:vAlign w:val="center"/>
            <w:hideMark/>
          </w:tcPr>
          <w:p w14:paraId="4B55CEBE"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Leucine catabolism</w:t>
            </w:r>
          </w:p>
        </w:tc>
        <w:tc>
          <w:tcPr>
            <w:tcW w:w="2914" w:type="dxa"/>
            <w:noWrap/>
            <w:vAlign w:val="center"/>
            <w:hideMark/>
          </w:tcPr>
          <w:p w14:paraId="35E92CE9"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Isobutyryl-CoA dehydrogenase deficiency (human)</w:t>
            </w:r>
          </w:p>
        </w:tc>
        <w:tc>
          <w:tcPr>
            <w:tcW w:w="2465" w:type="dxa"/>
            <w:noWrap/>
            <w:vAlign w:val="center"/>
            <w:hideMark/>
          </w:tcPr>
          <w:p w14:paraId="4D6CB0F9"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Mitochondrial enzyme in amino acid metabolism</w:t>
            </w:r>
          </w:p>
        </w:tc>
        <w:tc>
          <w:tcPr>
            <w:tcW w:w="3479" w:type="dxa"/>
            <w:vAlign w:val="center"/>
          </w:tcPr>
          <w:p w14:paraId="009980E7" w14:textId="7512F65C" w:rsidR="008704AC" w:rsidRPr="008704AC" w:rsidRDefault="008704AC" w:rsidP="008704AC">
            <w:pPr>
              <w:rPr>
                <w:rFonts w:asciiTheme="majorBidi" w:hAnsiTheme="majorBidi" w:cstheme="majorBidi"/>
                <w:b w:val="0"/>
                <w:bCs w:val="0"/>
                <w:color w:val="000000" w:themeColor="text1"/>
                <w:sz w:val="14"/>
                <w:szCs w:val="14"/>
                <w:lang w:bidi="fa-IR"/>
              </w:rPr>
            </w:pPr>
            <w:r w:rsidRPr="008704AC">
              <w:rPr>
                <w:rFonts w:asciiTheme="majorBidi" w:hAnsiTheme="majorBidi" w:cstheme="majorBidi"/>
                <w:b w:val="0"/>
                <w:bCs w:val="0"/>
                <w:color w:val="000000" w:themeColor="text1"/>
                <w:sz w:val="14"/>
                <w:szCs w:val="14"/>
                <w:lang w:bidi="fa-IR"/>
              </w:rPr>
              <w:t>Arabian, Standardbred, Thoroughbred</w:t>
            </w:r>
          </w:p>
        </w:tc>
        <w:tc>
          <w:tcPr>
            <w:tcW w:w="1170" w:type="dxa"/>
            <w:vAlign w:val="center"/>
          </w:tcPr>
          <w:p w14:paraId="1BF2CD33" w14:textId="7382272C" w:rsidR="008704AC" w:rsidRPr="008704AC" w:rsidRDefault="008704AC" w:rsidP="008704AC">
            <w:pPr>
              <w:jc w:val="center"/>
              <w:rPr>
                <w:rFonts w:asciiTheme="majorBidi" w:hAnsiTheme="majorBidi" w:cstheme="majorBidi"/>
                <w:b w:val="0"/>
                <w:bCs w:val="0"/>
                <w:color w:val="000000" w:themeColor="text1"/>
                <w:sz w:val="14"/>
                <w:szCs w:val="14"/>
                <w:lang w:bidi="fa-IR"/>
              </w:rPr>
            </w:pPr>
            <w:r w:rsidRPr="008704AC">
              <w:rPr>
                <w:rFonts w:asciiTheme="majorBidi" w:hAnsiTheme="majorBidi" w:cstheme="majorBidi"/>
                <w:b w:val="0"/>
                <w:bCs w:val="0"/>
                <w:color w:val="000000" w:themeColor="text1"/>
                <w:sz w:val="14"/>
                <w:szCs w:val="14"/>
                <w:lang w:bidi="fa-IR"/>
              </w:rPr>
              <w:t>3</w:t>
            </w:r>
          </w:p>
        </w:tc>
      </w:tr>
      <w:tr w:rsidR="008704AC" w:rsidRPr="00FC107E" w14:paraId="2B95687F" w14:textId="4CB6E89B" w:rsidTr="008704AC">
        <w:trPr>
          <w:trHeight w:val="300"/>
        </w:trPr>
        <w:tc>
          <w:tcPr>
            <w:tcW w:w="991" w:type="dxa"/>
            <w:noWrap/>
            <w:vAlign w:val="center"/>
            <w:hideMark/>
          </w:tcPr>
          <w:p w14:paraId="47E79ADE" w14:textId="77777777" w:rsidR="008704AC" w:rsidRPr="008C1305" w:rsidRDefault="008704AC" w:rsidP="008704AC">
            <w:pPr>
              <w:jc w:val="cente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APRT</w:t>
            </w:r>
          </w:p>
        </w:tc>
        <w:tc>
          <w:tcPr>
            <w:tcW w:w="1980" w:type="dxa"/>
            <w:noWrap/>
            <w:vAlign w:val="center"/>
            <w:hideMark/>
          </w:tcPr>
          <w:p w14:paraId="1B2D040D"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Adenine phosphoribosyltransferase</w:t>
            </w:r>
          </w:p>
        </w:tc>
        <w:tc>
          <w:tcPr>
            <w:tcW w:w="2031" w:type="dxa"/>
            <w:noWrap/>
            <w:vAlign w:val="center"/>
            <w:hideMark/>
          </w:tcPr>
          <w:p w14:paraId="2901328D"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Purine salvage pathway</w:t>
            </w:r>
          </w:p>
        </w:tc>
        <w:tc>
          <w:tcPr>
            <w:tcW w:w="2914" w:type="dxa"/>
            <w:noWrap/>
            <w:vAlign w:val="center"/>
            <w:hideMark/>
          </w:tcPr>
          <w:p w14:paraId="2DFD1E2B"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Kidney stones (APRT deficiency, mammals)</w:t>
            </w:r>
          </w:p>
        </w:tc>
        <w:tc>
          <w:tcPr>
            <w:tcW w:w="2465" w:type="dxa"/>
            <w:noWrap/>
            <w:vAlign w:val="center"/>
            <w:hideMark/>
          </w:tcPr>
          <w:p w14:paraId="627B3461"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Involved in purine recycling; conserved enzyme</w:t>
            </w:r>
          </w:p>
        </w:tc>
        <w:tc>
          <w:tcPr>
            <w:tcW w:w="3479" w:type="dxa"/>
            <w:vAlign w:val="center"/>
          </w:tcPr>
          <w:p w14:paraId="200667CD" w14:textId="6325B7A5" w:rsidR="008704AC" w:rsidRPr="008704AC" w:rsidRDefault="008704AC" w:rsidP="008704AC">
            <w:pPr>
              <w:rPr>
                <w:rFonts w:asciiTheme="majorBidi" w:hAnsiTheme="majorBidi" w:cstheme="majorBidi"/>
                <w:b w:val="0"/>
                <w:bCs w:val="0"/>
                <w:color w:val="000000" w:themeColor="text1"/>
                <w:sz w:val="14"/>
                <w:szCs w:val="14"/>
                <w:lang w:bidi="fa-IR"/>
              </w:rPr>
            </w:pPr>
            <w:r w:rsidRPr="008704AC">
              <w:rPr>
                <w:rFonts w:asciiTheme="majorBidi" w:hAnsiTheme="majorBidi" w:cstheme="majorBidi"/>
                <w:b w:val="0"/>
                <w:bCs w:val="0"/>
                <w:color w:val="000000" w:themeColor="text1"/>
                <w:sz w:val="14"/>
                <w:szCs w:val="14"/>
                <w:lang w:bidi="fa-IR"/>
              </w:rPr>
              <w:t>Belgian, Morgan, Welsh</w:t>
            </w:r>
          </w:p>
        </w:tc>
        <w:tc>
          <w:tcPr>
            <w:tcW w:w="1170" w:type="dxa"/>
            <w:vAlign w:val="center"/>
          </w:tcPr>
          <w:p w14:paraId="30C8EB68" w14:textId="39032E1A" w:rsidR="008704AC" w:rsidRPr="008704AC" w:rsidRDefault="008704AC" w:rsidP="008704AC">
            <w:pPr>
              <w:jc w:val="center"/>
              <w:rPr>
                <w:rFonts w:asciiTheme="majorBidi" w:hAnsiTheme="majorBidi" w:cstheme="majorBidi"/>
                <w:b w:val="0"/>
                <w:bCs w:val="0"/>
                <w:color w:val="000000" w:themeColor="text1"/>
                <w:sz w:val="14"/>
                <w:szCs w:val="14"/>
                <w:lang w:bidi="fa-IR"/>
              </w:rPr>
            </w:pPr>
            <w:r w:rsidRPr="008704AC">
              <w:rPr>
                <w:rFonts w:asciiTheme="majorBidi" w:hAnsiTheme="majorBidi" w:cstheme="majorBidi"/>
                <w:b w:val="0"/>
                <w:bCs w:val="0"/>
                <w:color w:val="000000" w:themeColor="text1"/>
                <w:sz w:val="14"/>
                <w:szCs w:val="14"/>
                <w:lang w:bidi="fa-IR"/>
              </w:rPr>
              <w:t>3</w:t>
            </w:r>
          </w:p>
        </w:tc>
      </w:tr>
      <w:tr w:rsidR="008704AC" w:rsidRPr="00FC107E" w14:paraId="02B1FE17" w14:textId="26FBB6A5" w:rsidTr="008704AC">
        <w:trPr>
          <w:trHeight w:val="300"/>
        </w:trPr>
        <w:tc>
          <w:tcPr>
            <w:tcW w:w="991" w:type="dxa"/>
            <w:noWrap/>
            <w:vAlign w:val="center"/>
            <w:hideMark/>
          </w:tcPr>
          <w:p w14:paraId="1DD6A243" w14:textId="77777777" w:rsidR="008704AC" w:rsidRPr="008C1305" w:rsidRDefault="008704AC" w:rsidP="008704AC">
            <w:pPr>
              <w:jc w:val="cente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CDK10</w:t>
            </w:r>
          </w:p>
        </w:tc>
        <w:tc>
          <w:tcPr>
            <w:tcW w:w="1980" w:type="dxa"/>
            <w:noWrap/>
            <w:vAlign w:val="center"/>
            <w:hideMark/>
          </w:tcPr>
          <w:p w14:paraId="4E1B9AD0"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Cyclin-dependent kinase</w:t>
            </w:r>
          </w:p>
        </w:tc>
        <w:tc>
          <w:tcPr>
            <w:tcW w:w="2031" w:type="dxa"/>
            <w:noWrap/>
            <w:vAlign w:val="center"/>
            <w:hideMark/>
          </w:tcPr>
          <w:p w14:paraId="140EF96D"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Cell cycle, organogenesis</w:t>
            </w:r>
          </w:p>
        </w:tc>
        <w:tc>
          <w:tcPr>
            <w:tcW w:w="2914" w:type="dxa"/>
            <w:noWrap/>
            <w:vAlign w:val="center"/>
            <w:hideMark/>
          </w:tcPr>
          <w:p w14:paraId="1D83989A"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Alacrima-achalasia syndrome (human)</w:t>
            </w:r>
          </w:p>
        </w:tc>
        <w:tc>
          <w:tcPr>
            <w:tcW w:w="2465" w:type="dxa"/>
            <w:noWrap/>
            <w:vAlign w:val="center"/>
            <w:hideMark/>
          </w:tcPr>
          <w:p w14:paraId="5C8202CB"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Cell cycle</w:t>
            </w:r>
          </w:p>
        </w:tc>
        <w:tc>
          <w:tcPr>
            <w:tcW w:w="3479" w:type="dxa"/>
            <w:vAlign w:val="center"/>
          </w:tcPr>
          <w:p w14:paraId="219AA4D2" w14:textId="4A0C6A45" w:rsidR="008704AC" w:rsidRPr="008704AC" w:rsidRDefault="008704AC" w:rsidP="008704AC">
            <w:pPr>
              <w:rPr>
                <w:rFonts w:asciiTheme="majorBidi" w:hAnsiTheme="majorBidi" w:cstheme="majorBidi"/>
                <w:b w:val="0"/>
                <w:bCs w:val="0"/>
                <w:color w:val="000000" w:themeColor="text1"/>
                <w:sz w:val="14"/>
                <w:szCs w:val="14"/>
                <w:lang w:bidi="fa-IR"/>
              </w:rPr>
            </w:pPr>
            <w:r w:rsidRPr="008704AC">
              <w:rPr>
                <w:rFonts w:asciiTheme="majorBidi" w:hAnsiTheme="majorBidi" w:cstheme="majorBidi"/>
                <w:b w:val="0"/>
                <w:bCs w:val="0"/>
                <w:color w:val="000000" w:themeColor="text1"/>
                <w:sz w:val="14"/>
                <w:szCs w:val="14"/>
                <w:lang w:bidi="fa-IR"/>
              </w:rPr>
              <w:t>Belgian, Icelandic, Welsh</w:t>
            </w:r>
          </w:p>
        </w:tc>
        <w:tc>
          <w:tcPr>
            <w:tcW w:w="1170" w:type="dxa"/>
            <w:vAlign w:val="center"/>
          </w:tcPr>
          <w:p w14:paraId="44B1CDB4" w14:textId="5955B633" w:rsidR="008704AC" w:rsidRPr="008704AC" w:rsidRDefault="008704AC" w:rsidP="008704AC">
            <w:pPr>
              <w:jc w:val="center"/>
              <w:rPr>
                <w:rFonts w:asciiTheme="majorBidi" w:hAnsiTheme="majorBidi" w:cstheme="majorBidi"/>
                <w:b w:val="0"/>
                <w:bCs w:val="0"/>
                <w:color w:val="000000" w:themeColor="text1"/>
                <w:sz w:val="14"/>
                <w:szCs w:val="14"/>
                <w:lang w:bidi="fa-IR"/>
              </w:rPr>
            </w:pPr>
            <w:r w:rsidRPr="008704AC">
              <w:rPr>
                <w:rFonts w:asciiTheme="majorBidi" w:hAnsiTheme="majorBidi" w:cstheme="majorBidi"/>
                <w:b w:val="0"/>
                <w:bCs w:val="0"/>
                <w:color w:val="000000" w:themeColor="text1"/>
                <w:sz w:val="14"/>
                <w:szCs w:val="14"/>
                <w:lang w:bidi="fa-IR"/>
              </w:rPr>
              <w:t>3</w:t>
            </w:r>
          </w:p>
        </w:tc>
      </w:tr>
      <w:tr w:rsidR="008704AC" w:rsidRPr="00FC107E" w14:paraId="51BAC6EA" w14:textId="742D3BD1" w:rsidTr="008704AC">
        <w:trPr>
          <w:trHeight w:val="300"/>
        </w:trPr>
        <w:tc>
          <w:tcPr>
            <w:tcW w:w="991" w:type="dxa"/>
            <w:noWrap/>
            <w:vAlign w:val="center"/>
            <w:hideMark/>
          </w:tcPr>
          <w:p w14:paraId="016D71C1" w14:textId="77777777" w:rsidR="008704AC" w:rsidRPr="008C1305" w:rsidRDefault="008704AC" w:rsidP="008704AC">
            <w:pPr>
              <w:jc w:val="cente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CDT1</w:t>
            </w:r>
          </w:p>
        </w:tc>
        <w:tc>
          <w:tcPr>
            <w:tcW w:w="1980" w:type="dxa"/>
            <w:noWrap/>
            <w:vAlign w:val="center"/>
            <w:hideMark/>
          </w:tcPr>
          <w:p w14:paraId="5EB1B1D6"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DNA replication licensing factor</w:t>
            </w:r>
          </w:p>
        </w:tc>
        <w:tc>
          <w:tcPr>
            <w:tcW w:w="2031" w:type="dxa"/>
            <w:noWrap/>
            <w:vAlign w:val="center"/>
            <w:hideMark/>
          </w:tcPr>
          <w:p w14:paraId="62003C78"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Cell cycle control</w:t>
            </w:r>
          </w:p>
        </w:tc>
        <w:tc>
          <w:tcPr>
            <w:tcW w:w="2914" w:type="dxa"/>
            <w:noWrap/>
            <w:vAlign w:val="center"/>
            <w:hideMark/>
          </w:tcPr>
          <w:p w14:paraId="3E1CBD9B"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DNA re-replication (cancer risk, mammals)</w:t>
            </w:r>
          </w:p>
        </w:tc>
        <w:tc>
          <w:tcPr>
            <w:tcW w:w="2465" w:type="dxa"/>
            <w:noWrap/>
            <w:vAlign w:val="center"/>
            <w:hideMark/>
          </w:tcPr>
          <w:p w14:paraId="6FA2C05E"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Cell cycle</w:t>
            </w:r>
          </w:p>
        </w:tc>
        <w:tc>
          <w:tcPr>
            <w:tcW w:w="3479" w:type="dxa"/>
            <w:vAlign w:val="center"/>
          </w:tcPr>
          <w:p w14:paraId="065CC16F" w14:textId="483BBA43" w:rsidR="008704AC" w:rsidRPr="008704AC" w:rsidRDefault="008704AC" w:rsidP="008704AC">
            <w:pPr>
              <w:rPr>
                <w:rFonts w:asciiTheme="majorBidi" w:hAnsiTheme="majorBidi" w:cstheme="majorBidi"/>
                <w:b w:val="0"/>
                <w:bCs w:val="0"/>
                <w:color w:val="000000" w:themeColor="text1"/>
                <w:sz w:val="14"/>
                <w:szCs w:val="14"/>
                <w:lang w:bidi="fa-IR"/>
              </w:rPr>
            </w:pPr>
            <w:r w:rsidRPr="008704AC">
              <w:rPr>
                <w:rFonts w:asciiTheme="majorBidi" w:hAnsiTheme="majorBidi" w:cstheme="majorBidi"/>
                <w:b w:val="0"/>
                <w:bCs w:val="0"/>
                <w:color w:val="000000" w:themeColor="text1"/>
                <w:sz w:val="14"/>
                <w:szCs w:val="14"/>
                <w:lang w:bidi="fa-IR"/>
              </w:rPr>
              <w:t>Belgian, Morgan, Welsh</w:t>
            </w:r>
          </w:p>
        </w:tc>
        <w:tc>
          <w:tcPr>
            <w:tcW w:w="1170" w:type="dxa"/>
            <w:vAlign w:val="center"/>
          </w:tcPr>
          <w:p w14:paraId="2F756038" w14:textId="36658038" w:rsidR="008704AC" w:rsidRPr="008704AC" w:rsidRDefault="008704AC" w:rsidP="008704AC">
            <w:pPr>
              <w:jc w:val="center"/>
              <w:rPr>
                <w:rFonts w:asciiTheme="majorBidi" w:hAnsiTheme="majorBidi" w:cstheme="majorBidi"/>
                <w:b w:val="0"/>
                <w:bCs w:val="0"/>
                <w:color w:val="000000" w:themeColor="text1"/>
                <w:sz w:val="14"/>
                <w:szCs w:val="14"/>
                <w:lang w:bidi="fa-IR"/>
              </w:rPr>
            </w:pPr>
            <w:r w:rsidRPr="008704AC">
              <w:rPr>
                <w:rFonts w:asciiTheme="majorBidi" w:hAnsiTheme="majorBidi" w:cstheme="majorBidi"/>
                <w:b w:val="0"/>
                <w:bCs w:val="0"/>
                <w:color w:val="000000" w:themeColor="text1"/>
                <w:sz w:val="14"/>
                <w:szCs w:val="14"/>
                <w:lang w:bidi="fa-IR"/>
              </w:rPr>
              <w:t>3</w:t>
            </w:r>
          </w:p>
        </w:tc>
      </w:tr>
      <w:tr w:rsidR="008704AC" w:rsidRPr="00FC107E" w14:paraId="47B0BA1F" w14:textId="44F91438" w:rsidTr="008704AC">
        <w:trPr>
          <w:trHeight w:val="300"/>
        </w:trPr>
        <w:tc>
          <w:tcPr>
            <w:tcW w:w="991" w:type="dxa"/>
            <w:noWrap/>
            <w:vAlign w:val="center"/>
            <w:hideMark/>
          </w:tcPr>
          <w:p w14:paraId="056DE716" w14:textId="77777777" w:rsidR="008704AC" w:rsidRPr="008C1305" w:rsidRDefault="008704AC" w:rsidP="008704AC">
            <w:pPr>
              <w:jc w:val="cente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CHMP1A</w:t>
            </w:r>
          </w:p>
        </w:tc>
        <w:tc>
          <w:tcPr>
            <w:tcW w:w="1980" w:type="dxa"/>
            <w:noWrap/>
            <w:vAlign w:val="center"/>
            <w:hideMark/>
          </w:tcPr>
          <w:p w14:paraId="6446F5EE"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ESCRT-III complex subunit</w:t>
            </w:r>
          </w:p>
        </w:tc>
        <w:tc>
          <w:tcPr>
            <w:tcW w:w="2031" w:type="dxa"/>
            <w:noWrap/>
            <w:vAlign w:val="center"/>
            <w:hideMark/>
          </w:tcPr>
          <w:p w14:paraId="11559B7B"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Cytokinesis, viral budding</w:t>
            </w:r>
          </w:p>
        </w:tc>
        <w:tc>
          <w:tcPr>
            <w:tcW w:w="2914" w:type="dxa"/>
            <w:noWrap/>
            <w:vAlign w:val="center"/>
            <w:hideMark/>
          </w:tcPr>
          <w:p w14:paraId="1C3A865E"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Microcephaly (human)</w:t>
            </w:r>
          </w:p>
        </w:tc>
        <w:tc>
          <w:tcPr>
            <w:tcW w:w="2465" w:type="dxa"/>
            <w:noWrap/>
            <w:vAlign w:val="center"/>
            <w:hideMark/>
          </w:tcPr>
          <w:p w14:paraId="0C417EF8"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Cell division</w:t>
            </w:r>
          </w:p>
        </w:tc>
        <w:tc>
          <w:tcPr>
            <w:tcW w:w="3479" w:type="dxa"/>
            <w:vAlign w:val="center"/>
          </w:tcPr>
          <w:p w14:paraId="228973F3" w14:textId="6EF4C30D" w:rsidR="008704AC" w:rsidRPr="008704AC" w:rsidRDefault="008704AC" w:rsidP="008704AC">
            <w:pPr>
              <w:rPr>
                <w:rFonts w:asciiTheme="majorBidi" w:hAnsiTheme="majorBidi" w:cstheme="majorBidi"/>
                <w:b w:val="0"/>
                <w:bCs w:val="0"/>
                <w:color w:val="000000" w:themeColor="text1"/>
                <w:sz w:val="14"/>
                <w:szCs w:val="14"/>
                <w:lang w:bidi="fa-IR"/>
              </w:rPr>
            </w:pPr>
            <w:r w:rsidRPr="008704AC">
              <w:rPr>
                <w:rFonts w:asciiTheme="majorBidi" w:hAnsiTheme="majorBidi" w:cstheme="majorBidi"/>
                <w:b w:val="0"/>
                <w:bCs w:val="0"/>
                <w:color w:val="000000" w:themeColor="text1"/>
                <w:sz w:val="14"/>
                <w:szCs w:val="14"/>
                <w:lang w:bidi="fa-IR"/>
              </w:rPr>
              <w:t>Belgian, Icelandic, Welsh</w:t>
            </w:r>
          </w:p>
        </w:tc>
        <w:tc>
          <w:tcPr>
            <w:tcW w:w="1170" w:type="dxa"/>
            <w:vAlign w:val="center"/>
          </w:tcPr>
          <w:p w14:paraId="0E31EF52" w14:textId="3EEBBA57" w:rsidR="008704AC" w:rsidRPr="008704AC" w:rsidRDefault="008704AC" w:rsidP="008704AC">
            <w:pPr>
              <w:jc w:val="center"/>
              <w:rPr>
                <w:rFonts w:asciiTheme="majorBidi" w:hAnsiTheme="majorBidi" w:cstheme="majorBidi"/>
                <w:b w:val="0"/>
                <w:bCs w:val="0"/>
                <w:color w:val="000000" w:themeColor="text1"/>
                <w:sz w:val="14"/>
                <w:szCs w:val="14"/>
                <w:lang w:bidi="fa-IR"/>
              </w:rPr>
            </w:pPr>
            <w:r w:rsidRPr="008704AC">
              <w:rPr>
                <w:rFonts w:asciiTheme="majorBidi" w:hAnsiTheme="majorBidi" w:cstheme="majorBidi"/>
                <w:b w:val="0"/>
                <w:bCs w:val="0"/>
                <w:color w:val="000000" w:themeColor="text1"/>
                <w:sz w:val="14"/>
                <w:szCs w:val="14"/>
                <w:lang w:bidi="fa-IR"/>
              </w:rPr>
              <w:t>3</w:t>
            </w:r>
          </w:p>
        </w:tc>
      </w:tr>
      <w:tr w:rsidR="008704AC" w:rsidRPr="00FC107E" w14:paraId="3B399012" w14:textId="2CB6DF8D" w:rsidTr="008704AC">
        <w:trPr>
          <w:trHeight w:val="300"/>
        </w:trPr>
        <w:tc>
          <w:tcPr>
            <w:tcW w:w="991" w:type="dxa"/>
            <w:noWrap/>
            <w:vAlign w:val="center"/>
            <w:hideMark/>
          </w:tcPr>
          <w:p w14:paraId="61E122C8" w14:textId="77777777" w:rsidR="008704AC" w:rsidRPr="008C1305" w:rsidRDefault="008704AC" w:rsidP="008704AC">
            <w:pPr>
              <w:jc w:val="cente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CPNE7</w:t>
            </w:r>
          </w:p>
        </w:tc>
        <w:tc>
          <w:tcPr>
            <w:tcW w:w="1980" w:type="dxa"/>
            <w:noWrap/>
            <w:vAlign w:val="center"/>
            <w:hideMark/>
          </w:tcPr>
          <w:p w14:paraId="15004599"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Calcium-dependent phospholipid binding</w:t>
            </w:r>
          </w:p>
        </w:tc>
        <w:tc>
          <w:tcPr>
            <w:tcW w:w="2031" w:type="dxa"/>
            <w:noWrap/>
            <w:vAlign w:val="center"/>
            <w:hideMark/>
          </w:tcPr>
          <w:p w14:paraId="467ACA7C"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Cell adhesion, wound healing</w:t>
            </w:r>
          </w:p>
        </w:tc>
        <w:tc>
          <w:tcPr>
            <w:tcW w:w="2914" w:type="dxa"/>
            <w:noWrap/>
            <w:vAlign w:val="center"/>
            <w:hideMark/>
          </w:tcPr>
          <w:p w14:paraId="6FB6D0F5"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Not well-studied in horses</w:t>
            </w:r>
          </w:p>
        </w:tc>
        <w:tc>
          <w:tcPr>
            <w:tcW w:w="2465" w:type="dxa"/>
            <w:noWrap/>
            <w:vAlign w:val="center"/>
            <w:hideMark/>
          </w:tcPr>
          <w:p w14:paraId="537B4602"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Membrane/cell adhesion</w:t>
            </w:r>
          </w:p>
        </w:tc>
        <w:tc>
          <w:tcPr>
            <w:tcW w:w="3479" w:type="dxa"/>
            <w:vAlign w:val="center"/>
          </w:tcPr>
          <w:p w14:paraId="7EAAF7FD" w14:textId="745875BE" w:rsidR="008704AC" w:rsidRPr="008704AC" w:rsidRDefault="008704AC" w:rsidP="008704AC">
            <w:pPr>
              <w:rPr>
                <w:rFonts w:asciiTheme="majorBidi" w:hAnsiTheme="majorBidi" w:cstheme="majorBidi"/>
                <w:b w:val="0"/>
                <w:bCs w:val="0"/>
                <w:color w:val="000000" w:themeColor="text1"/>
                <w:sz w:val="14"/>
                <w:szCs w:val="14"/>
                <w:lang w:bidi="fa-IR"/>
              </w:rPr>
            </w:pPr>
            <w:r w:rsidRPr="008704AC">
              <w:rPr>
                <w:rFonts w:asciiTheme="majorBidi" w:hAnsiTheme="majorBidi" w:cstheme="majorBidi"/>
                <w:b w:val="0"/>
                <w:bCs w:val="0"/>
                <w:color w:val="000000" w:themeColor="text1"/>
                <w:sz w:val="14"/>
                <w:szCs w:val="14"/>
                <w:lang w:bidi="fa-IR"/>
              </w:rPr>
              <w:t>Belgian, Icelandic, Welsh</w:t>
            </w:r>
          </w:p>
        </w:tc>
        <w:tc>
          <w:tcPr>
            <w:tcW w:w="1170" w:type="dxa"/>
            <w:vAlign w:val="center"/>
          </w:tcPr>
          <w:p w14:paraId="7FF8A7F5" w14:textId="00A9E793" w:rsidR="008704AC" w:rsidRPr="008704AC" w:rsidRDefault="008704AC" w:rsidP="008704AC">
            <w:pPr>
              <w:jc w:val="center"/>
              <w:rPr>
                <w:rFonts w:asciiTheme="majorBidi" w:hAnsiTheme="majorBidi" w:cstheme="majorBidi"/>
                <w:b w:val="0"/>
                <w:bCs w:val="0"/>
                <w:color w:val="000000" w:themeColor="text1"/>
                <w:sz w:val="14"/>
                <w:szCs w:val="14"/>
                <w:lang w:bidi="fa-IR"/>
              </w:rPr>
            </w:pPr>
            <w:r w:rsidRPr="008704AC">
              <w:rPr>
                <w:rFonts w:asciiTheme="majorBidi" w:hAnsiTheme="majorBidi" w:cstheme="majorBidi"/>
                <w:b w:val="0"/>
                <w:bCs w:val="0"/>
                <w:color w:val="000000" w:themeColor="text1"/>
                <w:sz w:val="14"/>
                <w:szCs w:val="14"/>
                <w:lang w:bidi="fa-IR"/>
              </w:rPr>
              <w:t>3</w:t>
            </w:r>
          </w:p>
        </w:tc>
      </w:tr>
      <w:tr w:rsidR="008704AC" w:rsidRPr="00FC107E" w14:paraId="1FA33103" w14:textId="0150565F" w:rsidTr="008704AC">
        <w:trPr>
          <w:trHeight w:val="300"/>
        </w:trPr>
        <w:tc>
          <w:tcPr>
            <w:tcW w:w="991" w:type="dxa"/>
            <w:noWrap/>
            <w:vAlign w:val="center"/>
            <w:hideMark/>
          </w:tcPr>
          <w:p w14:paraId="2A58D81C" w14:textId="77777777" w:rsidR="008704AC" w:rsidRPr="008C1305" w:rsidRDefault="008704AC" w:rsidP="008704AC">
            <w:pPr>
              <w:jc w:val="cente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CTU2</w:t>
            </w:r>
          </w:p>
        </w:tc>
        <w:tc>
          <w:tcPr>
            <w:tcW w:w="1980" w:type="dxa"/>
            <w:noWrap/>
            <w:vAlign w:val="center"/>
            <w:hideMark/>
          </w:tcPr>
          <w:p w14:paraId="2D676E48"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tRNA thiolation enzyme</w:t>
            </w:r>
          </w:p>
        </w:tc>
        <w:tc>
          <w:tcPr>
            <w:tcW w:w="2031" w:type="dxa"/>
            <w:noWrap/>
            <w:vAlign w:val="center"/>
            <w:hideMark/>
          </w:tcPr>
          <w:p w14:paraId="73FE9E43"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tRNA modification</w:t>
            </w:r>
          </w:p>
        </w:tc>
        <w:tc>
          <w:tcPr>
            <w:tcW w:w="2914" w:type="dxa"/>
            <w:noWrap/>
            <w:vAlign w:val="center"/>
            <w:hideMark/>
          </w:tcPr>
          <w:p w14:paraId="0A0A75F1"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Developmental defects (human)</w:t>
            </w:r>
          </w:p>
        </w:tc>
        <w:tc>
          <w:tcPr>
            <w:tcW w:w="2465" w:type="dxa"/>
            <w:noWrap/>
            <w:vAlign w:val="center"/>
            <w:hideMark/>
          </w:tcPr>
          <w:p w14:paraId="4E5B4CEE"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RNA modification</w:t>
            </w:r>
          </w:p>
        </w:tc>
        <w:tc>
          <w:tcPr>
            <w:tcW w:w="3479" w:type="dxa"/>
            <w:vAlign w:val="center"/>
          </w:tcPr>
          <w:p w14:paraId="020E3170" w14:textId="11259519" w:rsidR="008704AC" w:rsidRPr="008704AC" w:rsidRDefault="008704AC" w:rsidP="008704AC">
            <w:pPr>
              <w:rPr>
                <w:rFonts w:asciiTheme="majorBidi" w:hAnsiTheme="majorBidi" w:cstheme="majorBidi"/>
                <w:b w:val="0"/>
                <w:bCs w:val="0"/>
                <w:color w:val="000000" w:themeColor="text1"/>
                <w:sz w:val="14"/>
                <w:szCs w:val="14"/>
                <w:lang w:bidi="fa-IR"/>
              </w:rPr>
            </w:pPr>
            <w:r w:rsidRPr="008704AC">
              <w:rPr>
                <w:rFonts w:asciiTheme="majorBidi" w:hAnsiTheme="majorBidi" w:cstheme="majorBidi"/>
                <w:b w:val="0"/>
                <w:bCs w:val="0"/>
                <w:color w:val="000000" w:themeColor="text1"/>
                <w:sz w:val="14"/>
                <w:szCs w:val="14"/>
                <w:lang w:bidi="fa-IR"/>
              </w:rPr>
              <w:t>Belgian, Morgan, Welsh</w:t>
            </w:r>
          </w:p>
        </w:tc>
        <w:tc>
          <w:tcPr>
            <w:tcW w:w="1170" w:type="dxa"/>
            <w:vAlign w:val="center"/>
          </w:tcPr>
          <w:p w14:paraId="758B4EA2" w14:textId="69D59761" w:rsidR="008704AC" w:rsidRPr="008704AC" w:rsidRDefault="008704AC" w:rsidP="008704AC">
            <w:pPr>
              <w:jc w:val="center"/>
              <w:rPr>
                <w:rFonts w:asciiTheme="majorBidi" w:hAnsiTheme="majorBidi" w:cstheme="majorBidi"/>
                <w:b w:val="0"/>
                <w:bCs w:val="0"/>
                <w:color w:val="000000" w:themeColor="text1"/>
                <w:sz w:val="14"/>
                <w:szCs w:val="14"/>
                <w:lang w:bidi="fa-IR"/>
              </w:rPr>
            </w:pPr>
            <w:r w:rsidRPr="008704AC">
              <w:rPr>
                <w:rFonts w:asciiTheme="majorBidi" w:hAnsiTheme="majorBidi" w:cstheme="majorBidi"/>
                <w:b w:val="0"/>
                <w:bCs w:val="0"/>
                <w:color w:val="000000" w:themeColor="text1"/>
                <w:sz w:val="14"/>
                <w:szCs w:val="14"/>
                <w:lang w:bidi="fa-IR"/>
              </w:rPr>
              <w:t>3</w:t>
            </w:r>
          </w:p>
        </w:tc>
      </w:tr>
      <w:tr w:rsidR="008704AC" w:rsidRPr="00FC107E" w14:paraId="28142DAD" w14:textId="7C5483FC" w:rsidTr="008704AC">
        <w:trPr>
          <w:trHeight w:val="300"/>
        </w:trPr>
        <w:tc>
          <w:tcPr>
            <w:tcW w:w="991" w:type="dxa"/>
            <w:noWrap/>
            <w:vAlign w:val="center"/>
            <w:hideMark/>
          </w:tcPr>
          <w:p w14:paraId="529BFECE" w14:textId="77777777" w:rsidR="008704AC" w:rsidRPr="008C1305" w:rsidRDefault="008704AC" w:rsidP="008704AC">
            <w:pPr>
              <w:jc w:val="cente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CYBA</w:t>
            </w:r>
          </w:p>
        </w:tc>
        <w:tc>
          <w:tcPr>
            <w:tcW w:w="1980" w:type="dxa"/>
            <w:noWrap/>
            <w:vAlign w:val="center"/>
            <w:hideMark/>
          </w:tcPr>
          <w:p w14:paraId="458AFFF3"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NADPH oxidase subunit</w:t>
            </w:r>
          </w:p>
        </w:tc>
        <w:tc>
          <w:tcPr>
            <w:tcW w:w="2031" w:type="dxa"/>
            <w:noWrap/>
            <w:vAlign w:val="center"/>
            <w:hideMark/>
          </w:tcPr>
          <w:p w14:paraId="0089E253"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Reactive oxygen species (ROS) production</w:t>
            </w:r>
          </w:p>
        </w:tc>
        <w:tc>
          <w:tcPr>
            <w:tcW w:w="2914" w:type="dxa"/>
            <w:noWrap/>
            <w:vAlign w:val="center"/>
            <w:hideMark/>
          </w:tcPr>
          <w:p w14:paraId="44BC43D9"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Chronic granulomatous disease (human)</w:t>
            </w:r>
          </w:p>
        </w:tc>
        <w:tc>
          <w:tcPr>
            <w:tcW w:w="2465" w:type="dxa"/>
            <w:noWrap/>
            <w:vAlign w:val="center"/>
            <w:hideMark/>
          </w:tcPr>
          <w:p w14:paraId="0583B06E"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Immune / redox</w:t>
            </w:r>
          </w:p>
        </w:tc>
        <w:tc>
          <w:tcPr>
            <w:tcW w:w="3479" w:type="dxa"/>
            <w:vAlign w:val="center"/>
          </w:tcPr>
          <w:p w14:paraId="5158580D" w14:textId="421D4B87" w:rsidR="008704AC" w:rsidRPr="008704AC" w:rsidRDefault="008704AC" w:rsidP="008704AC">
            <w:pPr>
              <w:rPr>
                <w:rFonts w:asciiTheme="majorBidi" w:hAnsiTheme="majorBidi" w:cstheme="majorBidi"/>
                <w:b w:val="0"/>
                <w:bCs w:val="0"/>
                <w:color w:val="000000" w:themeColor="text1"/>
                <w:sz w:val="14"/>
                <w:szCs w:val="14"/>
                <w:lang w:bidi="fa-IR"/>
              </w:rPr>
            </w:pPr>
            <w:r w:rsidRPr="008704AC">
              <w:rPr>
                <w:rFonts w:asciiTheme="majorBidi" w:hAnsiTheme="majorBidi" w:cstheme="majorBidi"/>
                <w:b w:val="0"/>
                <w:bCs w:val="0"/>
                <w:color w:val="000000" w:themeColor="text1"/>
                <w:sz w:val="14"/>
                <w:szCs w:val="14"/>
                <w:lang w:bidi="fa-IR"/>
              </w:rPr>
              <w:t>Belgian, Morgan, Welsh</w:t>
            </w:r>
          </w:p>
        </w:tc>
        <w:tc>
          <w:tcPr>
            <w:tcW w:w="1170" w:type="dxa"/>
            <w:vAlign w:val="center"/>
          </w:tcPr>
          <w:p w14:paraId="4536CE27" w14:textId="78E74FC2" w:rsidR="008704AC" w:rsidRPr="008704AC" w:rsidRDefault="008704AC" w:rsidP="008704AC">
            <w:pPr>
              <w:jc w:val="center"/>
              <w:rPr>
                <w:rFonts w:asciiTheme="majorBidi" w:hAnsiTheme="majorBidi" w:cstheme="majorBidi"/>
                <w:b w:val="0"/>
                <w:bCs w:val="0"/>
                <w:color w:val="000000" w:themeColor="text1"/>
                <w:sz w:val="14"/>
                <w:szCs w:val="14"/>
                <w:lang w:bidi="fa-IR"/>
              </w:rPr>
            </w:pPr>
            <w:r w:rsidRPr="008704AC">
              <w:rPr>
                <w:rFonts w:asciiTheme="majorBidi" w:hAnsiTheme="majorBidi" w:cstheme="majorBidi"/>
                <w:b w:val="0"/>
                <w:bCs w:val="0"/>
                <w:color w:val="000000" w:themeColor="text1"/>
                <w:sz w:val="14"/>
                <w:szCs w:val="14"/>
                <w:lang w:bidi="fa-IR"/>
              </w:rPr>
              <w:t>3</w:t>
            </w:r>
          </w:p>
        </w:tc>
      </w:tr>
      <w:tr w:rsidR="008704AC" w:rsidRPr="00FC107E" w14:paraId="5DEE9767" w14:textId="628F896E" w:rsidTr="008704AC">
        <w:trPr>
          <w:trHeight w:val="300"/>
        </w:trPr>
        <w:tc>
          <w:tcPr>
            <w:tcW w:w="991" w:type="dxa"/>
            <w:noWrap/>
            <w:vAlign w:val="center"/>
            <w:hideMark/>
          </w:tcPr>
          <w:p w14:paraId="292904CA" w14:textId="77777777" w:rsidR="008704AC" w:rsidRPr="008C1305" w:rsidRDefault="008704AC" w:rsidP="008704AC">
            <w:pPr>
              <w:jc w:val="cente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DBNDD1</w:t>
            </w:r>
          </w:p>
        </w:tc>
        <w:tc>
          <w:tcPr>
            <w:tcW w:w="1980" w:type="dxa"/>
            <w:noWrap/>
            <w:vAlign w:val="center"/>
            <w:hideMark/>
          </w:tcPr>
          <w:p w14:paraId="25A9830A"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Protein binding (DNA damage response)</w:t>
            </w:r>
          </w:p>
        </w:tc>
        <w:tc>
          <w:tcPr>
            <w:tcW w:w="2031" w:type="dxa"/>
            <w:noWrap/>
            <w:vAlign w:val="center"/>
            <w:hideMark/>
          </w:tcPr>
          <w:p w14:paraId="7314DF4F"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Cell proliferation</w:t>
            </w:r>
          </w:p>
        </w:tc>
        <w:tc>
          <w:tcPr>
            <w:tcW w:w="2914" w:type="dxa"/>
            <w:noWrap/>
            <w:vAlign w:val="center"/>
            <w:hideMark/>
          </w:tcPr>
          <w:p w14:paraId="02C7E140"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No known equine phenotype</w:t>
            </w:r>
          </w:p>
        </w:tc>
        <w:tc>
          <w:tcPr>
            <w:tcW w:w="2465" w:type="dxa"/>
            <w:noWrap/>
            <w:vAlign w:val="center"/>
            <w:hideMark/>
          </w:tcPr>
          <w:p w14:paraId="4918F7FE"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DNA damage response</w:t>
            </w:r>
          </w:p>
        </w:tc>
        <w:tc>
          <w:tcPr>
            <w:tcW w:w="3479" w:type="dxa"/>
            <w:vAlign w:val="center"/>
          </w:tcPr>
          <w:p w14:paraId="379823F1" w14:textId="5CEBBDE3" w:rsidR="008704AC" w:rsidRPr="008704AC" w:rsidRDefault="008704AC" w:rsidP="008704AC">
            <w:pPr>
              <w:rPr>
                <w:rFonts w:asciiTheme="majorBidi" w:hAnsiTheme="majorBidi" w:cstheme="majorBidi"/>
                <w:b w:val="0"/>
                <w:bCs w:val="0"/>
                <w:color w:val="000000" w:themeColor="text1"/>
                <w:sz w:val="14"/>
                <w:szCs w:val="14"/>
                <w:lang w:bidi="fa-IR"/>
              </w:rPr>
            </w:pPr>
            <w:r w:rsidRPr="008704AC">
              <w:rPr>
                <w:rFonts w:asciiTheme="majorBidi" w:hAnsiTheme="majorBidi" w:cstheme="majorBidi"/>
                <w:b w:val="0"/>
                <w:bCs w:val="0"/>
                <w:color w:val="000000" w:themeColor="text1"/>
                <w:sz w:val="14"/>
                <w:szCs w:val="14"/>
                <w:lang w:bidi="fa-IR"/>
              </w:rPr>
              <w:t>Belgian, Icelandic, Welsh</w:t>
            </w:r>
          </w:p>
        </w:tc>
        <w:tc>
          <w:tcPr>
            <w:tcW w:w="1170" w:type="dxa"/>
            <w:vAlign w:val="center"/>
          </w:tcPr>
          <w:p w14:paraId="62A7AC5D" w14:textId="5AE08368" w:rsidR="008704AC" w:rsidRPr="008704AC" w:rsidRDefault="008704AC" w:rsidP="008704AC">
            <w:pPr>
              <w:jc w:val="center"/>
              <w:rPr>
                <w:rFonts w:asciiTheme="majorBidi" w:hAnsiTheme="majorBidi" w:cstheme="majorBidi"/>
                <w:b w:val="0"/>
                <w:bCs w:val="0"/>
                <w:color w:val="000000" w:themeColor="text1"/>
                <w:sz w:val="14"/>
                <w:szCs w:val="14"/>
                <w:lang w:bidi="fa-IR"/>
              </w:rPr>
            </w:pPr>
            <w:r w:rsidRPr="008704AC">
              <w:rPr>
                <w:rFonts w:asciiTheme="majorBidi" w:hAnsiTheme="majorBidi" w:cstheme="majorBidi"/>
                <w:b w:val="0"/>
                <w:bCs w:val="0"/>
                <w:color w:val="000000" w:themeColor="text1"/>
                <w:sz w:val="14"/>
                <w:szCs w:val="14"/>
                <w:lang w:bidi="fa-IR"/>
              </w:rPr>
              <w:t>3</w:t>
            </w:r>
          </w:p>
        </w:tc>
      </w:tr>
      <w:tr w:rsidR="008704AC" w:rsidRPr="00FC107E" w14:paraId="79297808" w14:textId="558C677E" w:rsidTr="008704AC">
        <w:trPr>
          <w:trHeight w:val="300"/>
        </w:trPr>
        <w:tc>
          <w:tcPr>
            <w:tcW w:w="991" w:type="dxa"/>
            <w:noWrap/>
            <w:vAlign w:val="center"/>
            <w:hideMark/>
          </w:tcPr>
          <w:p w14:paraId="253329E1" w14:textId="77777777" w:rsidR="008704AC" w:rsidRPr="008C1305" w:rsidRDefault="008704AC" w:rsidP="008704AC">
            <w:pPr>
              <w:jc w:val="cente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DEF8</w:t>
            </w:r>
          </w:p>
        </w:tc>
        <w:tc>
          <w:tcPr>
            <w:tcW w:w="1980" w:type="dxa"/>
            <w:noWrap/>
            <w:vAlign w:val="center"/>
            <w:hideMark/>
          </w:tcPr>
          <w:p w14:paraId="36DA5FF3"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Immune-related GTPase</w:t>
            </w:r>
          </w:p>
        </w:tc>
        <w:tc>
          <w:tcPr>
            <w:tcW w:w="2031" w:type="dxa"/>
            <w:noWrap/>
            <w:vAlign w:val="center"/>
            <w:hideMark/>
          </w:tcPr>
          <w:p w14:paraId="729FC47E"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Autophagy, immune regulation</w:t>
            </w:r>
          </w:p>
        </w:tc>
        <w:tc>
          <w:tcPr>
            <w:tcW w:w="2914" w:type="dxa"/>
            <w:noWrap/>
            <w:vAlign w:val="center"/>
            <w:hideMark/>
          </w:tcPr>
          <w:p w14:paraId="76420018"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Not characterized in horses</w:t>
            </w:r>
          </w:p>
        </w:tc>
        <w:tc>
          <w:tcPr>
            <w:tcW w:w="2465" w:type="dxa"/>
            <w:noWrap/>
            <w:vAlign w:val="center"/>
            <w:hideMark/>
          </w:tcPr>
          <w:p w14:paraId="5D0A8F54"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Immune system / autophagy</w:t>
            </w:r>
          </w:p>
        </w:tc>
        <w:tc>
          <w:tcPr>
            <w:tcW w:w="3479" w:type="dxa"/>
            <w:vAlign w:val="center"/>
          </w:tcPr>
          <w:p w14:paraId="066B2258" w14:textId="721E13BB" w:rsidR="008704AC" w:rsidRPr="008704AC" w:rsidRDefault="008704AC" w:rsidP="008704AC">
            <w:pPr>
              <w:rPr>
                <w:rFonts w:asciiTheme="majorBidi" w:hAnsiTheme="majorBidi" w:cstheme="majorBidi"/>
                <w:b w:val="0"/>
                <w:bCs w:val="0"/>
                <w:color w:val="000000" w:themeColor="text1"/>
                <w:sz w:val="14"/>
                <w:szCs w:val="14"/>
                <w:lang w:bidi="fa-IR"/>
              </w:rPr>
            </w:pPr>
            <w:r w:rsidRPr="008704AC">
              <w:rPr>
                <w:rFonts w:asciiTheme="majorBidi" w:hAnsiTheme="majorBidi" w:cstheme="majorBidi"/>
                <w:b w:val="0"/>
                <w:bCs w:val="0"/>
                <w:color w:val="000000" w:themeColor="text1"/>
                <w:sz w:val="14"/>
                <w:szCs w:val="14"/>
                <w:lang w:bidi="fa-IR"/>
              </w:rPr>
              <w:t>Belgian, Icelandic, Welsh</w:t>
            </w:r>
          </w:p>
        </w:tc>
        <w:tc>
          <w:tcPr>
            <w:tcW w:w="1170" w:type="dxa"/>
            <w:vAlign w:val="center"/>
          </w:tcPr>
          <w:p w14:paraId="57114E14" w14:textId="06E7DCCE" w:rsidR="008704AC" w:rsidRPr="008704AC" w:rsidRDefault="008704AC" w:rsidP="008704AC">
            <w:pPr>
              <w:jc w:val="center"/>
              <w:rPr>
                <w:rFonts w:asciiTheme="majorBidi" w:hAnsiTheme="majorBidi" w:cstheme="majorBidi"/>
                <w:b w:val="0"/>
                <w:bCs w:val="0"/>
                <w:color w:val="000000" w:themeColor="text1"/>
                <w:sz w:val="14"/>
                <w:szCs w:val="14"/>
                <w:lang w:bidi="fa-IR"/>
              </w:rPr>
            </w:pPr>
            <w:r w:rsidRPr="008704AC">
              <w:rPr>
                <w:rFonts w:asciiTheme="majorBidi" w:hAnsiTheme="majorBidi" w:cstheme="majorBidi"/>
                <w:b w:val="0"/>
                <w:bCs w:val="0"/>
                <w:color w:val="000000" w:themeColor="text1"/>
                <w:sz w:val="14"/>
                <w:szCs w:val="14"/>
                <w:lang w:bidi="fa-IR"/>
              </w:rPr>
              <w:t>3</w:t>
            </w:r>
          </w:p>
        </w:tc>
      </w:tr>
      <w:tr w:rsidR="008704AC" w:rsidRPr="00FC107E" w14:paraId="037F8581" w14:textId="4DED3360" w:rsidTr="008704AC">
        <w:trPr>
          <w:trHeight w:val="300"/>
        </w:trPr>
        <w:tc>
          <w:tcPr>
            <w:tcW w:w="991" w:type="dxa"/>
            <w:noWrap/>
            <w:vAlign w:val="center"/>
            <w:hideMark/>
          </w:tcPr>
          <w:p w14:paraId="46EEC809" w14:textId="77777777" w:rsidR="008704AC" w:rsidRPr="008C1305" w:rsidRDefault="008704AC" w:rsidP="008704AC">
            <w:pPr>
              <w:jc w:val="cente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DPEP1</w:t>
            </w:r>
          </w:p>
        </w:tc>
        <w:tc>
          <w:tcPr>
            <w:tcW w:w="1980" w:type="dxa"/>
            <w:noWrap/>
            <w:vAlign w:val="center"/>
            <w:hideMark/>
          </w:tcPr>
          <w:p w14:paraId="517CE84C"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Metalloproteinase (zinc-dependent)</w:t>
            </w:r>
          </w:p>
        </w:tc>
        <w:tc>
          <w:tcPr>
            <w:tcW w:w="2031" w:type="dxa"/>
            <w:noWrap/>
            <w:vAlign w:val="center"/>
            <w:hideMark/>
          </w:tcPr>
          <w:p w14:paraId="3FE87C15"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Leukotriene metabolism</w:t>
            </w:r>
          </w:p>
        </w:tc>
        <w:tc>
          <w:tcPr>
            <w:tcW w:w="2914" w:type="dxa"/>
            <w:noWrap/>
            <w:vAlign w:val="center"/>
            <w:hideMark/>
          </w:tcPr>
          <w:p w14:paraId="54ED0E9D"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Kidney injury biomarker (mammals)</w:t>
            </w:r>
          </w:p>
        </w:tc>
        <w:tc>
          <w:tcPr>
            <w:tcW w:w="2465" w:type="dxa"/>
            <w:noWrap/>
            <w:vAlign w:val="center"/>
            <w:hideMark/>
          </w:tcPr>
          <w:p w14:paraId="255686D6"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Metabolism / detoxification</w:t>
            </w:r>
          </w:p>
        </w:tc>
        <w:tc>
          <w:tcPr>
            <w:tcW w:w="3479" w:type="dxa"/>
            <w:vAlign w:val="center"/>
          </w:tcPr>
          <w:p w14:paraId="1FD8C91C" w14:textId="080E85A9" w:rsidR="008704AC" w:rsidRPr="008704AC" w:rsidRDefault="008704AC" w:rsidP="008704AC">
            <w:pPr>
              <w:rPr>
                <w:rFonts w:asciiTheme="majorBidi" w:hAnsiTheme="majorBidi" w:cstheme="majorBidi"/>
                <w:b w:val="0"/>
                <w:bCs w:val="0"/>
                <w:color w:val="000000" w:themeColor="text1"/>
                <w:sz w:val="14"/>
                <w:szCs w:val="14"/>
                <w:lang w:bidi="fa-IR"/>
              </w:rPr>
            </w:pPr>
            <w:r w:rsidRPr="008704AC">
              <w:rPr>
                <w:rFonts w:asciiTheme="majorBidi" w:hAnsiTheme="majorBidi" w:cstheme="majorBidi"/>
                <w:b w:val="0"/>
                <w:bCs w:val="0"/>
                <w:color w:val="000000" w:themeColor="text1"/>
                <w:sz w:val="14"/>
                <w:szCs w:val="14"/>
                <w:lang w:bidi="fa-IR"/>
              </w:rPr>
              <w:t>Belgian, Icelandic, Welsh</w:t>
            </w:r>
          </w:p>
        </w:tc>
        <w:tc>
          <w:tcPr>
            <w:tcW w:w="1170" w:type="dxa"/>
            <w:vAlign w:val="center"/>
          </w:tcPr>
          <w:p w14:paraId="5AA80BD7" w14:textId="302A4810" w:rsidR="008704AC" w:rsidRPr="008704AC" w:rsidRDefault="008704AC" w:rsidP="008704AC">
            <w:pPr>
              <w:jc w:val="center"/>
              <w:rPr>
                <w:rFonts w:asciiTheme="majorBidi" w:hAnsiTheme="majorBidi" w:cstheme="majorBidi"/>
                <w:b w:val="0"/>
                <w:bCs w:val="0"/>
                <w:color w:val="000000" w:themeColor="text1"/>
                <w:sz w:val="14"/>
                <w:szCs w:val="14"/>
                <w:lang w:bidi="fa-IR"/>
              </w:rPr>
            </w:pPr>
            <w:r w:rsidRPr="008704AC">
              <w:rPr>
                <w:rFonts w:asciiTheme="majorBidi" w:hAnsiTheme="majorBidi" w:cstheme="majorBidi"/>
                <w:b w:val="0"/>
                <w:bCs w:val="0"/>
                <w:color w:val="000000" w:themeColor="text1"/>
                <w:sz w:val="14"/>
                <w:szCs w:val="14"/>
                <w:lang w:bidi="fa-IR"/>
              </w:rPr>
              <w:t>3</w:t>
            </w:r>
          </w:p>
        </w:tc>
      </w:tr>
      <w:tr w:rsidR="008704AC" w:rsidRPr="00FC107E" w14:paraId="5CC1EE67" w14:textId="7BDB1AAF" w:rsidTr="008704AC">
        <w:trPr>
          <w:trHeight w:val="300"/>
        </w:trPr>
        <w:tc>
          <w:tcPr>
            <w:tcW w:w="991" w:type="dxa"/>
            <w:noWrap/>
            <w:vAlign w:val="center"/>
            <w:hideMark/>
          </w:tcPr>
          <w:p w14:paraId="4E315D76" w14:textId="77777777" w:rsidR="008704AC" w:rsidRPr="008C1305" w:rsidRDefault="008704AC" w:rsidP="008704AC">
            <w:pPr>
              <w:jc w:val="cente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FANCA</w:t>
            </w:r>
          </w:p>
        </w:tc>
        <w:tc>
          <w:tcPr>
            <w:tcW w:w="1980" w:type="dxa"/>
            <w:noWrap/>
            <w:vAlign w:val="center"/>
            <w:hideMark/>
          </w:tcPr>
          <w:p w14:paraId="56DB492A"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DNA repair (Fanconi anemia pathway)</w:t>
            </w:r>
          </w:p>
        </w:tc>
        <w:tc>
          <w:tcPr>
            <w:tcW w:w="2031" w:type="dxa"/>
            <w:noWrap/>
            <w:vAlign w:val="center"/>
            <w:hideMark/>
          </w:tcPr>
          <w:p w14:paraId="3592AD2B"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Genome stability</w:t>
            </w:r>
          </w:p>
        </w:tc>
        <w:tc>
          <w:tcPr>
            <w:tcW w:w="2914" w:type="dxa"/>
            <w:noWrap/>
            <w:vAlign w:val="center"/>
            <w:hideMark/>
          </w:tcPr>
          <w:p w14:paraId="570A2D73"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Fanconi anemia (bone marrow failure, mammals)</w:t>
            </w:r>
          </w:p>
        </w:tc>
        <w:tc>
          <w:tcPr>
            <w:tcW w:w="2465" w:type="dxa"/>
            <w:noWrap/>
            <w:vAlign w:val="center"/>
            <w:hideMark/>
          </w:tcPr>
          <w:p w14:paraId="3C7E8505"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DNA repair / genome maintenance</w:t>
            </w:r>
          </w:p>
        </w:tc>
        <w:tc>
          <w:tcPr>
            <w:tcW w:w="3479" w:type="dxa"/>
            <w:vAlign w:val="center"/>
          </w:tcPr>
          <w:p w14:paraId="1F9B94C7" w14:textId="611B52F8" w:rsidR="008704AC" w:rsidRPr="008704AC" w:rsidRDefault="008704AC" w:rsidP="008704AC">
            <w:pPr>
              <w:rPr>
                <w:rFonts w:asciiTheme="majorBidi" w:hAnsiTheme="majorBidi" w:cstheme="majorBidi"/>
                <w:b w:val="0"/>
                <w:bCs w:val="0"/>
                <w:color w:val="000000" w:themeColor="text1"/>
                <w:sz w:val="14"/>
                <w:szCs w:val="14"/>
                <w:lang w:bidi="fa-IR"/>
              </w:rPr>
            </w:pPr>
            <w:r w:rsidRPr="008704AC">
              <w:rPr>
                <w:rFonts w:asciiTheme="majorBidi" w:hAnsiTheme="majorBidi" w:cstheme="majorBidi"/>
                <w:b w:val="0"/>
                <w:bCs w:val="0"/>
                <w:color w:val="000000" w:themeColor="text1"/>
                <w:sz w:val="14"/>
                <w:szCs w:val="14"/>
                <w:lang w:bidi="fa-IR"/>
              </w:rPr>
              <w:t>Belgian, Icelandic, Welsh</w:t>
            </w:r>
          </w:p>
        </w:tc>
        <w:tc>
          <w:tcPr>
            <w:tcW w:w="1170" w:type="dxa"/>
            <w:vAlign w:val="center"/>
          </w:tcPr>
          <w:p w14:paraId="2EA74AAB" w14:textId="704AE708" w:rsidR="008704AC" w:rsidRPr="008704AC" w:rsidRDefault="008704AC" w:rsidP="008704AC">
            <w:pPr>
              <w:jc w:val="center"/>
              <w:rPr>
                <w:rFonts w:asciiTheme="majorBidi" w:hAnsiTheme="majorBidi" w:cstheme="majorBidi"/>
                <w:b w:val="0"/>
                <w:bCs w:val="0"/>
                <w:color w:val="000000" w:themeColor="text1"/>
                <w:sz w:val="14"/>
                <w:szCs w:val="14"/>
                <w:lang w:bidi="fa-IR"/>
              </w:rPr>
            </w:pPr>
            <w:r w:rsidRPr="008704AC">
              <w:rPr>
                <w:rFonts w:asciiTheme="majorBidi" w:hAnsiTheme="majorBidi" w:cstheme="majorBidi"/>
                <w:b w:val="0"/>
                <w:bCs w:val="0"/>
                <w:color w:val="000000" w:themeColor="text1"/>
                <w:sz w:val="14"/>
                <w:szCs w:val="14"/>
                <w:lang w:bidi="fa-IR"/>
              </w:rPr>
              <w:t>3</w:t>
            </w:r>
          </w:p>
        </w:tc>
      </w:tr>
      <w:tr w:rsidR="008704AC" w:rsidRPr="00FC107E" w14:paraId="1CC0FA61" w14:textId="62E85AAF" w:rsidTr="008704AC">
        <w:trPr>
          <w:trHeight w:val="300"/>
        </w:trPr>
        <w:tc>
          <w:tcPr>
            <w:tcW w:w="991" w:type="dxa"/>
            <w:noWrap/>
            <w:vAlign w:val="center"/>
            <w:hideMark/>
          </w:tcPr>
          <w:p w14:paraId="16E3BA3D" w14:textId="77777777" w:rsidR="008704AC" w:rsidRPr="008C1305" w:rsidRDefault="008704AC" w:rsidP="008704AC">
            <w:pPr>
              <w:jc w:val="cente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GALNS</w:t>
            </w:r>
          </w:p>
        </w:tc>
        <w:tc>
          <w:tcPr>
            <w:tcW w:w="1980" w:type="dxa"/>
            <w:noWrap/>
            <w:vAlign w:val="center"/>
            <w:hideMark/>
          </w:tcPr>
          <w:p w14:paraId="396C8150"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Lysosomal enzyme (chondroitin sulfate)</w:t>
            </w:r>
          </w:p>
        </w:tc>
        <w:tc>
          <w:tcPr>
            <w:tcW w:w="2031" w:type="dxa"/>
            <w:noWrap/>
            <w:vAlign w:val="center"/>
            <w:hideMark/>
          </w:tcPr>
          <w:p w14:paraId="12A9BB06"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Mucopolysaccharide metabolism</w:t>
            </w:r>
          </w:p>
        </w:tc>
        <w:tc>
          <w:tcPr>
            <w:tcW w:w="2914" w:type="dxa"/>
            <w:noWrap/>
            <w:vAlign w:val="center"/>
            <w:hideMark/>
          </w:tcPr>
          <w:p w14:paraId="14788A4F"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Mucopolysaccharidosis IVA (Morquio syndrome)</w:t>
            </w:r>
          </w:p>
        </w:tc>
        <w:tc>
          <w:tcPr>
            <w:tcW w:w="2465" w:type="dxa"/>
            <w:noWrap/>
            <w:vAlign w:val="center"/>
            <w:hideMark/>
          </w:tcPr>
          <w:p w14:paraId="6F5EA3DB"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Lysosome / metabolism</w:t>
            </w:r>
          </w:p>
        </w:tc>
        <w:tc>
          <w:tcPr>
            <w:tcW w:w="3479" w:type="dxa"/>
            <w:vAlign w:val="center"/>
          </w:tcPr>
          <w:p w14:paraId="06EBE03E" w14:textId="048E102D" w:rsidR="008704AC" w:rsidRPr="008704AC" w:rsidRDefault="008704AC" w:rsidP="008704AC">
            <w:pPr>
              <w:rPr>
                <w:rFonts w:asciiTheme="majorBidi" w:hAnsiTheme="majorBidi" w:cstheme="majorBidi"/>
                <w:b w:val="0"/>
                <w:bCs w:val="0"/>
                <w:color w:val="000000" w:themeColor="text1"/>
                <w:sz w:val="14"/>
                <w:szCs w:val="14"/>
                <w:lang w:bidi="fa-IR"/>
              </w:rPr>
            </w:pPr>
            <w:r w:rsidRPr="008704AC">
              <w:rPr>
                <w:rFonts w:asciiTheme="majorBidi" w:hAnsiTheme="majorBidi" w:cstheme="majorBidi"/>
                <w:b w:val="0"/>
                <w:bCs w:val="0"/>
                <w:color w:val="000000" w:themeColor="text1"/>
                <w:sz w:val="14"/>
                <w:szCs w:val="14"/>
                <w:lang w:bidi="fa-IR"/>
              </w:rPr>
              <w:t>Belgian, Morgan, Welsh</w:t>
            </w:r>
          </w:p>
        </w:tc>
        <w:tc>
          <w:tcPr>
            <w:tcW w:w="1170" w:type="dxa"/>
            <w:vAlign w:val="center"/>
          </w:tcPr>
          <w:p w14:paraId="220656E2" w14:textId="590F41F9" w:rsidR="008704AC" w:rsidRPr="008704AC" w:rsidRDefault="008704AC" w:rsidP="008704AC">
            <w:pPr>
              <w:jc w:val="center"/>
              <w:rPr>
                <w:rFonts w:asciiTheme="majorBidi" w:hAnsiTheme="majorBidi" w:cstheme="majorBidi"/>
                <w:b w:val="0"/>
                <w:bCs w:val="0"/>
                <w:color w:val="000000" w:themeColor="text1"/>
                <w:sz w:val="14"/>
                <w:szCs w:val="14"/>
                <w:lang w:bidi="fa-IR"/>
              </w:rPr>
            </w:pPr>
            <w:r w:rsidRPr="008704AC">
              <w:rPr>
                <w:rFonts w:asciiTheme="majorBidi" w:hAnsiTheme="majorBidi" w:cstheme="majorBidi"/>
                <w:b w:val="0"/>
                <w:bCs w:val="0"/>
                <w:color w:val="000000" w:themeColor="text1"/>
                <w:sz w:val="14"/>
                <w:szCs w:val="14"/>
                <w:lang w:bidi="fa-IR"/>
              </w:rPr>
              <w:t>3</w:t>
            </w:r>
          </w:p>
        </w:tc>
      </w:tr>
      <w:tr w:rsidR="008704AC" w:rsidRPr="00FC107E" w14:paraId="3BF0788A" w14:textId="683FE3F5" w:rsidTr="008704AC">
        <w:trPr>
          <w:trHeight w:val="300"/>
        </w:trPr>
        <w:tc>
          <w:tcPr>
            <w:tcW w:w="991" w:type="dxa"/>
            <w:noWrap/>
            <w:vAlign w:val="center"/>
            <w:hideMark/>
          </w:tcPr>
          <w:p w14:paraId="32520B6B" w14:textId="77777777" w:rsidR="008704AC" w:rsidRPr="008C1305" w:rsidRDefault="008704AC" w:rsidP="008704AC">
            <w:pPr>
              <w:jc w:val="cente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GAS8</w:t>
            </w:r>
          </w:p>
        </w:tc>
        <w:tc>
          <w:tcPr>
            <w:tcW w:w="1980" w:type="dxa"/>
            <w:noWrap/>
            <w:vAlign w:val="center"/>
            <w:hideMark/>
          </w:tcPr>
          <w:p w14:paraId="108CD9D9"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Ciliary motility protein</w:t>
            </w:r>
          </w:p>
        </w:tc>
        <w:tc>
          <w:tcPr>
            <w:tcW w:w="2031" w:type="dxa"/>
            <w:noWrap/>
            <w:vAlign w:val="center"/>
            <w:hideMark/>
          </w:tcPr>
          <w:p w14:paraId="068E025F"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Cilia function, sperm motility</w:t>
            </w:r>
          </w:p>
        </w:tc>
        <w:tc>
          <w:tcPr>
            <w:tcW w:w="2914" w:type="dxa"/>
            <w:noWrap/>
            <w:vAlign w:val="center"/>
            <w:hideMark/>
          </w:tcPr>
          <w:p w14:paraId="10FDB441"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Primary ciliary dyskinesia (human/mouse)</w:t>
            </w:r>
          </w:p>
        </w:tc>
        <w:tc>
          <w:tcPr>
            <w:tcW w:w="2465" w:type="dxa"/>
            <w:noWrap/>
            <w:vAlign w:val="center"/>
            <w:hideMark/>
          </w:tcPr>
          <w:p w14:paraId="6FF8EEDD"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Cilia function</w:t>
            </w:r>
          </w:p>
        </w:tc>
        <w:tc>
          <w:tcPr>
            <w:tcW w:w="3479" w:type="dxa"/>
            <w:vAlign w:val="center"/>
          </w:tcPr>
          <w:p w14:paraId="76190F42" w14:textId="3962CD11" w:rsidR="008704AC" w:rsidRPr="008704AC" w:rsidRDefault="008704AC" w:rsidP="008704AC">
            <w:pPr>
              <w:rPr>
                <w:rFonts w:asciiTheme="majorBidi" w:hAnsiTheme="majorBidi" w:cstheme="majorBidi"/>
                <w:b w:val="0"/>
                <w:bCs w:val="0"/>
                <w:color w:val="000000" w:themeColor="text1"/>
                <w:sz w:val="14"/>
                <w:szCs w:val="14"/>
                <w:lang w:bidi="fa-IR"/>
              </w:rPr>
            </w:pPr>
            <w:r w:rsidRPr="008704AC">
              <w:rPr>
                <w:rFonts w:asciiTheme="majorBidi" w:hAnsiTheme="majorBidi" w:cstheme="majorBidi"/>
                <w:b w:val="0"/>
                <w:bCs w:val="0"/>
                <w:color w:val="000000" w:themeColor="text1"/>
                <w:sz w:val="14"/>
                <w:szCs w:val="14"/>
                <w:lang w:bidi="fa-IR"/>
              </w:rPr>
              <w:t>Belgian, Icelandic, Welsh</w:t>
            </w:r>
          </w:p>
        </w:tc>
        <w:tc>
          <w:tcPr>
            <w:tcW w:w="1170" w:type="dxa"/>
            <w:vAlign w:val="center"/>
          </w:tcPr>
          <w:p w14:paraId="3A6B4E57" w14:textId="1E61D653" w:rsidR="008704AC" w:rsidRPr="008704AC" w:rsidRDefault="008704AC" w:rsidP="008704AC">
            <w:pPr>
              <w:jc w:val="center"/>
              <w:rPr>
                <w:rFonts w:asciiTheme="majorBidi" w:hAnsiTheme="majorBidi" w:cstheme="majorBidi"/>
                <w:b w:val="0"/>
                <w:bCs w:val="0"/>
                <w:color w:val="000000" w:themeColor="text1"/>
                <w:sz w:val="14"/>
                <w:szCs w:val="14"/>
                <w:lang w:bidi="fa-IR"/>
              </w:rPr>
            </w:pPr>
            <w:r w:rsidRPr="008704AC">
              <w:rPr>
                <w:rFonts w:asciiTheme="majorBidi" w:hAnsiTheme="majorBidi" w:cstheme="majorBidi"/>
                <w:b w:val="0"/>
                <w:bCs w:val="0"/>
                <w:color w:val="000000" w:themeColor="text1"/>
                <w:sz w:val="14"/>
                <w:szCs w:val="14"/>
                <w:lang w:bidi="fa-IR"/>
              </w:rPr>
              <w:t>3</w:t>
            </w:r>
          </w:p>
        </w:tc>
      </w:tr>
      <w:tr w:rsidR="008704AC" w:rsidRPr="00FC107E" w14:paraId="7B78A4A6" w14:textId="41A920B8" w:rsidTr="008704AC">
        <w:trPr>
          <w:trHeight w:val="300"/>
        </w:trPr>
        <w:tc>
          <w:tcPr>
            <w:tcW w:w="991" w:type="dxa"/>
            <w:noWrap/>
            <w:vAlign w:val="center"/>
            <w:hideMark/>
          </w:tcPr>
          <w:p w14:paraId="134D2179" w14:textId="77777777" w:rsidR="008704AC" w:rsidRPr="008C1305" w:rsidRDefault="008704AC" w:rsidP="008704AC">
            <w:pPr>
              <w:jc w:val="cente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IGSF9B</w:t>
            </w:r>
          </w:p>
        </w:tc>
        <w:tc>
          <w:tcPr>
            <w:tcW w:w="1980" w:type="dxa"/>
            <w:noWrap/>
            <w:vAlign w:val="center"/>
            <w:hideMark/>
          </w:tcPr>
          <w:p w14:paraId="1109E28C"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Immunoglobulin superfamily adhesion</w:t>
            </w:r>
          </w:p>
        </w:tc>
        <w:tc>
          <w:tcPr>
            <w:tcW w:w="2031" w:type="dxa"/>
            <w:noWrap/>
            <w:vAlign w:val="center"/>
            <w:hideMark/>
          </w:tcPr>
          <w:p w14:paraId="4344C231"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Synaptic organization</w:t>
            </w:r>
          </w:p>
        </w:tc>
        <w:tc>
          <w:tcPr>
            <w:tcW w:w="2914" w:type="dxa"/>
            <w:noWrap/>
            <w:vAlign w:val="center"/>
            <w:hideMark/>
          </w:tcPr>
          <w:p w14:paraId="3FDAA785"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Autism spectrum disorder (mouse model)</w:t>
            </w:r>
          </w:p>
        </w:tc>
        <w:tc>
          <w:tcPr>
            <w:tcW w:w="2465" w:type="dxa"/>
            <w:noWrap/>
            <w:vAlign w:val="center"/>
            <w:hideMark/>
          </w:tcPr>
          <w:p w14:paraId="42596B5D"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Neural adhesion protein; equine role unknown</w:t>
            </w:r>
          </w:p>
        </w:tc>
        <w:tc>
          <w:tcPr>
            <w:tcW w:w="3479" w:type="dxa"/>
            <w:vAlign w:val="center"/>
          </w:tcPr>
          <w:p w14:paraId="105906C4" w14:textId="2A67FD21" w:rsidR="008704AC" w:rsidRPr="008704AC" w:rsidRDefault="008704AC" w:rsidP="008704AC">
            <w:pPr>
              <w:rPr>
                <w:rFonts w:asciiTheme="majorBidi" w:hAnsiTheme="majorBidi" w:cstheme="majorBidi"/>
                <w:b w:val="0"/>
                <w:bCs w:val="0"/>
                <w:color w:val="000000" w:themeColor="text1"/>
                <w:sz w:val="14"/>
                <w:szCs w:val="14"/>
                <w:lang w:bidi="fa-IR"/>
              </w:rPr>
            </w:pPr>
            <w:r w:rsidRPr="008704AC">
              <w:rPr>
                <w:rFonts w:asciiTheme="majorBidi" w:hAnsiTheme="majorBidi" w:cstheme="majorBidi"/>
                <w:b w:val="0"/>
                <w:bCs w:val="0"/>
                <w:color w:val="000000" w:themeColor="text1"/>
                <w:sz w:val="14"/>
                <w:szCs w:val="14"/>
                <w:lang w:bidi="fa-IR"/>
              </w:rPr>
              <w:t>Arabian, Standardbred, Thoroughbred</w:t>
            </w:r>
          </w:p>
        </w:tc>
        <w:tc>
          <w:tcPr>
            <w:tcW w:w="1170" w:type="dxa"/>
            <w:vAlign w:val="center"/>
          </w:tcPr>
          <w:p w14:paraId="42655177" w14:textId="72669FB2" w:rsidR="008704AC" w:rsidRPr="008704AC" w:rsidRDefault="008704AC" w:rsidP="008704AC">
            <w:pPr>
              <w:jc w:val="center"/>
              <w:rPr>
                <w:rFonts w:asciiTheme="majorBidi" w:hAnsiTheme="majorBidi" w:cstheme="majorBidi"/>
                <w:b w:val="0"/>
                <w:bCs w:val="0"/>
                <w:color w:val="000000" w:themeColor="text1"/>
                <w:sz w:val="14"/>
                <w:szCs w:val="14"/>
                <w:lang w:bidi="fa-IR"/>
              </w:rPr>
            </w:pPr>
            <w:r w:rsidRPr="008704AC">
              <w:rPr>
                <w:rFonts w:asciiTheme="majorBidi" w:hAnsiTheme="majorBidi" w:cstheme="majorBidi"/>
                <w:b w:val="0"/>
                <w:bCs w:val="0"/>
                <w:color w:val="000000" w:themeColor="text1"/>
                <w:sz w:val="14"/>
                <w:szCs w:val="14"/>
                <w:lang w:bidi="fa-IR"/>
              </w:rPr>
              <w:t>3</w:t>
            </w:r>
          </w:p>
        </w:tc>
      </w:tr>
      <w:tr w:rsidR="008704AC" w:rsidRPr="00FC107E" w14:paraId="6A128F33" w14:textId="43F307EA" w:rsidTr="008704AC">
        <w:trPr>
          <w:trHeight w:val="300"/>
        </w:trPr>
        <w:tc>
          <w:tcPr>
            <w:tcW w:w="991" w:type="dxa"/>
            <w:noWrap/>
            <w:vAlign w:val="center"/>
            <w:hideMark/>
          </w:tcPr>
          <w:p w14:paraId="5E517AA6" w14:textId="77777777" w:rsidR="008704AC" w:rsidRPr="008C1305" w:rsidRDefault="008704AC" w:rsidP="008704AC">
            <w:pPr>
              <w:jc w:val="cente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IL17C</w:t>
            </w:r>
          </w:p>
        </w:tc>
        <w:tc>
          <w:tcPr>
            <w:tcW w:w="1980" w:type="dxa"/>
            <w:noWrap/>
            <w:vAlign w:val="center"/>
            <w:hideMark/>
          </w:tcPr>
          <w:p w14:paraId="76DB265E"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IL17C</w:t>
            </w:r>
          </w:p>
        </w:tc>
        <w:tc>
          <w:tcPr>
            <w:tcW w:w="2031" w:type="dxa"/>
            <w:noWrap/>
            <w:vAlign w:val="center"/>
            <w:hideMark/>
          </w:tcPr>
          <w:p w14:paraId="505BCBD9"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Pro-inflammatory cytokine</w:t>
            </w:r>
          </w:p>
        </w:tc>
        <w:tc>
          <w:tcPr>
            <w:tcW w:w="2914" w:type="dxa"/>
            <w:noWrap/>
            <w:vAlign w:val="center"/>
            <w:hideMark/>
          </w:tcPr>
          <w:p w14:paraId="6CA82CA8"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Mucosal immunity</w:t>
            </w:r>
          </w:p>
        </w:tc>
        <w:tc>
          <w:tcPr>
            <w:tcW w:w="2465" w:type="dxa"/>
            <w:noWrap/>
            <w:vAlign w:val="center"/>
            <w:hideMark/>
          </w:tcPr>
          <w:p w14:paraId="0AC6074B"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Inflammatory bowel disease (mammals)</w:t>
            </w:r>
          </w:p>
        </w:tc>
        <w:tc>
          <w:tcPr>
            <w:tcW w:w="3479" w:type="dxa"/>
            <w:vAlign w:val="center"/>
          </w:tcPr>
          <w:p w14:paraId="5D837300" w14:textId="66095F28" w:rsidR="008704AC" w:rsidRPr="008704AC" w:rsidRDefault="008704AC" w:rsidP="008704AC">
            <w:pPr>
              <w:rPr>
                <w:rFonts w:asciiTheme="majorBidi" w:hAnsiTheme="majorBidi" w:cstheme="majorBidi"/>
                <w:b w:val="0"/>
                <w:bCs w:val="0"/>
                <w:color w:val="000000" w:themeColor="text1"/>
                <w:sz w:val="14"/>
                <w:szCs w:val="14"/>
                <w:lang w:bidi="fa-IR"/>
              </w:rPr>
            </w:pPr>
            <w:r w:rsidRPr="008704AC">
              <w:rPr>
                <w:rFonts w:asciiTheme="majorBidi" w:hAnsiTheme="majorBidi" w:cstheme="majorBidi"/>
                <w:b w:val="0"/>
                <w:bCs w:val="0"/>
                <w:color w:val="000000" w:themeColor="text1"/>
                <w:sz w:val="14"/>
                <w:szCs w:val="14"/>
                <w:lang w:bidi="fa-IR"/>
              </w:rPr>
              <w:t>Belgian, Morgan, Welsh</w:t>
            </w:r>
          </w:p>
        </w:tc>
        <w:tc>
          <w:tcPr>
            <w:tcW w:w="1170" w:type="dxa"/>
            <w:vAlign w:val="center"/>
          </w:tcPr>
          <w:p w14:paraId="16DF9C6C" w14:textId="1094662A" w:rsidR="008704AC" w:rsidRPr="008704AC" w:rsidRDefault="008704AC" w:rsidP="008704AC">
            <w:pPr>
              <w:jc w:val="center"/>
              <w:rPr>
                <w:rFonts w:asciiTheme="majorBidi" w:hAnsiTheme="majorBidi" w:cstheme="majorBidi"/>
                <w:b w:val="0"/>
                <w:bCs w:val="0"/>
                <w:color w:val="000000" w:themeColor="text1"/>
                <w:sz w:val="14"/>
                <w:szCs w:val="14"/>
                <w:lang w:bidi="fa-IR"/>
              </w:rPr>
            </w:pPr>
            <w:r w:rsidRPr="008704AC">
              <w:rPr>
                <w:rFonts w:asciiTheme="majorBidi" w:hAnsiTheme="majorBidi" w:cstheme="majorBidi"/>
                <w:b w:val="0"/>
                <w:bCs w:val="0"/>
                <w:color w:val="000000" w:themeColor="text1"/>
                <w:sz w:val="14"/>
                <w:szCs w:val="14"/>
                <w:lang w:bidi="fa-IR"/>
              </w:rPr>
              <w:t>3</w:t>
            </w:r>
          </w:p>
        </w:tc>
      </w:tr>
      <w:tr w:rsidR="008704AC" w:rsidRPr="00FC107E" w14:paraId="40579579" w14:textId="1B809169" w:rsidTr="008704AC">
        <w:trPr>
          <w:trHeight w:val="300"/>
        </w:trPr>
        <w:tc>
          <w:tcPr>
            <w:tcW w:w="991" w:type="dxa"/>
            <w:noWrap/>
            <w:vAlign w:val="center"/>
            <w:hideMark/>
          </w:tcPr>
          <w:p w14:paraId="650C9841" w14:textId="77777777" w:rsidR="008704AC" w:rsidRPr="008C1305" w:rsidRDefault="008704AC" w:rsidP="008704AC">
            <w:pPr>
              <w:jc w:val="cente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lastRenderedPageBreak/>
              <w:t>JAM3</w:t>
            </w:r>
          </w:p>
        </w:tc>
        <w:tc>
          <w:tcPr>
            <w:tcW w:w="1980" w:type="dxa"/>
            <w:noWrap/>
            <w:vAlign w:val="center"/>
            <w:hideMark/>
          </w:tcPr>
          <w:p w14:paraId="2F39D1B4"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Junctional adhesion molecule</w:t>
            </w:r>
          </w:p>
        </w:tc>
        <w:tc>
          <w:tcPr>
            <w:tcW w:w="2031" w:type="dxa"/>
            <w:noWrap/>
            <w:vAlign w:val="center"/>
            <w:hideMark/>
          </w:tcPr>
          <w:p w14:paraId="582EA2EE"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Blood-brain barrier integrity</w:t>
            </w:r>
          </w:p>
        </w:tc>
        <w:tc>
          <w:tcPr>
            <w:tcW w:w="2914" w:type="dxa"/>
            <w:noWrap/>
            <w:vAlign w:val="center"/>
            <w:hideMark/>
          </w:tcPr>
          <w:p w14:paraId="102D7BAD"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Hemorrhagic destruction of brain (human)</w:t>
            </w:r>
          </w:p>
        </w:tc>
        <w:tc>
          <w:tcPr>
            <w:tcW w:w="2465" w:type="dxa"/>
            <w:noWrap/>
            <w:vAlign w:val="center"/>
            <w:hideMark/>
          </w:tcPr>
          <w:p w14:paraId="3BEE4EF3"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Tight junction component; neural protection</w:t>
            </w:r>
          </w:p>
        </w:tc>
        <w:tc>
          <w:tcPr>
            <w:tcW w:w="3479" w:type="dxa"/>
            <w:vAlign w:val="center"/>
          </w:tcPr>
          <w:p w14:paraId="2E572922" w14:textId="28200A90" w:rsidR="008704AC" w:rsidRPr="008704AC" w:rsidRDefault="008704AC" w:rsidP="008704AC">
            <w:pPr>
              <w:rPr>
                <w:rFonts w:asciiTheme="majorBidi" w:hAnsiTheme="majorBidi" w:cstheme="majorBidi"/>
                <w:b w:val="0"/>
                <w:bCs w:val="0"/>
                <w:color w:val="000000" w:themeColor="text1"/>
                <w:sz w:val="14"/>
                <w:szCs w:val="14"/>
                <w:lang w:bidi="fa-IR"/>
              </w:rPr>
            </w:pPr>
            <w:r w:rsidRPr="008704AC">
              <w:rPr>
                <w:rFonts w:asciiTheme="majorBidi" w:hAnsiTheme="majorBidi" w:cstheme="majorBidi"/>
                <w:b w:val="0"/>
                <w:bCs w:val="0"/>
                <w:color w:val="000000" w:themeColor="text1"/>
                <w:sz w:val="14"/>
                <w:szCs w:val="14"/>
                <w:lang w:bidi="fa-IR"/>
              </w:rPr>
              <w:t>Arabian, Standardbred, Thoroughbred</w:t>
            </w:r>
          </w:p>
        </w:tc>
        <w:tc>
          <w:tcPr>
            <w:tcW w:w="1170" w:type="dxa"/>
            <w:vAlign w:val="center"/>
          </w:tcPr>
          <w:p w14:paraId="60D1DBD6" w14:textId="7041FDB7" w:rsidR="008704AC" w:rsidRPr="008704AC" w:rsidRDefault="008704AC" w:rsidP="008704AC">
            <w:pPr>
              <w:jc w:val="center"/>
              <w:rPr>
                <w:rFonts w:asciiTheme="majorBidi" w:hAnsiTheme="majorBidi" w:cstheme="majorBidi"/>
                <w:b w:val="0"/>
                <w:bCs w:val="0"/>
                <w:color w:val="000000" w:themeColor="text1"/>
                <w:sz w:val="14"/>
                <w:szCs w:val="14"/>
                <w:lang w:bidi="fa-IR"/>
              </w:rPr>
            </w:pPr>
            <w:r w:rsidRPr="008704AC">
              <w:rPr>
                <w:rFonts w:asciiTheme="majorBidi" w:hAnsiTheme="majorBidi" w:cstheme="majorBidi"/>
                <w:b w:val="0"/>
                <w:bCs w:val="0"/>
                <w:color w:val="000000" w:themeColor="text1"/>
                <w:sz w:val="14"/>
                <w:szCs w:val="14"/>
                <w:lang w:bidi="fa-IR"/>
              </w:rPr>
              <w:t>3</w:t>
            </w:r>
          </w:p>
        </w:tc>
      </w:tr>
      <w:tr w:rsidR="008704AC" w:rsidRPr="00FC107E" w14:paraId="4F753BE0" w14:textId="6DEB7C74" w:rsidTr="008704AC">
        <w:trPr>
          <w:trHeight w:val="300"/>
        </w:trPr>
        <w:tc>
          <w:tcPr>
            <w:tcW w:w="991" w:type="dxa"/>
            <w:noWrap/>
            <w:vAlign w:val="center"/>
            <w:hideMark/>
          </w:tcPr>
          <w:p w14:paraId="7B0E0A96" w14:textId="77777777" w:rsidR="008704AC" w:rsidRPr="008C1305" w:rsidRDefault="008704AC" w:rsidP="008704AC">
            <w:pPr>
              <w:jc w:val="cente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MC1R</w:t>
            </w:r>
          </w:p>
        </w:tc>
        <w:tc>
          <w:tcPr>
            <w:tcW w:w="1980" w:type="dxa"/>
            <w:noWrap/>
            <w:vAlign w:val="center"/>
            <w:hideMark/>
          </w:tcPr>
          <w:p w14:paraId="64B90F35"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Melanocortin-1 receptor</w:t>
            </w:r>
          </w:p>
        </w:tc>
        <w:tc>
          <w:tcPr>
            <w:tcW w:w="2031" w:type="dxa"/>
            <w:noWrap/>
            <w:vAlign w:val="center"/>
            <w:hideMark/>
          </w:tcPr>
          <w:p w14:paraId="2A8941B1"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Pigmentation regulation</w:t>
            </w:r>
          </w:p>
        </w:tc>
        <w:tc>
          <w:tcPr>
            <w:tcW w:w="2914" w:type="dxa"/>
            <w:noWrap/>
            <w:vAlign w:val="center"/>
            <w:hideMark/>
          </w:tcPr>
          <w:p w14:paraId="6EA9EA2E"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Horse coat color (chestnut/black variants)</w:t>
            </w:r>
          </w:p>
        </w:tc>
        <w:tc>
          <w:tcPr>
            <w:tcW w:w="2465" w:type="dxa"/>
            <w:noWrap/>
            <w:vAlign w:val="center"/>
            <w:hideMark/>
          </w:tcPr>
          <w:p w14:paraId="0789E079"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Pigmentation</w:t>
            </w:r>
          </w:p>
        </w:tc>
        <w:tc>
          <w:tcPr>
            <w:tcW w:w="3479" w:type="dxa"/>
            <w:vAlign w:val="center"/>
          </w:tcPr>
          <w:p w14:paraId="7E125490" w14:textId="2EAF59A8" w:rsidR="008704AC" w:rsidRPr="008704AC" w:rsidRDefault="008704AC" w:rsidP="008704AC">
            <w:pPr>
              <w:rPr>
                <w:rFonts w:asciiTheme="majorBidi" w:hAnsiTheme="majorBidi" w:cstheme="majorBidi"/>
                <w:b w:val="0"/>
                <w:bCs w:val="0"/>
                <w:color w:val="000000" w:themeColor="text1"/>
                <w:sz w:val="14"/>
                <w:szCs w:val="14"/>
                <w:lang w:bidi="fa-IR"/>
              </w:rPr>
            </w:pPr>
            <w:r w:rsidRPr="008704AC">
              <w:rPr>
                <w:rFonts w:asciiTheme="majorBidi" w:hAnsiTheme="majorBidi" w:cstheme="majorBidi"/>
                <w:b w:val="0"/>
                <w:bCs w:val="0"/>
                <w:color w:val="000000" w:themeColor="text1"/>
                <w:sz w:val="14"/>
                <w:szCs w:val="14"/>
                <w:lang w:bidi="fa-IR"/>
              </w:rPr>
              <w:t>Belgian, Icelandic, Welsh</w:t>
            </w:r>
          </w:p>
        </w:tc>
        <w:tc>
          <w:tcPr>
            <w:tcW w:w="1170" w:type="dxa"/>
            <w:vAlign w:val="center"/>
          </w:tcPr>
          <w:p w14:paraId="20432435" w14:textId="180F4565" w:rsidR="008704AC" w:rsidRPr="008704AC" w:rsidRDefault="008704AC" w:rsidP="008704AC">
            <w:pPr>
              <w:jc w:val="center"/>
              <w:rPr>
                <w:rFonts w:asciiTheme="majorBidi" w:hAnsiTheme="majorBidi" w:cstheme="majorBidi"/>
                <w:b w:val="0"/>
                <w:bCs w:val="0"/>
                <w:color w:val="000000" w:themeColor="text1"/>
                <w:sz w:val="14"/>
                <w:szCs w:val="14"/>
                <w:lang w:bidi="fa-IR"/>
              </w:rPr>
            </w:pPr>
            <w:r w:rsidRPr="008704AC">
              <w:rPr>
                <w:rFonts w:asciiTheme="majorBidi" w:hAnsiTheme="majorBidi" w:cstheme="majorBidi"/>
                <w:b w:val="0"/>
                <w:bCs w:val="0"/>
                <w:color w:val="000000" w:themeColor="text1"/>
                <w:sz w:val="14"/>
                <w:szCs w:val="14"/>
                <w:lang w:bidi="fa-IR"/>
              </w:rPr>
              <w:t>3</w:t>
            </w:r>
          </w:p>
        </w:tc>
      </w:tr>
      <w:tr w:rsidR="008704AC" w:rsidRPr="00FC107E" w14:paraId="3952FD5F" w14:textId="4AD0BD86" w:rsidTr="008704AC">
        <w:trPr>
          <w:trHeight w:val="300"/>
        </w:trPr>
        <w:tc>
          <w:tcPr>
            <w:tcW w:w="991" w:type="dxa"/>
            <w:noWrap/>
            <w:vAlign w:val="center"/>
            <w:hideMark/>
          </w:tcPr>
          <w:p w14:paraId="5F86E9DF" w14:textId="77777777" w:rsidR="008704AC" w:rsidRPr="008C1305" w:rsidRDefault="008704AC" w:rsidP="008704AC">
            <w:pPr>
              <w:jc w:val="cente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MVD</w:t>
            </w:r>
          </w:p>
        </w:tc>
        <w:tc>
          <w:tcPr>
            <w:tcW w:w="1980" w:type="dxa"/>
            <w:noWrap/>
            <w:vAlign w:val="center"/>
            <w:hideMark/>
          </w:tcPr>
          <w:p w14:paraId="55C7069F"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Mevalonate diphosphate decarboxylase</w:t>
            </w:r>
          </w:p>
        </w:tc>
        <w:tc>
          <w:tcPr>
            <w:tcW w:w="2031" w:type="dxa"/>
            <w:noWrap/>
            <w:vAlign w:val="center"/>
            <w:hideMark/>
          </w:tcPr>
          <w:p w14:paraId="4F55F035"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Cholesterol biosynthesis</w:t>
            </w:r>
          </w:p>
        </w:tc>
        <w:tc>
          <w:tcPr>
            <w:tcW w:w="2914" w:type="dxa"/>
            <w:noWrap/>
            <w:vAlign w:val="center"/>
            <w:hideMark/>
          </w:tcPr>
          <w:p w14:paraId="2EECF10E"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Mevalonic aciduria (human)</w:t>
            </w:r>
          </w:p>
        </w:tc>
        <w:tc>
          <w:tcPr>
            <w:tcW w:w="2465" w:type="dxa"/>
            <w:noWrap/>
            <w:vAlign w:val="center"/>
            <w:hideMark/>
          </w:tcPr>
          <w:p w14:paraId="52E86AB8"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Metabolism</w:t>
            </w:r>
          </w:p>
        </w:tc>
        <w:tc>
          <w:tcPr>
            <w:tcW w:w="3479" w:type="dxa"/>
            <w:vAlign w:val="center"/>
          </w:tcPr>
          <w:p w14:paraId="4503A754" w14:textId="1CE5F27C" w:rsidR="008704AC" w:rsidRPr="008704AC" w:rsidRDefault="008704AC" w:rsidP="008704AC">
            <w:pPr>
              <w:rPr>
                <w:rFonts w:asciiTheme="majorBidi" w:hAnsiTheme="majorBidi" w:cstheme="majorBidi"/>
                <w:b w:val="0"/>
                <w:bCs w:val="0"/>
                <w:color w:val="000000" w:themeColor="text1"/>
                <w:sz w:val="14"/>
                <w:szCs w:val="14"/>
                <w:lang w:bidi="fa-IR"/>
              </w:rPr>
            </w:pPr>
            <w:r w:rsidRPr="008704AC">
              <w:rPr>
                <w:rFonts w:asciiTheme="majorBidi" w:hAnsiTheme="majorBidi" w:cstheme="majorBidi"/>
                <w:b w:val="0"/>
                <w:bCs w:val="0"/>
                <w:color w:val="000000" w:themeColor="text1"/>
                <w:sz w:val="14"/>
                <w:szCs w:val="14"/>
                <w:lang w:bidi="fa-IR"/>
              </w:rPr>
              <w:t>Belgian, Morgan, Welsh</w:t>
            </w:r>
          </w:p>
        </w:tc>
        <w:tc>
          <w:tcPr>
            <w:tcW w:w="1170" w:type="dxa"/>
            <w:vAlign w:val="center"/>
          </w:tcPr>
          <w:p w14:paraId="38371FB4" w14:textId="3C943AC4" w:rsidR="008704AC" w:rsidRPr="008704AC" w:rsidRDefault="008704AC" w:rsidP="008704AC">
            <w:pPr>
              <w:jc w:val="center"/>
              <w:rPr>
                <w:rFonts w:asciiTheme="majorBidi" w:hAnsiTheme="majorBidi" w:cstheme="majorBidi"/>
                <w:b w:val="0"/>
                <w:bCs w:val="0"/>
                <w:color w:val="000000" w:themeColor="text1"/>
                <w:sz w:val="14"/>
                <w:szCs w:val="14"/>
                <w:lang w:bidi="fa-IR"/>
              </w:rPr>
            </w:pPr>
            <w:r w:rsidRPr="008704AC">
              <w:rPr>
                <w:rFonts w:asciiTheme="majorBidi" w:hAnsiTheme="majorBidi" w:cstheme="majorBidi"/>
                <w:b w:val="0"/>
                <w:bCs w:val="0"/>
                <w:color w:val="000000" w:themeColor="text1"/>
                <w:sz w:val="14"/>
                <w:szCs w:val="14"/>
                <w:lang w:bidi="fa-IR"/>
              </w:rPr>
              <w:t>3</w:t>
            </w:r>
          </w:p>
        </w:tc>
      </w:tr>
      <w:tr w:rsidR="008704AC" w:rsidRPr="00FC107E" w14:paraId="57A8A5C2" w14:textId="35C7FC3B" w:rsidTr="008704AC">
        <w:trPr>
          <w:trHeight w:val="300"/>
        </w:trPr>
        <w:tc>
          <w:tcPr>
            <w:tcW w:w="991" w:type="dxa"/>
            <w:noWrap/>
            <w:vAlign w:val="center"/>
            <w:hideMark/>
          </w:tcPr>
          <w:p w14:paraId="3FCEE7E6" w14:textId="77777777" w:rsidR="008704AC" w:rsidRPr="008C1305" w:rsidRDefault="008704AC" w:rsidP="008704AC">
            <w:pPr>
              <w:jc w:val="cente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NCAPD3</w:t>
            </w:r>
          </w:p>
        </w:tc>
        <w:tc>
          <w:tcPr>
            <w:tcW w:w="1980" w:type="dxa"/>
            <w:noWrap/>
            <w:vAlign w:val="center"/>
            <w:hideMark/>
          </w:tcPr>
          <w:p w14:paraId="7FA339D8"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Condensin complex subunit</w:t>
            </w:r>
          </w:p>
        </w:tc>
        <w:tc>
          <w:tcPr>
            <w:tcW w:w="2031" w:type="dxa"/>
            <w:noWrap/>
            <w:vAlign w:val="center"/>
            <w:hideMark/>
          </w:tcPr>
          <w:p w14:paraId="33EF04C3"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Chromosome condensation</w:t>
            </w:r>
          </w:p>
        </w:tc>
        <w:tc>
          <w:tcPr>
            <w:tcW w:w="2914" w:type="dxa"/>
            <w:noWrap/>
            <w:vAlign w:val="center"/>
            <w:hideMark/>
          </w:tcPr>
          <w:p w14:paraId="739678E4"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Microcephaly (human)</w:t>
            </w:r>
          </w:p>
        </w:tc>
        <w:tc>
          <w:tcPr>
            <w:tcW w:w="2465" w:type="dxa"/>
            <w:noWrap/>
            <w:vAlign w:val="center"/>
            <w:hideMark/>
          </w:tcPr>
          <w:p w14:paraId="6EA8AAAD"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Structural chromosome maintenance protein</w:t>
            </w:r>
          </w:p>
        </w:tc>
        <w:tc>
          <w:tcPr>
            <w:tcW w:w="3479" w:type="dxa"/>
            <w:vAlign w:val="center"/>
          </w:tcPr>
          <w:p w14:paraId="542433FB" w14:textId="1D9F4221" w:rsidR="008704AC" w:rsidRPr="008704AC" w:rsidRDefault="008704AC" w:rsidP="008704AC">
            <w:pPr>
              <w:rPr>
                <w:rFonts w:asciiTheme="majorBidi" w:hAnsiTheme="majorBidi" w:cstheme="majorBidi"/>
                <w:b w:val="0"/>
                <w:bCs w:val="0"/>
                <w:color w:val="000000" w:themeColor="text1"/>
                <w:sz w:val="14"/>
                <w:szCs w:val="14"/>
                <w:lang w:bidi="fa-IR"/>
              </w:rPr>
            </w:pPr>
            <w:r w:rsidRPr="008704AC">
              <w:rPr>
                <w:rFonts w:asciiTheme="majorBidi" w:hAnsiTheme="majorBidi" w:cstheme="majorBidi"/>
                <w:b w:val="0"/>
                <w:bCs w:val="0"/>
                <w:color w:val="000000" w:themeColor="text1"/>
                <w:sz w:val="14"/>
                <w:szCs w:val="14"/>
                <w:lang w:bidi="fa-IR"/>
              </w:rPr>
              <w:t>Arabian, Standardbred, Thoroughbred</w:t>
            </w:r>
          </w:p>
        </w:tc>
        <w:tc>
          <w:tcPr>
            <w:tcW w:w="1170" w:type="dxa"/>
            <w:vAlign w:val="center"/>
          </w:tcPr>
          <w:p w14:paraId="0BEB0824" w14:textId="01B8A610" w:rsidR="008704AC" w:rsidRPr="008704AC" w:rsidRDefault="008704AC" w:rsidP="008704AC">
            <w:pPr>
              <w:jc w:val="center"/>
              <w:rPr>
                <w:rFonts w:asciiTheme="majorBidi" w:hAnsiTheme="majorBidi" w:cstheme="majorBidi"/>
                <w:b w:val="0"/>
                <w:bCs w:val="0"/>
                <w:color w:val="000000" w:themeColor="text1"/>
                <w:sz w:val="14"/>
                <w:szCs w:val="14"/>
                <w:lang w:bidi="fa-IR"/>
              </w:rPr>
            </w:pPr>
            <w:r w:rsidRPr="008704AC">
              <w:rPr>
                <w:rFonts w:asciiTheme="majorBidi" w:hAnsiTheme="majorBidi" w:cstheme="majorBidi"/>
                <w:b w:val="0"/>
                <w:bCs w:val="0"/>
                <w:color w:val="000000" w:themeColor="text1"/>
                <w:sz w:val="14"/>
                <w:szCs w:val="14"/>
                <w:lang w:bidi="fa-IR"/>
              </w:rPr>
              <w:t>3</w:t>
            </w:r>
          </w:p>
        </w:tc>
      </w:tr>
      <w:tr w:rsidR="008704AC" w:rsidRPr="00FC107E" w14:paraId="483980C0" w14:textId="52A40C64" w:rsidTr="008704AC">
        <w:trPr>
          <w:trHeight w:val="300"/>
        </w:trPr>
        <w:tc>
          <w:tcPr>
            <w:tcW w:w="991" w:type="dxa"/>
            <w:noWrap/>
            <w:vAlign w:val="center"/>
            <w:hideMark/>
          </w:tcPr>
          <w:p w14:paraId="7BEBE781" w14:textId="77777777" w:rsidR="008704AC" w:rsidRPr="008C1305" w:rsidRDefault="008704AC" w:rsidP="008704AC">
            <w:pPr>
              <w:jc w:val="cente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PABPN1L</w:t>
            </w:r>
          </w:p>
        </w:tc>
        <w:tc>
          <w:tcPr>
            <w:tcW w:w="1980" w:type="dxa"/>
            <w:noWrap/>
            <w:vAlign w:val="center"/>
            <w:hideMark/>
          </w:tcPr>
          <w:p w14:paraId="241D2C83"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RNA binding (polyadenylation)</w:t>
            </w:r>
          </w:p>
        </w:tc>
        <w:tc>
          <w:tcPr>
            <w:tcW w:w="2031" w:type="dxa"/>
            <w:noWrap/>
            <w:vAlign w:val="center"/>
            <w:hideMark/>
          </w:tcPr>
          <w:p w14:paraId="0E415FC1"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mRNA processing</w:t>
            </w:r>
          </w:p>
        </w:tc>
        <w:tc>
          <w:tcPr>
            <w:tcW w:w="2914" w:type="dxa"/>
            <w:noWrap/>
            <w:vAlign w:val="center"/>
            <w:hideMark/>
          </w:tcPr>
          <w:p w14:paraId="7D03317F"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Not well-studied in horses</w:t>
            </w:r>
          </w:p>
        </w:tc>
        <w:tc>
          <w:tcPr>
            <w:tcW w:w="2465" w:type="dxa"/>
            <w:noWrap/>
            <w:vAlign w:val="center"/>
            <w:hideMark/>
          </w:tcPr>
          <w:p w14:paraId="7E8ED2CA"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RNA processing</w:t>
            </w:r>
          </w:p>
        </w:tc>
        <w:tc>
          <w:tcPr>
            <w:tcW w:w="3479" w:type="dxa"/>
            <w:vAlign w:val="center"/>
          </w:tcPr>
          <w:p w14:paraId="7A7C44D2" w14:textId="23C75E86" w:rsidR="008704AC" w:rsidRPr="008704AC" w:rsidRDefault="008704AC" w:rsidP="008704AC">
            <w:pPr>
              <w:rPr>
                <w:rFonts w:asciiTheme="majorBidi" w:hAnsiTheme="majorBidi" w:cstheme="majorBidi"/>
                <w:b w:val="0"/>
                <w:bCs w:val="0"/>
                <w:color w:val="000000" w:themeColor="text1"/>
                <w:sz w:val="14"/>
                <w:szCs w:val="14"/>
                <w:lang w:bidi="fa-IR"/>
              </w:rPr>
            </w:pPr>
            <w:r w:rsidRPr="008704AC">
              <w:rPr>
                <w:rFonts w:asciiTheme="majorBidi" w:hAnsiTheme="majorBidi" w:cstheme="majorBidi"/>
                <w:b w:val="0"/>
                <w:bCs w:val="0"/>
                <w:color w:val="000000" w:themeColor="text1"/>
                <w:sz w:val="14"/>
                <w:szCs w:val="14"/>
                <w:lang w:bidi="fa-IR"/>
              </w:rPr>
              <w:t>Belgian, Morgan, Welsh</w:t>
            </w:r>
          </w:p>
        </w:tc>
        <w:tc>
          <w:tcPr>
            <w:tcW w:w="1170" w:type="dxa"/>
            <w:vAlign w:val="center"/>
          </w:tcPr>
          <w:p w14:paraId="0C692D18" w14:textId="328202B0" w:rsidR="008704AC" w:rsidRPr="008704AC" w:rsidRDefault="008704AC" w:rsidP="008704AC">
            <w:pPr>
              <w:jc w:val="center"/>
              <w:rPr>
                <w:rFonts w:asciiTheme="majorBidi" w:hAnsiTheme="majorBidi" w:cstheme="majorBidi"/>
                <w:b w:val="0"/>
                <w:bCs w:val="0"/>
                <w:color w:val="000000" w:themeColor="text1"/>
                <w:sz w:val="14"/>
                <w:szCs w:val="14"/>
                <w:lang w:bidi="fa-IR"/>
              </w:rPr>
            </w:pPr>
            <w:r w:rsidRPr="008704AC">
              <w:rPr>
                <w:rFonts w:asciiTheme="majorBidi" w:hAnsiTheme="majorBidi" w:cstheme="majorBidi"/>
                <w:b w:val="0"/>
                <w:bCs w:val="0"/>
                <w:color w:val="000000" w:themeColor="text1"/>
                <w:sz w:val="14"/>
                <w:szCs w:val="14"/>
                <w:lang w:bidi="fa-IR"/>
              </w:rPr>
              <w:t>3</w:t>
            </w:r>
          </w:p>
        </w:tc>
      </w:tr>
      <w:tr w:rsidR="008704AC" w:rsidRPr="00FC107E" w14:paraId="35695209" w14:textId="39F3AE7C" w:rsidTr="008704AC">
        <w:trPr>
          <w:trHeight w:val="300"/>
        </w:trPr>
        <w:tc>
          <w:tcPr>
            <w:tcW w:w="991" w:type="dxa"/>
            <w:noWrap/>
            <w:vAlign w:val="center"/>
            <w:hideMark/>
          </w:tcPr>
          <w:p w14:paraId="610D18D8" w14:textId="77777777" w:rsidR="008704AC" w:rsidRPr="008C1305" w:rsidRDefault="008704AC" w:rsidP="008704AC">
            <w:pPr>
              <w:jc w:val="cente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PIEZO1</w:t>
            </w:r>
          </w:p>
        </w:tc>
        <w:tc>
          <w:tcPr>
            <w:tcW w:w="1980" w:type="dxa"/>
            <w:noWrap/>
            <w:vAlign w:val="center"/>
            <w:hideMark/>
          </w:tcPr>
          <w:p w14:paraId="4E7F012B"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Mechanosensitive ion channel</w:t>
            </w:r>
          </w:p>
        </w:tc>
        <w:tc>
          <w:tcPr>
            <w:tcW w:w="2031" w:type="dxa"/>
            <w:noWrap/>
            <w:vAlign w:val="center"/>
            <w:hideMark/>
          </w:tcPr>
          <w:p w14:paraId="795C9B45"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Erythrocyte volume regulation</w:t>
            </w:r>
          </w:p>
        </w:tc>
        <w:tc>
          <w:tcPr>
            <w:tcW w:w="2914" w:type="dxa"/>
            <w:noWrap/>
            <w:vAlign w:val="center"/>
            <w:hideMark/>
          </w:tcPr>
          <w:p w14:paraId="70BD9F4C"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Dehydrated hereditary stomatocytosis (hemolytic anemia)</w:t>
            </w:r>
          </w:p>
        </w:tc>
        <w:tc>
          <w:tcPr>
            <w:tcW w:w="2465" w:type="dxa"/>
            <w:noWrap/>
            <w:vAlign w:val="center"/>
            <w:hideMark/>
          </w:tcPr>
          <w:p w14:paraId="359522EB"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Ion channel / erythrocytes</w:t>
            </w:r>
          </w:p>
        </w:tc>
        <w:tc>
          <w:tcPr>
            <w:tcW w:w="3479" w:type="dxa"/>
            <w:vAlign w:val="center"/>
          </w:tcPr>
          <w:p w14:paraId="5479B0CC" w14:textId="40ADF9C5" w:rsidR="008704AC" w:rsidRPr="008704AC" w:rsidRDefault="008704AC" w:rsidP="008704AC">
            <w:pPr>
              <w:rPr>
                <w:rFonts w:asciiTheme="majorBidi" w:hAnsiTheme="majorBidi" w:cstheme="majorBidi"/>
                <w:b w:val="0"/>
                <w:bCs w:val="0"/>
                <w:color w:val="000000" w:themeColor="text1"/>
                <w:sz w:val="14"/>
                <w:szCs w:val="14"/>
                <w:lang w:bidi="fa-IR"/>
              </w:rPr>
            </w:pPr>
            <w:r w:rsidRPr="008704AC">
              <w:rPr>
                <w:rFonts w:asciiTheme="majorBidi" w:hAnsiTheme="majorBidi" w:cstheme="majorBidi"/>
                <w:b w:val="0"/>
                <w:bCs w:val="0"/>
                <w:color w:val="000000" w:themeColor="text1"/>
                <w:sz w:val="14"/>
                <w:szCs w:val="14"/>
                <w:lang w:bidi="fa-IR"/>
              </w:rPr>
              <w:t>Belgian, Morgan, Welsh</w:t>
            </w:r>
          </w:p>
        </w:tc>
        <w:tc>
          <w:tcPr>
            <w:tcW w:w="1170" w:type="dxa"/>
            <w:vAlign w:val="center"/>
          </w:tcPr>
          <w:p w14:paraId="5B807593" w14:textId="6D53E09E" w:rsidR="008704AC" w:rsidRPr="008704AC" w:rsidRDefault="008704AC" w:rsidP="008704AC">
            <w:pPr>
              <w:jc w:val="center"/>
              <w:rPr>
                <w:rFonts w:asciiTheme="majorBidi" w:hAnsiTheme="majorBidi" w:cstheme="majorBidi"/>
                <w:b w:val="0"/>
                <w:bCs w:val="0"/>
                <w:color w:val="000000" w:themeColor="text1"/>
                <w:sz w:val="14"/>
                <w:szCs w:val="14"/>
                <w:lang w:bidi="fa-IR"/>
              </w:rPr>
            </w:pPr>
            <w:r w:rsidRPr="008704AC">
              <w:rPr>
                <w:rFonts w:asciiTheme="majorBidi" w:hAnsiTheme="majorBidi" w:cstheme="majorBidi"/>
                <w:b w:val="0"/>
                <w:bCs w:val="0"/>
                <w:color w:val="000000" w:themeColor="text1"/>
                <w:sz w:val="14"/>
                <w:szCs w:val="14"/>
                <w:lang w:bidi="fa-IR"/>
              </w:rPr>
              <w:t>3</w:t>
            </w:r>
          </w:p>
        </w:tc>
      </w:tr>
      <w:tr w:rsidR="008704AC" w:rsidRPr="00FC107E" w14:paraId="3A0C2C9F" w14:textId="6A2B5EB8" w:rsidTr="008704AC">
        <w:trPr>
          <w:trHeight w:val="300"/>
        </w:trPr>
        <w:tc>
          <w:tcPr>
            <w:tcW w:w="991" w:type="dxa"/>
            <w:noWrap/>
            <w:vAlign w:val="center"/>
            <w:hideMark/>
          </w:tcPr>
          <w:p w14:paraId="247CF3BF" w14:textId="77777777" w:rsidR="008704AC" w:rsidRPr="008C1305" w:rsidRDefault="008704AC" w:rsidP="008704AC">
            <w:pPr>
              <w:jc w:val="cente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RNF166</w:t>
            </w:r>
          </w:p>
        </w:tc>
        <w:tc>
          <w:tcPr>
            <w:tcW w:w="1980" w:type="dxa"/>
            <w:noWrap/>
            <w:vAlign w:val="center"/>
            <w:hideMark/>
          </w:tcPr>
          <w:p w14:paraId="689F9D02"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Ubiquitin ligase</w:t>
            </w:r>
          </w:p>
        </w:tc>
        <w:tc>
          <w:tcPr>
            <w:tcW w:w="2031" w:type="dxa"/>
            <w:noWrap/>
            <w:vAlign w:val="center"/>
            <w:hideMark/>
          </w:tcPr>
          <w:p w14:paraId="4E573F86"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Protein degradation</w:t>
            </w:r>
          </w:p>
        </w:tc>
        <w:tc>
          <w:tcPr>
            <w:tcW w:w="2914" w:type="dxa"/>
            <w:noWrap/>
            <w:vAlign w:val="center"/>
            <w:hideMark/>
          </w:tcPr>
          <w:p w14:paraId="042CE3CE"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Not well-studied</w:t>
            </w:r>
          </w:p>
        </w:tc>
        <w:tc>
          <w:tcPr>
            <w:tcW w:w="2465" w:type="dxa"/>
            <w:noWrap/>
            <w:vAlign w:val="center"/>
            <w:hideMark/>
          </w:tcPr>
          <w:p w14:paraId="492C0D6F"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Protein turnover</w:t>
            </w:r>
          </w:p>
        </w:tc>
        <w:tc>
          <w:tcPr>
            <w:tcW w:w="3479" w:type="dxa"/>
            <w:vAlign w:val="center"/>
          </w:tcPr>
          <w:p w14:paraId="1CDD9C47" w14:textId="45DCF65F" w:rsidR="008704AC" w:rsidRPr="008704AC" w:rsidRDefault="008704AC" w:rsidP="008704AC">
            <w:pPr>
              <w:rPr>
                <w:rFonts w:asciiTheme="majorBidi" w:hAnsiTheme="majorBidi" w:cstheme="majorBidi"/>
                <w:b w:val="0"/>
                <w:bCs w:val="0"/>
                <w:color w:val="000000" w:themeColor="text1"/>
                <w:sz w:val="14"/>
                <w:szCs w:val="14"/>
                <w:lang w:bidi="fa-IR"/>
              </w:rPr>
            </w:pPr>
            <w:r w:rsidRPr="008704AC">
              <w:rPr>
                <w:rFonts w:asciiTheme="majorBidi" w:hAnsiTheme="majorBidi" w:cstheme="majorBidi"/>
                <w:b w:val="0"/>
                <w:bCs w:val="0"/>
                <w:color w:val="000000" w:themeColor="text1"/>
                <w:sz w:val="14"/>
                <w:szCs w:val="14"/>
                <w:lang w:bidi="fa-IR"/>
              </w:rPr>
              <w:t>Belgian, Morgan, Welsh</w:t>
            </w:r>
          </w:p>
        </w:tc>
        <w:tc>
          <w:tcPr>
            <w:tcW w:w="1170" w:type="dxa"/>
            <w:vAlign w:val="center"/>
          </w:tcPr>
          <w:p w14:paraId="7CC104B0" w14:textId="48E486C8" w:rsidR="008704AC" w:rsidRPr="008704AC" w:rsidRDefault="008704AC" w:rsidP="008704AC">
            <w:pPr>
              <w:jc w:val="center"/>
              <w:rPr>
                <w:rFonts w:asciiTheme="majorBidi" w:hAnsiTheme="majorBidi" w:cstheme="majorBidi"/>
                <w:b w:val="0"/>
                <w:bCs w:val="0"/>
                <w:color w:val="000000" w:themeColor="text1"/>
                <w:sz w:val="14"/>
                <w:szCs w:val="14"/>
                <w:lang w:bidi="fa-IR"/>
              </w:rPr>
            </w:pPr>
            <w:r w:rsidRPr="008704AC">
              <w:rPr>
                <w:rFonts w:asciiTheme="majorBidi" w:hAnsiTheme="majorBidi" w:cstheme="majorBidi"/>
                <w:b w:val="0"/>
                <w:bCs w:val="0"/>
                <w:color w:val="000000" w:themeColor="text1"/>
                <w:sz w:val="14"/>
                <w:szCs w:val="14"/>
                <w:lang w:bidi="fa-IR"/>
              </w:rPr>
              <w:t>3</w:t>
            </w:r>
          </w:p>
        </w:tc>
      </w:tr>
      <w:tr w:rsidR="008704AC" w:rsidRPr="00FC107E" w14:paraId="6FDA0FD6" w14:textId="13DDDD49" w:rsidTr="008704AC">
        <w:trPr>
          <w:trHeight w:val="300"/>
        </w:trPr>
        <w:tc>
          <w:tcPr>
            <w:tcW w:w="991" w:type="dxa"/>
            <w:noWrap/>
            <w:vAlign w:val="center"/>
            <w:hideMark/>
          </w:tcPr>
          <w:p w14:paraId="0018ACAD" w14:textId="77777777" w:rsidR="008704AC" w:rsidRPr="008C1305" w:rsidRDefault="008704AC" w:rsidP="008704AC">
            <w:pPr>
              <w:jc w:val="cente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RPL13</w:t>
            </w:r>
          </w:p>
        </w:tc>
        <w:tc>
          <w:tcPr>
            <w:tcW w:w="1980" w:type="dxa"/>
            <w:noWrap/>
            <w:vAlign w:val="center"/>
            <w:hideMark/>
          </w:tcPr>
          <w:p w14:paraId="4DA52550"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Ribosomal protein (60S subunit)</w:t>
            </w:r>
          </w:p>
        </w:tc>
        <w:tc>
          <w:tcPr>
            <w:tcW w:w="2031" w:type="dxa"/>
            <w:noWrap/>
            <w:vAlign w:val="center"/>
            <w:hideMark/>
          </w:tcPr>
          <w:p w14:paraId="53955E4E"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Protein translation</w:t>
            </w:r>
          </w:p>
        </w:tc>
        <w:tc>
          <w:tcPr>
            <w:tcW w:w="2914" w:type="dxa"/>
            <w:noWrap/>
            <w:vAlign w:val="center"/>
            <w:hideMark/>
          </w:tcPr>
          <w:p w14:paraId="244FC18F"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Diamond-Blackfan anemia (human)</w:t>
            </w:r>
          </w:p>
        </w:tc>
        <w:tc>
          <w:tcPr>
            <w:tcW w:w="2465" w:type="dxa"/>
            <w:noWrap/>
            <w:vAlign w:val="center"/>
            <w:hideMark/>
          </w:tcPr>
          <w:p w14:paraId="22C16205"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Protein synthesis</w:t>
            </w:r>
          </w:p>
        </w:tc>
        <w:tc>
          <w:tcPr>
            <w:tcW w:w="3479" w:type="dxa"/>
            <w:vAlign w:val="center"/>
          </w:tcPr>
          <w:p w14:paraId="417EEB0C" w14:textId="0213928F" w:rsidR="008704AC" w:rsidRPr="008704AC" w:rsidRDefault="008704AC" w:rsidP="008704AC">
            <w:pPr>
              <w:rPr>
                <w:rFonts w:asciiTheme="majorBidi" w:hAnsiTheme="majorBidi" w:cstheme="majorBidi"/>
                <w:b w:val="0"/>
                <w:bCs w:val="0"/>
                <w:color w:val="000000" w:themeColor="text1"/>
                <w:sz w:val="14"/>
                <w:szCs w:val="14"/>
                <w:lang w:bidi="fa-IR"/>
              </w:rPr>
            </w:pPr>
            <w:r w:rsidRPr="008704AC">
              <w:rPr>
                <w:rFonts w:asciiTheme="majorBidi" w:hAnsiTheme="majorBidi" w:cstheme="majorBidi"/>
                <w:b w:val="0"/>
                <w:bCs w:val="0"/>
                <w:color w:val="000000" w:themeColor="text1"/>
                <w:sz w:val="14"/>
                <w:szCs w:val="14"/>
                <w:lang w:bidi="fa-IR"/>
              </w:rPr>
              <w:t>Belgian, Icelandic, Welsh</w:t>
            </w:r>
          </w:p>
        </w:tc>
        <w:tc>
          <w:tcPr>
            <w:tcW w:w="1170" w:type="dxa"/>
            <w:vAlign w:val="center"/>
          </w:tcPr>
          <w:p w14:paraId="3D0C07AC" w14:textId="43EA1AA4" w:rsidR="008704AC" w:rsidRPr="008704AC" w:rsidRDefault="008704AC" w:rsidP="008704AC">
            <w:pPr>
              <w:jc w:val="center"/>
              <w:rPr>
                <w:rFonts w:asciiTheme="majorBidi" w:hAnsiTheme="majorBidi" w:cstheme="majorBidi"/>
                <w:b w:val="0"/>
                <w:bCs w:val="0"/>
                <w:color w:val="000000" w:themeColor="text1"/>
                <w:sz w:val="14"/>
                <w:szCs w:val="14"/>
                <w:lang w:bidi="fa-IR"/>
              </w:rPr>
            </w:pPr>
            <w:r w:rsidRPr="008704AC">
              <w:rPr>
                <w:rFonts w:asciiTheme="majorBidi" w:hAnsiTheme="majorBidi" w:cstheme="majorBidi"/>
                <w:b w:val="0"/>
                <w:bCs w:val="0"/>
                <w:color w:val="000000" w:themeColor="text1"/>
                <w:sz w:val="14"/>
                <w:szCs w:val="14"/>
                <w:lang w:bidi="fa-IR"/>
              </w:rPr>
              <w:t>3</w:t>
            </w:r>
          </w:p>
        </w:tc>
      </w:tr>
      <w:tr w:rsidR="008704AC" w:rsidRPr="00FC107E" w14:paraId="47A3C9D2" w14:textId="118F22EF" w:rsidTr="008704AC">
        <w:trPr>
          <w:trHeight w:val="300"/>
        </w:trPr>
        <w:tc>
          <w:tcPr>
            <w:tcW w:w="991" w:type="dxa"/>
            <w:noWrap/>
            <w:vAlign w:val="center"/>
            <w:hideMark/>
          </w:tcPr>
          <w:p w14:paraId="1B9E8386" w14:textId="77777777" w:rsidR="008704AC" w:rsidRPr="008C1305" w:rsidRDefault="008704AC" w:rsidP="008704AC">
            <w:pPr>
              <w:jc w:val="cente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SNAI3</w:t>
            </w:r>
          </w:p>
        </w:tc>
        <w:tc>
          <w:tcPr>
            <w:tcW w:w="1980" w:type="dxa"/>
            <w:noWrap/>
            <w:vAlign w:val="center"/>
            <w:hideMark/>
          </w:tcPr>
          <w:p w14:paraId="2B286C0B"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Zinc finger transcription factor</w:t>
            </w:r>
          </w:p>
        </w:tc>
        <w:tc>
          <w:tcPr>
            <w:tcW w:w="2031" w:type="dxa"/>
            <w:noWrap/>
            <w:vAlign w:val="center"/>
            <w:hideMark/>
          </w:tcPr>
          <w:p w14:paraId="48C5BCF5"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Epithelial-mesenchymal transition (EMT)</w:t>
            </w:r>
          </w:p>
        </w:tc>
        <w:tc>
          <w:tcPr>
            <w:tcW w:w="2914" w:type="dxa"/>
            <w:noWrap/>
            <w:vAlign w:val="center"/>
            <w:hideMark/>
          </w:tcPr>
          <w:p w14:paraId="64EEF079"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Cancer metastasis (human)</w:t>
            </w:r>
          </w:p>
        </w:tc>
        <w:tc>
          <w:tcPr>
            <w:tcW w:w="2465" w:type="dxa"/>
            <w:noWrap/>
            <w:vAlign w:val="center"/>
            <w:hideMark/>
          </w:tcPr>
          <w:p w14:paraId="3D8C3A42"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Transcriptional regulator in development and cancer</w:t>
            </w:r>
          </w:p>
        </w:tc>
        <w:tc>
          <w:tcPr>
            <w:tcW w:w="3479" w:type="dxa"/>
            <w:vAlign w:val="center"/>
          </w:tcPr>
          <w:p w14:paraId="3B3BEF4F" w14:textId="070CE33F" w:rsidR="008704AC" w:rsidRPr="008704AC" w:rsidRDefault="008704AC" w:rsidP="008704AC">
            <w:pPr>
              <w:rPr>
                <w:rFonts w:asciiTheme="majorBidi" w:hAnsiTheme="majorBidi" w:cstheme="majorBidi"/>
                <w:b w:val="0"/>
                <w:bCs w:val="0"/>
                <w:color w:val="000000" w:themeColor="text1"/>
                <w:sz w:val="14"/>
                <w:szCs w:val="14"/>
                <w:lang w:bidi="fa-IR"/>
              </w:rPr>
            </w:pPr>
            <w:r w:rsidRPr="008704AC">
              <w:rPr>
                <w:rFonts w:asciiTheme="majorBidi" w:hAnsiTheme="majorBidi" w:cstheme="majorBidi"/>
                <w:b w:val="0"/>
                <w:bCs w:val="0"/>
                <w:color w:val="000000" w:themeColor="text1"/>
                <w:sz w:val="14"/>
                <w:szCs w:val="14"/>
                <w:lang w:bidi="fa-IR"/>
              </w:rPr>
              <w:t>Belgian, Morgan, Welsh</w:t>
            </w:r>
          </w:p>
        </w:tc>
        <w:tc>
          <w:tcPr>
            <w:tcW w:w="1170" w:type="dxa"/>
            <w:vAlign w:val="center"/>
          </w:tcPr>
          <w:p w14:paraId="0558844B" w14:textId="14768DF4" w:rsidR="008704AC" w:rsidRPr="008704AC" w:rsidRDefault="008704AC" w:rsidP="008704AC">
            <w:pPr>
              <w:jc w:val="center"/>
              <w:rPr>
                <w:rFonts w:asciiTheme="majorBidi" w:hAnsiTheme="majorBidi" w:cstheme="majorBidi"/>
                <w:b w:val="0"/>
                <w:bCs w:val="0"/>
                <w:color w:val="000000" w:themeColor="text1"/>
                <w:sz w:val="14"/>
                <w:szCs w:val="14"/>
                <w:lang w:bidi="fa-IR"/>
              </w:rPr>
            </w:pPr>
            <w:r w:rsidRPr="008704AC">
              <w:rPr>
                <w:rFonts w:asciiTheme="majorBidi" w:hAnsiTheme="majorBidi" w:cstheme="majorBidi"/>
                <w:b w:val="0"/>
                <w:bCs w:val="0"/>
                <w:color w:val="000000" w:themeColor="text1"/>
                <w:sz w:val="14"/>
                <w:szCs w:val="14"/>
                <w:lang w:bidi="fa-IR"/>
              </w:rPr>
              <w:t>3</w:t>
            </w:r>
          </w:p>
        </w:tc>
      </w:tr>
      <w:tr w:rsidR="008704AC" w:rsidRPr="00FC107E" w14:paraId="54116793" w14:textId="2FD7D583" w:rsidTr="008704AC">
        <w:trPr>
          <w:trHeight w:val="300"/>
        </w:trPr>
        <w:tc>
          <w:tcPr>
            <w:tcW w:w="991" w:type="dxa"/>
            <w:noWrap/>
            <w:vAlign w:val="center"/>
            <w:hideMark/>
          </w:tcPr>
          <w:p w14:paraId="718260F1" w14:textId="77777777" w:rsidR="008704AC" w:rsidRPr="008C1305" w:rsidRDefault="008704AC" w:rsidP="008704AC">
            <w:pPr>
              <w:jc w:val="cente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SNORD68</w:t>
            </w:r>
          </w:p>
        </w:tc>
        <w:tc>
          <w:tcPr>
            <w:tcW w:w="1980" w:type="dxa"/>
            <w:noWrap/>
            <w:vAlign w:val="center"/>
            <w:hideMark/>
          </w:tcPr>
          <w:p w14:paraId="31CDEDB8"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Small nucleolar RNA (snoRNA)</w:t>
            </w:r>
          </w:p>
        </w:tc>
        <w:tc>
          <w:tcPr>
            <w:tcW w:w="2031" w:type="dxa"/>
            <w:noWrap/>
            <w:vAlign w:val="center"/>
            <w:hideMark/>
          </w:tcPr>
          <w:p w14:paraId="44258289"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rRNA modification</w:t>
            </w:r>
          </w:p>
        </w:tc>
        <w:tc>
          <w:tcPr>
            <w:tcW w:w="2914" w:type="dxa"/>
            <w:noWrap/>
            <w:vAlign w:val="center"/>
            <w:hideMark/>
          </w:tcPr>
          <w:p w14:paraId="6E0DA1AD"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No direct phenotype</w:t>
            </w:r>
          </w:p>
        </w:tc>
        <w:tc>
          <w:tcPr>
            <w:tcW w:w="2465" w:type="dxa"/>
            <w:noWrap/>
            <w:vAlign w:val="center"/>
            <w:hideMark/>
          </w:tcPr>
          <w:p w14:paraId="1C0056DF"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Involved in ribosomal RNA maturation</w:t>
            </w:r>
          </w:p>
        </w:tc>
        <w:tc>
          <w:tcPr>
            <w:tcW w:w="3479" w:type="dxa"/>
            <w:vAlign w:val="center"/>
          </w:tcPr>
          <w:p w14:paraId="0626D923" w14:textId="2330879C" w:rsidR="008704AC" w:rsidRPr="008704AC" w:rsidRDefault="008704AC" w:rsidP="008704AC">
            <w:pPr>
              <w:rPr>
                <w:rFonts w:asciiTheme="majorBidi" w:hAnsiTheme="majorBidi" w:cstheme="majorBidi"/>
                <w:b w:val="0"/>
                <w:bCs w:val="0"/>
                <w:color w:val="000000" w:themeColor="text1"/>
                <w:sz w:val="14"/>
                <w:szCs w:val="14"/>
                <w:lang w:bidi="fa-IR"/>
              </w:rPr>
            </w:pPr>
            <w:r w:rsidRPr="008704AC">
              <w:rPr>
                <w:rFonts w:asciiTheme="majorBidi" w:hAnsiTheme="majorBidi" w:cstheme="majorBidi"/>
                <w:b w:val="0"/>
                <w:bCs w:val="0"/>
                <w:color w:val="000000" w:themeColor="text1"/>
                <w:sz w:val="14"/>
                <w:szCs w:val="14"/>
                <w:lang w:bidi="fa-IR"/>
              </w:rPr>
              <w:t>Belgian, Icelandic, Welsh</w:t>
            </w:r>
          </w:p>
        </w:tc>
        <w:tc>
          <w:tcPr>
            <w:tcW w:w="1170" w:type="dxa"/>
            <w:vAlign w:val="center"/>
          </w:tcPr>
          <w:p w14:paraId="1B64BF53" w14:textId="17CF2778" w:rsidR="008704AC" w:rsidRPr="008704AC" w:rsidRDefault="008704AC" w:rsidP="008704AC">
            <w:pPr>
              <w:jc w:val="center"/>
              <w:rPr>
                <w:rFonts w:asciiTheme="majorBidi" w:hAnsiTheme="majorBidi" w:cstheme="majorBidi"/>
                <w:b w:val="0"/>
                <w:bCs w:val="0"/>
                <w:color w:val="000000" w:themeColor="text1"/>
                <w:sz w:val="14"/>
                <w:szCs w:val="14"/>
                <w:lang w:bidi="fa-IR"/>
              </w:rPr>
            </w:pPr>
            <w:r w:rsidRPr="008704AC">
              <w:rPr>
                <w:rFonts w:asciiTheme="majorBidi" w:hAnsiTheme="majorBidi" w:cstheme="majorBidi"/>
                <w:b w:val="0"/>
                <w:bCs w:val="0"/>
                <w:color w:val="000000" w:themeColor="text1"/>
                <w:sz w:val="14"/>
                <w:szCs w:val="14"/>
                <w:lang w:bidi="fa-IR"/>
              </w:rPr>
              <w:t>3</w:t>
            </w:r>
          </w:p>
        </w:tc>
      </w:tr>
      <w:tr w:rsidR="008704AC" w:rsidRPr="00FC107E" w14:paraId="4D9AB750" w14:textId="030CA20E" w:rsidTr="008704AC">
        <w:trPr>
          <w:trHeight w:val="300"/>
        </w:trPr>
        <w:tc>
          <w:tcPr>
            <w:tcW w:w="991" w:type="dxa"/>
            <w:noWrap/>
            <w:vAlign w:val="center"/>
            <w:hideMark/>
          </w:tcPr>
          <w:p w14:paraId="3ABF65F1" w14:textId="77777777" w:rsidR="008704AC" w:rsidRPr="008C1305" w:rsidRDefault="008704AC" w:rsidP="008704AC">
            <w:pPr>
              <w:jc w:val="cente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SPATA19</w:t>
            </w:r>
          </w:p>
        </w:tc>
        <w:tc>
          <w:tcPr>
            <w:tcW w:w="1980" w:type="dxa"/>
            <w:noWrap/>
            <w:vAlign w:val="center"/>
            <w:hideMark/>
          </w:tcPr>
          <w:p w14:paraId="5BB6ABD6"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Spermatogenesis-associated protein</w:t>
            </w:r>
          </w:p>
        </w:tc>
        <w:tc>
          <w:tcPr>
            <w:tcW w:w="2031" w:type="dxa"/>
            <w:noWrap/>
            <w:vAlign w:val="center"/>
            <w:hideMark/>
          </w:tcPr>
          <w:p w14:paraId="09EB100E"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Germ cell development</w:t>
            </w:r>
          </w:p>
        </w:tc>
        <w:tc>
          <w:tcPr>
            <w:tcW w:w="2914" w:type="dxa"/>
            <w:noWrap/>
            <w:vAlign w:val="center"/>
            <w:hideMark/>
          </w:tcPr>
          <w:p w14:paraId="19D39E5D"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Not characterized in horses</w:t>
            </w:r>
          </w:p>
        </w:tc>
        <w:tc>
          <w:tcPr>
            <w:tcW w:w="2465" w:type="dxa"/>
            <w:noWrap/>
            <w:vAlign w:val="center"/>
            <w:hideMark/>
          </w:tcPr>
          <w:p w14:paraId="666F0EE1"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Reproduction</w:t>
            </w:r>
          </w:p>
        </w:tc>
        <w:tc>
          <w:tcPr>
            <w:tcW w:w="3479" w:type="dxa"/>
            <w:vAlign w:val="center"/>
          </w:tcPr>
          <w:p w14:paraId="16B1B0D4" w14:textId="0129D820" w:rsidR="008704AC" w:rsidRPr="008704AC" w:rsidRDefault="008704AC" w:rsidP="008704AC">
            <w:pPr>
              <w:rPr>
                <w:rFonts w:asciiTheme="majorBidi" w:hAnsiTheme="majorBidi" w:cstheme="majorBidi"/>
                <w:b w:val="0"/>
                <w:bCs w:val="0"/>
                <w:color w:val="000000" w:themeColor="text1"/>
                <w:sz w:val="14"/>
                <w:szCs w:val="14"/>
                <w:lang w:bidi="fa-IR"/>
              </w:rPr>
            </w:pPr>
            <w:r w:rsidRPr="008704AC">
              <w:rPr>
                <w:rFonts w:asciiTheme="majorBidi" w:hAnsiTheme="majorBidi" w:cstheme="majorBidi"/>
                <w:b w:val="0"/>
                <w:bCs w:val="0"/>
                <w:color w:val="000000" w:themeColor="text1"/>
                <w:sz w:val="14"/>
                <w:szCs w:val="14"/>
                <w:lang w:bidi="fa-IR"/>
              </w:rPr>
              <w:t>Arabian, Standardbred, Thoroughbred</w:t>
            </w:r>
          </w:p>
        </w:tc>
        <w:tc>
          <w:tcPr>
            <w:tcW w:w="1170" w:type="dxa"/>
            <w:vAlign w:val="center"/>
          </w:tcPr>
          <w:p w14:paraId="39D98245" w14:textId="3D54F993" w:rsidR="008704AC" w:rsidRPr="008704AC" w:rsidRDefault="008704AC" w:rsidP="008704AC">
            <w:pPr>
              <w:jc w:val="center"/>
              <w:rPr>
                <w:rFonts w:asciiTheme="majorBidi" w:hAnsiTheme="majorBidi" w:cstheme="majorBidi"/>
                <w:b w:val="0"/>
                <w:bCs w:val="0"/>
                <w:color w:val="000000" w:themeColor="text1"/>
                <w:sz w:val="14"/>
                <w:szCs w:val="14"/>
                <w:lang w:bidi="fa-IR"/>
              </w:rPr>
            </w:pPr>
            <w:r w:rsidRPr="008704AC">
              <w:rPr>
                <w:rFonts w:asciiTheme="majorBidi" w:hAnsiTheme="majorBidi" w:cstheme="majorBidi"/>
                <w:b w:val="0"/>
                <w:bCs w:val="0"/>
                <w:color w:val="000000" w:themeColor="text1"/>
                <w:sz w:val="14"/>
                <w:szCs w:val="14"/>
                <w:lang w:bidi="fa-IR"/>
              </w:rPr>
              <w:t>3</w:t>
            </w:r>
          </w:p>
        </w:tc>
      </w:tr>
      <w:tr w:rsidR="008704AC" w:rsidRPr="00FC107E" w14:paraId="5F022601" w14:textId="686765F5" w:rsidTr="008704AC">
        <w:trPr>
          <w:trHeight w:val="300"/>
        </w:trPr>
        <w:tc>
          <w:tcPr>
            <w:tcW w:w="991" w:type="dxa"/>
            <w:noWrap/>
            <w:vAlign w:val="center"/>
            <w:hideMark/>
          </w:tcPr>
          <w:p w14:paraId="43774F47" w14:textId="77777777" w:rsidR="008704AC" w:rsidRPr="008C1305" w:rsidRDefault="008704AC" w:rsidP="008704AC">
            <w:pPr>
              <w:jc w:val="cente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SPATA2L</w:t>
            </w:r>
          </w:p>
        </w:tc>
        <w:tc>
          <w:tcPr>
            <w:tcW w:w="1980" w:type="dxa"/>
            <w:noWrap/>
            <w:vAlign w:val="center"/>
            <w:hideMark/>
          </w:tcPr>
          <w:p w14:paraId="5329411E"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Spermatogenesis-associated protein</w:t>
            </w:r>
          </w:p>
        </w:tc>
        <w:tc>
          <w:tcPr>
            <w:tcW w:w="2031" w:type="dxa"/>
            <w:noWrap/>
            <w:vAlign w:val="center"/>
            <w:hideMark/>
          </w:tcPr>
          <w:p w14:paraId="70B3EC12"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Germ cell development</w:t>
            </w:r>
          </w:p>
        </w:tc>
        <w:tc>
          <w:tcPr>
            <w:tcW w:w="2914" w:type="dxa"/>
            <w:noWrap/>
            <w:vAlign w:val="center"/>
            <w:hideMark/>
          </w:tcPr>
          <w:p w14:paraId="41745604"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Not characterized in horses</w:t>
            </w:r>
          </w:p>
        </w:tc>
        <w:tc>
          <w:tcPr>
            <w:tcW w:w="2465" w:type="dxa"/>
            <w:noWrap/>
            <w:vAlign w:val="center"/>
            <w:hideMark/>
          </w:tcPr>
          <w:p w14:paraId="2714AB73"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Potential role in germ cell differentiation</w:t>
            </w:r>
          </w:p>
        </w:tc>
        <w:tc>
          <w:tcPr>
            <w:tcW w:w="3479" w:type="dxa"/>
            <w:vAlign w:val="center"/>
          </w:tcPr>
          <w:p w14:paraId="61BF607D" w14:textId="7FF74DD9" w:rsidR="008704AC" w:rsidRPr="008704AC" w:rsidRDefault="008704AC" w:rsidP="008704AC">
            <w:pPr>
              <w:rPr>
                <w:rFonts w:asciiTheme="majorBidi" w:hAnsiTheme="majorBidi" w:cstheme="majorBidi"/>
                <w:b w:val="0"/>
                <w:bCs w:val="0"/>
                <w:color w:val="000000" w:themeColor="text1"/>
                <w:sz w:val="14"/>
                <w:szCs w:val="14"/>
                <w:lang w:bidi="fa-IR"/>
              </w:rPr>
            </w:pPr>
            <w:r w:rsidRPr="008704AC">
              <w:rPr>
                <w:rFonts w:asciiTheme="majorBidi" w:hAnsiTheme="majorBidi" w:cstheme="majorBidi"/>
                <w:b w:val="0"/>
                <w:bCs w:val="0"/>
                <w:color w:val="000000" w:themeColor="text1"/>
                <w:sz w:val="14"/>
                <w:szCs w:val="14"/>
                <w:lang w:bidi="fa-IR"/>
              </w:rPr>
              <w:t>Belgian, Icelandic, Welsh</w:t>
            </w:r>
          </w:p>
        </w:tc>
        <w:tc>
          <w:tcPr>
            <w:tcW w:w="1170" w:type="dxa"/>
            <w:vAlign w:val="center"/>
          </w:tcPr>
          <w:p w14:paraId="05E57840" w14:textId="4D727425" w:rsidR="008704AC" w:rsidRPr="008704AC" w:rsidRDefault="008704AC" w:rsidP="008704AC">
            <w:pPr>
              <w:jc w:val="center"/>
              <w:rPr>
                <w:rFonts w:asciiTheme="majorBidi" w:hAnsiTheme="majorBidi" w:cstheme="majorBidi"/>
                <w:b w:val="0"/>
                <w:bCs w:val="0"/>
                <w:color w:val="000000" w:themeColor="text1"/>
                <w:sz w:val="14"/>
                <w:szCs w:val="14"/>
                <w:lang w:bidi="fa-IR"/>
              </w:rPr>
            </w:pPr>
            <w:r w:rsidRPr="008704AC">
              <w:rPr>
                <w:rFonts w:asciiTheme="majorBidi" w:hAnsiTheme="majorBidi" w:cstheme="majorBidi"/>
                <w:b w:val="0"/>
                <w:bCs w:val="0"/>
                <w:color w:val="000000" w:themeColor="text1"/>
                <w:sz w:val="14"/>
                <w:szCs w:val="14"/>
                <w:lang w:bidi="fa-IR"/>
              </w:rPr>
              <w:t>3</w:t>
            </w:r>
          </w:p>
        </w:tc>
      </w:tr>
      <w:tr w:rsidR="008704AC" w:rsidRPr="00FC107E" w14:paraId="41AACDF6" w14:textId="4F42E4C0" w:rsidTr="008704AC">
        <w:trPr>
          <w:trHeight w:val="300"/>
        </w:trPr>
        <w:tc>
          <w:tcPr>
            <w:tcW w:w="991" w:type="dxa"/>
            <w:noWrap/>
            <w:vAlign w:val="center"/>
            <w:hideMark/>
          </w:tcPr>
          <w:p w14:paraId="7078DC49" w14:textId="77777777" w:rsidR="008704AC" w:rsidRPr="008C1305" w:rsidRDefault="008704AC" w:rsidP="008704AC">
            <w:pPr>
              <w:jc w:val="cente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SPG7</w:t>
            </w:r>
          </w:p>
        </w:tc>
        <w:tc>
          <w:tcPr>
            <w:tcW w:w="1980" w:type="dxa"/>
            <w:noWrap/>
            <w:vAlign w:val="center"/>
            <w:hideMark/>
          </w:tcPr>
          <w:p w14:paraId="67A7DA3F"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Mitochondrial metalloprotease</w:t>
            </w:r>
          </w:p>
        </w:tc>
        <w:tc>
          <w:tcPr>
            <w:tcW w:w="2031" w:type="dxa"/>
            <w:noWrap/>
            <w:vAlign w:val="center"/>
            <w:hideMark/>
          </w:tcPr>
          <w:p w14:paraId="2D6C9B4C"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Axon maintenance</w:t>
            </w:r>
          </w:p>
        </w:tc>
        <w:tc>
          <w:tcPr>
            <w:tcW w:w="2914" w:type="dxa"/>
            <w:noWrap/>
            <w:vAlign w:val="center"/>
            <w:hideMark/>
          </w:tcPr>
          <w:p w14:paraId="3A8E887A"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Equine degenerative myeloencephalopathy (EDM)</w:t>
            </w:r>
          </w:p>
        </w:tc>
        <w:tc>
          <w:tcPr>
            <w:tcW w:w="2465" w:type="dxa"/>
            <w:noWrap/>
            <w:vAlign w:val="center"/>
            <w:hideMark/>
          </w:tcPr>
          <w:p w14:paraId="0916904F"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Nervous system</w:t>
            </w:r>
          </w:p>
        </w:tc>
        <w:tc>
          <w:tcPr>
            <w:tcW w:w="3479" w:type="dxa"/>
            <w:vAlign w:val="center"/>
          </w:tcPr>
          <w:p w14:paraId="544E67C0" w14:textId="3ADE8217" w:rsidR="008704AC" w:rsidRPr="008704AC" w:rsidRDefault="008704AC" w:rsidP="008704AC">
            <w:pPr>
              <w:rPr>
                <w:rFonts w:asciiTheme="majorBidi" w:hAnsiTheme="majorBidi" w:cstheme="majorBidi"/>
                <w:b w:val="0"/>
                <w:bCs w:val="0"/>
                <w:color w:val="000000" w:themeColor="text1"/>
                <w:sz w:val="14"/>
                <w:szCs w:val="14"/>
                <w:lang w:bidi="fa-IR"/>
              </w:rPr>
            </w:pPr>
            <w:r w:rsidRPr="008704AC">
              <w:rPr>
                <w:rFonts w:asciiTheme="majorBidi" w:hAnsiTheme="majorBidi" w:cstheme="majorBidi"/>
                <w:b w:val="0"/>
                <w:bCs w:val="0"/>
                <w:color w:val="000000" w:themeColor="text1"/>
                <w:sz w:val="14"/>
                <w:szCs w:val="14"/>
                <w:lang w:bidi="fa-IR"/>
              </w:rPr>
              <w:t>Belgian, Icelandic, Welsh</w:t>
            </w:r>
          </w:p>
        </w:tc>
        <w:tc>
          <w:tcPr>
            <w:tcW w:w="1170" w:type="dxa"/>
            <w:vAlign w:val="center"/>
          </w:tcPr>
          <w:p w14:paraId="5EEF0DF6" w14:textId="05316D3F" w:rsidR="008704AC" w:rsidRPr="008704AC" w:rsidRDefault="008704AC" w:rsidP="008704AC">
            <w:pPr>
              <w:jc w:val="center"/>
              <w:rPr>
                <w:rFonts w:asciiTheme="majorBidi" w:hAnsiTheme="majorBidi" w:cstheme="majorBidi"/>
                <w:b w:val="0"/>
                <w:bCs w:val="0"/>
                <w:color w:val="000000" w:themeColor="text1"/>
                <w:sz w:val="14"/>
                <w:szCs w:val="14"/>
                <w:lang w:bidi="fa-IR"/>
              </w:rPr>
            </w:pPr>
            <w:r w:rsidRPr="008704AC">
              <w:rPr>
                <w:rFonts w:asciiTheme="majorBidi" w:hAnsiTheme="majorBidi" w:cstheme="majorBidi"/>
                <w:b w:val="0"/>
                <w:bCs w:val="0"/>
                <w:color w:val="000000" w:themeColor="text1"/>
                <w:sz w:val="14"/>
                <w:szCs w:val="14"/>
                <w:lang w:bidi="fa-IR"/>
              </w:rPr>
              <w:t>3</w:t>
            </w:r>
          </w:p>
        </w:tc>
      </w:tr>
      <w:tr w:rsidR="008704AC" w:rsidRPr="00FC107E" w14:paraId="2C3AD73A" w14:textId="13F76EB6" w:rsidTr="008704AC">
        <w:trPr>
          <w:trHeight w:val="300"/>
        </w:trPr>
        <w:tc>
          <w:tcPr>
            <w:tcW w:w="991" w:type="dxa"/>
            <w:noWrap/>
            <w:vAlign w:val="center"/>
            <w:hideMark/>
          </w:tcPr>
          <w:p w14:paraId="50AC3719" w14:textId="77777777" w:rsidR="008704AC" w:rsidRPr="008C1305" w:rsidRDefault="008704AC" w:rsidP="008704AC">
            <w:pPr>
              <w:jc w:val="cente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SPIRE2</w:t>
            </w:r>
          </w:p>
        </w:tc>
        <w:tc>
          <w:tcPr>
            <w:tcW w:w="1980" w:type="dxa"/>
            <w:noWrap/>
            <w:vAlign w:val="center"/>
            <w:hideMark/>
          </w:tcPr>
          <w:p w14:paraId="79CAA706"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Actin nucleation factor</w:t>
            </w:r>
          </w:p>
        </w:tc>
        <w:tc>
          <w:tcPr>
            <w:tcW w:w="2031" w:type="dxa"/>
            <w:noWrap/>
            <w:vAlign w:val="center"/>
            <w:hideMark/>
          </w:tcPr>
          <w:p w14:paraId="6E76956D"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Cytoskeleton organization</w:t>
            </w:r>
          </w:p>
        </w:tc>
        <w:tc>
          <w:tcPr>
            <w:tcW w:w="2914" w:type="dxa"/>
            <w:noWrap/>
            <w:vAlign w:val="center"/>
            <w:hideMark/>
          </w:tcPr>
          <w:p w14:paraId="564F675D"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Not well-studied in horses</w:t>
            </w:r>
          </w:p>
        </w:tc>
        <w:tc>
          <w:tcPr>
            <w:tcW w:w="2465" w:type="dxa"/>
            <w:noWrap/>
            <w:vAlign w:val="center"/>
            <w:hideMark/>
          </w:tcPr>
          <w:p w14:paraId="3F3D42DC"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Cytoskeleton</w:t>
            </w:r>
          </w:p>
        </w:tc>
        <w:tc>
          <w:tcPr>
            <w:tcW w:w="3479" w:type="dxa"/>
            <w:vAlign w:val="center"/>
          </w:tcPr>
          <w:p w14:paraId="165EF584" w14:textId="5438C8E7" w:rsidR="008704AC" w:rsidRPr="008704AC" w:rsidRDefault="008704AC" w:rsidP="008704AC">
            <w:pPr>
              <w:rPr>
                <w:rFonts w:asciiTheme="majorBidi" w:hAnsiTheme="majorBidi" w:cstheme="majorBidi"/>
                <w:b w:val="0"/>
                <w:bCs w:val="0"/>
                <w:color w:val="000000" w:themeColor="text1"/>
                <w:sz w:val="14"/>
                <w:szCs w:val="14"/>
                <w:lang w:bidi="fa-IR"/>
              </w:rPr>
            </w:pPr>
            <w:r w:rsidRPr="008704AC">
              <w:rPr>
                <w:rFonts w:asciiTheme="majorBidi" w:hAnsiTheme="majorBidi" w:cstheme="majorBidi"/>
                <w:b w:val="0"/>
                <w:bCs w:val="0"/>
                <w:color w:val="000000" w:themeColor="text1"/>
                <w:sz w:val="14"/>
                <w:szCs w:val="14"/>
                <w:lang w:bidi="fa-IR"/>
              </w:rPr>
              <w:t>Belgian, Icelandic, Welsh</w:t>
            </w:r>
          </w:p>
        </w:tc>
        <w:tc>
          <w:tcPr>
            <w:tcW w:w="1170" w:type="dxa"/>
            <w:vAlign w:val="center"/>
          </w:tcPr>
          <w:p w14:paraId="53FD81AC" w14:textId="2180168B" w:rsidR="008704AC" w:rsidRPr="008704AC" w:rsidRDefault="008704AC" w:rsidP="008704AC">
            <w:pPr>
              <w:jc w:val="center"/>
              <w:rPr>
                <w:rFonts w:asciiTheme="majorBidi" w:hAnsiTheme="majorBidi" w:cstheme="majorBidi"/>
                <w:b w:val="0"/>
                <w:bCs w:val="0"/>
                <w:color w:val="000000" w:themeColor="text1"/>
                <w:sz w:val="14"/>
                <w:szCs w:val="14"/>
                <w:lang w:bidi="fa-IR"/>
              </w:rPr>
            </w:pPr>
            <w:r w:rsidRPr="008704AC">
              <w:rPr>
                <w:rFonts w:asciiTheme="majorBidi" w:hAnsiTheme="majorBidi" w:cstheme="majorBidi"/>
                <w:b w:val="0"/>
                <w:bCs w:val="0"/>
                <w:color w:val="000000" w:themeColor="text1"/>
                <w:sz w:val="14"/>
                <w:szCs w:val="14"/>
                <w:lang w:bidi="fa-IR"/>
              </w:rPr>
              <w:t>3</w:t>
            </w:r>
          </w:p>
        </w:tc>
      </w:tr>
      <w:tr w:rsidR="008704AC" w:rsidRPr="00FC107E" w14:paraId="12D53600" w14:textId="3F649095" w:rsidTr="008704AC">
        <w:trPr>
          <w:trHeight w:val="300"/>
        </w:trPr>
        <w:tc>
          <w:tcPr>
            <w:tcW w:w="991" w:type="dxa"/>
            <w:noWrap/>
            <w:vAlign w:val="center"/>
            <w:hideMark/>
          </w:tcPr>
          <w:p w14:paraId="685F95B9" w14:textId="77777777" w:rsidR="008704AC" w:rsidRPr="008C1305" w:rsidRDefault="008704AC" w:rsidP="008704AC">
            <w:pPr>
              <w:jc w:val="cente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TCF25</w:t>
            </w:r>
          </w:p>
        </w:tc>
        <w:tc>
          <w:tcPr>
            <w:tcW w:w="1980" w:type="dxa"/>
            <w:noWrap/>
            <w:vAlign w:val="center"/>
            <w:hideMark/>
          </w:tcPr>
          <w:p w14:paraId="35FFC940"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Transcription factor</w:t>
            </w:r>
          </w:p>
        </w:tc>
        <w:tc>
          <w:tcPr>
            <w:tcW w:w="2031" w:type="dxa"/>
            <w:noWrap/>
            <w:vAlign w:val="center"/>
            <w:hideMark/>
          </w:tcPr>
          <w:p w14:paraId="30D87D6F"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Cell differentiation</w:t>
            </w:r>
          </w:p>
        </w:tc>
        <w:tc>
          <w:tcPr>
            <w:tcW w:w="2914" w:type="dxa"/>
            <w:noWrap/>
            <w:vAlign w:val="center"/>
            <w:hideMark/>
          </w:tcPr>
          <w:p w14:paraId="7C50D55A"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No known equine phenotype</w:t>
            </w:r>
          </w:p>
        </w:tc>
        <w:tc>
          <w:tcPr>
            <w:tcW w:w="2465" w:type="dxa"/>
            <w:noWrap/>
            <w:vAlign w:val="center"/>
            <w:hideMark/>
          </w:tcPr>
          <w:p w14:paraId="4415C938"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Developmental regulation</w:t>
            </w:r>
          </w:p>
        </w:tc>
        <w:tc>
          <w:tcPr>
            <w:tcW w:w="3479" w:type="dxa"/>
            <w:vAlign w:val="center"/>
          </w:tcPr>
          <w:p w14:paraId="100B6997" w14:textId="49ED970E" w:rsidR="008704AC" w:rsidRPr="008704AC" w:rsidRDefault="008704AC" w:rsidP="008704AC">
            <w:pPr>
              <w:rPr>
                <w:rFonts w:asciiTheme="majorBidi" w:hAnsiTheme="majorBidi" w:cstheme="majorBidi"/>
                <w:b w:val="0"/>
                <w:bCs w:val="0"/>
                <w:color w:val="000000" w:themeColor="text1"/>
                <w:sz w:val="14"/>
                <w:szCs w:val="14"/>
                <w:lang w:bidi="fa-IR"/>
              </w:rPr>
            </w:pPr>
            <w:r w:rsidRPr="008704AC">
              <w:rPr>
                <w:rFonts w:asciiTheme="majorBidi" w:hAnsiTheme="majorBidi" w:cstheme="majorBidi"/>
                <w:b w:val="0"/>
                <w:bCs w:val="0"/>
                <w:color w:val="000000" w:themeColor="text1"/>
                <w:sz w:val="14"/>
                <w:szCs w:val="14"/>
                <w:lang w:bidi="fa-IR"/>
              </w:rPr>
              <w:t>Belgian, Icelandic, Welsh</w:t>
            </w:r>
          </w:p>
        </w:tc>
        <w:tc>
          <w:tcPr>
            <w:tcW w:w="1170" w:type="dxa"/>
            <w:vAlign w:val="center"/>
          </w:tcPr>
          <w:p w14:paraId="20DE87F2" w14:textId="3AC8D5A5" w:rsidR="008704AC" w:rsidRPr="008704AC" w:rsidRDefault="008704AC" w:rsidP="008704AC">
            <w:pPr>
              <w:jc w:val="center"/>
              <w:rPr>
                <w:rFonts w:asciiTheme="majorBidi" w:hAnsiTheme="majorBidi" w:cstheme="majorBidi"/>
                <w:b w:val="0"/>
                <w:bCs w:val="0"/>
                <w:color w:val="000000" w:themeColor="text1"/>
                <w:sz w:val="14"/>
                <w:szCs w:val="14"/>
                <w:lang w:bidi="fa-IR"/>
              </w:rPr>
            </w:pPr>
            <w:r w:rsidRPr="008704AC">
              <w:rPr>
                <w:rFonts w:asciiTheme="majorBidi" w:hAnsiTheme="majorBidi" w:cstheme="majorBidi"/>
                <w:b w:val="0"/>
                <w:bCs w:val="0"/>
                <w:color w:val="000000" w:themeColor="text1"/>
                <w:sz w:val="14"/>
                <w:szCs w:val="14"/>
                <w:lang w:bidi="fa-IR"/>
              </w:rPr>
              <w:t>3</w:t>
            </w:r>
          </w:p>
        </w:tc>
      </w:tr>
      <w:tr w:rsidR="008704AC" w:rsidRPr="00FC107E" w14:paraId="0663ACA8" w14:textId="14120A56" w:rsidTr="008704AC">
        <w:trPr>
          <w:trHeight w:val="300"/>
        </w:trPr>
        <w:tc>
          <w:tcPr>
            <w:tcW w:w="991" w:type="dxa"/>
            <w:noWrap/>
            <w:vAlign w:val="center"/>
            <w:hideMark/>
          </w:tcPr>
          <w:p w14:paraId="18854A83" w14:textId="77777777" w:rsidR="008704AC" w:rsidRPr="008C1305" w:rsidRDefault="008704AC" w:rsidP="008704AC">
            <w:pPr>
              <w:jc w:val="cente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THYN1</w:t>
            </w:r>
          </w:p>
        </w:tc>
        <w:tc>
          <w:tcPr>
            <w:tcW w:w="1980" w:type="dxa"/>
            <w:noWrap/>
            <w:vAlign w:val="center"/>
            <w:hideMark/>
          </w:tcPr>
          <w:p w14:paraId="4C883305"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Thymocyte nuclear protein</w:t>
            </w:r>
          </w:p>
        </w:tc>
        <w:tc>
          <w:tcPr>
            <w:tcW w:w="2031" w:type="dxa"/>
            <w:noWrap/>
            <w:vAlign w:val="center"/>
            <w:hideMark/>
          </w:tcPr>
          <w:p w14:paraId="201A1FD5"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T-cell development</w:t>
            </w:r>
          </w:p>
        </w:tc>
        <w:tc>
          <w:tcPr>
            <w:tcW w:w="2914" w:type="dxa"/>
            <w:noWrap/>
            <w:vAlign w:val="center"/>
            <w:hideMark/>
          </w:tcPr>
          <w:p w14:paraId="25440021"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Not well-studied</w:t>
            </w:r>
          </w:p>
        </w:tc>
        <w:tc>
          <w:tcPr>
            <w:tcW w:w="2465" w:type="dxa"/>
            <w:noWrap/>
            <w:vAlign w:val="center"/>
            <w:hideMark/>
          </w:tcPr>
          <w:p w14:paraId="3CC5ABFC"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Immune system development</w:t>
            </w:r>
          </w:p>
        </w:tc>
        <w:tc>
          <w:tcPr>
            <w:tcW w:w="3479" w:type="dxa"/>
            <w:vAlign w:val="center"/>
          </w:tcPr>
          <w:p w14:paraId="13233A4B" w14:textId="45B8E173" w:rsidR="008704AC" w:rsidRPr="008704AC" w:rsidRDefault="008704AC" w:rsidP="008704AC">
            <w:pPr>
              <w:rPr>
                <w:rFonts w:asciiTheme="majorBidi" w:hAnsiTheme="majorBidi" w:cstheme="majorBidi"/>
                <w:b w:val="0"/>
                <w:bCs w:val="0"/>
                <w:color w:val="000000" w:themeColor="text1"/>
                <w:sz w:val="14"/>
                <w:szCs w:val="14"/>
                <w:lang w:bidi="fa-IR"/>
              </w:rPr>
            </w:pPr>
            <w:r w:rsidRPr="008704AC">
              <w:rPr>
                <w:rFonts w:asciiTheme="majorBidi" w:hAnsiTheme="majorBidi" w:cstheme="majorBidi"/>
                <w:b w:val="0"/>
                <w:bCs w:val="0"/>
                <w:color w:val="000000" w:themeColor="text1"/>
                <w:sz w:val="14"/>
                <w:szCs w:val="14"/>
                <w:lang w:bidi="fa-IR"/>
              </w:rPr>
              <w:t>Arabian, Standardbred, Thoroughbred</w:t>
            </w:r>
          </w:p>
        </w:tc>
        <w:tc>
          <w:tcPr>
            <w:tcW w:w="1170" w:type="dxa"/>
            <w:vAlign w:val="center"/>
          </w:tcPr>
          <w:p w14:paraId="498019CD" w14:textId="60ADCFB1" w:rsidR="008704AC" w:rsidRPr="008704AC" w:rsidRDefault="008704AC" w:rsidP="008704AC">
            <w:pPr>
              <w:jc w:val="center"/>
              <w:rPr>
                <w:rFonts w:asciiTheme="majorBidi" w:hAnsiTheme="majorBidi" w:cstheme="majorBidi"/>
                <w:b w:val="0"/>
                <w:bCs w:val="0"/>
                <w:color w:val="000000" w:themeColor="text1"/>
                <w:sz w:val="14"/>
                <w:szCs w:val="14"/>
                <w:lang w:bidi="fa-IR"/>
              </w:rPr>
            </w:pPr>
            <w:r w:rsidRPr="008704AC">
              <w:rPr>
                <w:rFonts w:asciiTheme="majorBidi" w:hAnsiTheme="majorBidi" w:cstheme="majorBidi"/>
                <w:b w:val="0"/>
                <w:bCs w:val="0"/>
                <w:color w:val="000000" w:themeColor="text1"/>
                <w:sz w:val="14"/>
                <w:szCs w:val="14"/>
                <w:lang w:bidi="fa-IR"/>
              </w:rPr>
              <w:t>3</w:t>
            </w:r>
          </w:p>
        </w:tc>
      </w:tr>
      <w:tr w:rsidR="008704AC" w:rsidRPr="00FC107E" w14:paraId="247CB5C7" w14:textId="526A9D0C" w:rsidTr="008704AC">
        <w:trPr>
          <w:trHeight w:val="300"/>
        </w:trPr>
        <w:tc>
          <w:tcPr>
            <w:tcW w:w="991" w:type="dxa"/>
            <w:noWrap/>
            <w:vAlign w:val="center"/>
            <w:hideMark/>
          </w:tcPr>
          <w:p w14:paraId="38E34ECC" w14:textId="77777777" w:rsidR="008704AC" w:rsidRPr="008C1305" w:rsidRDefault="008704AC" w:rsidP="008704AC">
            <w:pPr>
              <w:jc w:val="cente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TUBB3</w:t>
            </w:r>
          </w:p>
        </w:tc>
        <w:tc>
          <w:tcPr>
            <w:tcW w:w="1980" w:type="dxa"/>
            <w:noWrap/>
            <w:vAlign w:val="center"/>
            <w:hideMark/>
          </w:tcPr>
          <w:p w14:paraId="0352B092"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Neuronal microtubule component</w:t>
            </w:r>
          </w:p>
        </w:tc>
        <w:tc>
          <w:tcPr>
            <w:tcW w:w="2031" w:type="dxa"/>
            <w:noWrap/>
            <w:vAlign w:val="center"/>
            <w:hideMark/>
          </w:tcPr>
          <w:p w14:paraId="164C76F5"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Axon guidance</w:t>
            </w:r>
          </w:p>
        </w:tc>
        <w:tc>
          <w:tcPr>
            <w:tcW w:w="2914" w:type="dxa"/>
            <w:noWrap/>
            <w:vAlign w:val="center"/>
            <w:hideMark/>
          </w:tcPr>
          <w:p w14:paraId="0E7C450A"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Neurodevelopmental disorders (human)</w:t>
            </w:r>
          </w:p>
        </w:tc>
        <w:tc>
          <w:tcPr>
            <w:tcW w:w="2465" w:type="dxa"/>
            <w:noWrap/>
            <w:vAlign w:val="center"/>
            <w:hideMark/>
          </w:tcPr>
          <w:p w14:paraId="5071454F"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Nervous system</w:t>
            </w:r>
          </w:p>
        </w:tc>
        <w:tc>
          <w:tcPr>
            <w:tcW w:w="3479" w:type="dxa"/>
            <w:vAlign w:val="center"/>
          </w:tcPr>
          <w:p w14:paraId="5F17AB73" w14:textId="0705AE1E" w:rsidR="008704AC" w:rsidRPr="008704AC" w:rsidRDefault="008704AC" w:rsidP="008704AC">
            <w:pPr>
              <w:rPr>
                <w:rFonts w:asciiTheme="majorBidi" w:hAnsiTheme="majorBidi" w:cstheme="majorBidi"/>
                <w:b w:val="0"/>
                <w:bCs w:val="0"/>
                <w:color w:val="000000" w:themeColor="text1"/>
                <w:sz w:val="14"/>
                <w:szCs w:val="14"/>
                <w:lang w:bidi="fa-IR"/>
              </w:rPr>
            </w:pPr>
            <w:r w:rsidRPr="008704AC">
              <w:rPr>
                <w:rFonts w:asciiTheme="majorBidi" w:hAnsiTheme="majorBidi" w:cstheme="majorBidi"/>
                <w:b w:val="0"/>
                <w:bCs w:val="0"/>
                <w:color w:val="000000" w:themeColor="text1"/>
                <w:sz w:val="14"/>
                <w:szCs w:val="14"/>
                <w:lang w:bidi="fa-IR"/>
              </w:rPr>
              <w:t>Belgian, Icelandic, Welsh</w:t>
            </w:r>
          </w:p>
        </w:tc>
        <w:tc>
          <w:tcPr>
            <w:tcW w:w="1170" w:type="dxa"/>
            <w:vAlign w:val="center"/>
          </w:tcPr>
          <w:p w14:paraId="2A194FAB" w14:textId="7FF56F30" w:rsidR="008704AC" w:rsidRPr="008704AC" w:rsidRDefault="008704AC" w:rsidP="008704AC">
            <w:pPr>
              <w:jc w:val="center"/>
              <w:rPr>
                <w:rFonts w:asciiTheme="majorBidi" w:hAnsiTheme="majorBidi" w:cstheme="majorBidi"/>
                <w:b w:val="0"/>
                <w:bCs w:val="0"/>
                <w:color w:val="000000" w:themeColor="text1"/>
                <w:sz w:val="14"/>
                <w:szCs w:val="14"/>
                <w:lang w:bidi="fa-IR"/>
              </w:rPr>
            </w:pPr>
            <w:r w:rsidRPr="008704AC">
              <w:rPr>
                <w:rFonts w:asciiTheme="majorBidi" w:hAnsiTheme="majorBidi" w:cstheme="majorBidi"/>
                <w:b w:val="0"/>
                <w:bCs w:val="0"/>
                <w:color w:val="000000" w:themeColor="text1"/>
                <w:sz w:val="14"/>
                <w:szCs w:val="14"/>
                <w:lang w:bidi="fa-IR"/>
              </w:rPr>
              <w:t>3</w:t>
            </w:r>
          </w:p>
        </w:tc>
      </w:tr>
      <w:tr w:rsidR="008704AC" w:rsidRPr="00FC107E" w14:paraId="223FF64A" w14:textId="28121463" w:rsidTr="008704AC">
        <w:trPr>
          <w:trHeight w:val="300"/>
        </w:trPr>
        <w:tc>
          <w:tcPr>
            <w:tcW w:w="991" w:type="dxa"/>
            <w:noWrap/>
            <w:vAlign w:val="center"/>
            <w:hideMark/>
          </w:tcPr>
          <w:p w14:paraId="5F56511B" w14:textId="77777777" w:rsidR="008704AC" w:rsidRPr="008C1305" w:rsidRDefault="008704AC" w:rsidP="008704AC">
            <w:pPr>
              <w:jc w:val="cente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URAH</w:t>
            </w:r>
          </w:p>
        </w:tc>
        <w:tc>
          <w:tcPr>
            <w:tcW w:w="1980" w:type="dxa"/>
            <w:noWrap/>
            <w:vAlign w:val="center"/>
            <w:hideMark/>
          </w:tcPr>
          <w:p w14:paraId="0D727365"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Predicted urate hydroxyiso-hydrolase</w:t>
            </w:r>
          </w:p>
        </w:tc>
        <w:tc>
          <w:tcPr>
            <w:tcW w:w="2031" w:type="dxa"/>
            <w:noWrap/>
            <w:vAlign w:val="center"/>
            <w:hideMark/>
          </w:tcPr>
          <w:p w14:paraId="7AC1A375"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Purine catabolism, nitrogen metabolism, antioxidant defense</w:t>
            </w:r>
          </w:p>
        </w:tc>
        <w:tc>
          <w:tcPr>
            <w:tcW w:w="2914" w:type="dxa"/>
            <w:noWrap/>
            <w:vAlign w:val="center"/>
            <w:hideMark/>
          </w:tcPr>
          <w:p w14:paraId="71A8C16D"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Linked to hyperuricemia/gout, oxidative stress regulation</w:t>
            </w:r>
          </w:p>
        </w:tc>
        <w:tc>
          <w:tcPr>
            <w:tcW w:w="2465" w:type="dxa"/>
            <w:noWrap/>
            <w:vAlign w:val="center"/>
            <w:hideMark/>
          </w:tcPr>
          <w:p w14:paraId="72117199"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Metabolism / redox</w:t>
            </w:r>
          </w:p>
        </w:tc>
        <w:tc>
          <w:tcPr>
            <w:tcW w:w="3479" w:type="dxa"/>
            <w:vAlign w:val="center"/>
          </w:tcPr>
          <w:p w14:paraId="58A4D575" w14:textId="05B790C8" w:rsidR="008704AC" w:rsidRPr="008704AC" w:rsidRDefault="008704AC" w:rsidP="008704AC">
            <w:pPr>
              <w:rPr>
                <w:rFonts w:asciiTheme="majorBidi" w:hAnsiTheme="majorBidi" w:cstheme="majorBidi"/>
                <w:b w:val="0"/>
                <w:bCs w:val="0"/>
                <w:color w:val="000000" w:themeColor="text1"/>
                <w:sz w:val="14"/>
                <w:szCs w:val="14"/>
                <w:lang w:bidi="fa-IR"/>
              </w:rPr>
            </w:pPr>
            <w:r w:rsidRPr="008704AC">
              <w:rPr>
                <w:rFonts w:asciiTheme="majorBidi" w:hAnsiTheme="majorBidi" w:cstheme="majorBidi"/>
                <w:b w:val="0"/>
                <w:bCs w:val="0"/>
                <w:color w:val="000000" w:themeColor="text1"/>
                <w:sz w:val="14"/>
                <w:szCs w:val="14"/>
                <w:lang w:bidi="fa-IR"/>
              </w:rPr>
              <w:t>Belgian, Icelandic, Welsh</w:t>
            </w:r>
          </w:p>
        </w:tc>
        <w:tc>
          <w:tcPr>
            <w:tcW w:w="1170" w:type="dxa"/>
            <w:vAlign w:val="center"/>
          </w:tcPr>
          <w:p w14:paraId="469DCBE2" w14:textId="6E3A045F" w:rsidR="008704AC" w:rsidRPr="008704AC" w:rsidRDefault="008704AC" w:rsidP="008704AC">
            <w:pPr>
              <w:jc w:val="center"/>
              <w:rPr>
                <w:rFonts w:asciiTheme="majorBidi" w:hAnsiTheme="majorBidi" w:cstheme="majorBidi"/>
                <w:b w:val="0"/>
                <w:bCs w:val="0"/>
                <w:color w:val="000000" w:themeColor="text1"/>
                <w:sz w:val="14"/>
                <w:szCs w:val="14"/>
                <w:lang w:bidi="fa-IR"/>
              </w:rPr>
            </w:pPr>
            <w:r w:rsidRPr="008704AC">
              <w:rPr>
                <w:rFonts w:asciiTheme="majorBidi" w:hAnsiTheme="majorBidi" w:cstheme="majorBidi"/>
                <w:b w:val="0"/>
                <w:bCs w:val="0"/>
                <w:color w:val="000000" w:themeColor="text1"/>
                <w:sz w:val="14"/>
                <w:szCs w:val="14"/>
                <w:lang w:bidi="fa-IR"/>
              </w:rPr>
              <w:t>3</w:t>
            </w:r>
          </w:p>
        </w:tc>
      </w:tr>
      <w:tr w:rsidR="008704AC" w:rsidRPr="00FC107E" w14:paraId="65CC0F83" w14:textId="2EA389E6" w:rsidTr="008704AC">
        <w:trPr>
          <w:trHeight w:val="300"/>
        </w:trPr>
        <w:tc>
          <w:tcPr>
            <w:tcW w:w="991" w:type="dxa"/>
            <w:noWrap/>
            <w:vAlign w:val="center"/>
            <w:hideMark/>
          </w:tcPr>
          <w:p w14:paraId="0AD84A88" w14:textId="77777777" w:rsidR="008704AC" w:rsidRPr="008C1305" w:rsidRDefault="008704AC" w:rsidP="008704AC">
            <w:pPr>
              <w:jc w:val="cente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VPS26B</w:t>
            </w:r>
          </w:p>
        </w:tc>
        <w:tc>
          <w:tcPr>
            <w:tcW w:w="1980" w:type="dxa"/>
            <w:noWrap/>
            <w:vAlign w:val="center"/>
            <w:hideMark/>
          </w:tcPr>
          <w:p w14:paraId="26AFE81F"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Retromer complex subunit</w:t>
            </w:r>
          </w:p>
        </w:tc>
        <w:tc>
          <w:tcPr>
            <w:tcW w:w="2031" w:type="dxa"/>
            <w:noWrap/>
            <w:vAlign w:val="center"/>
            <w:hideMark/>
          </w:tcPr>
          <w:p w14:paraId="4568C740"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Endosomal protein sorting</w:t>
            </w:r>
          </w:p>
        </w:tc>
        <w:tc>
          <w:tcPr>
            <w:tcW w:w="2914" w:type="dxa"/>
            <w:noWrap/>
            <w:vAlign w:val="center"/>
            <w:hideMark/>
          </w:tcPr>
          <w:p w14:paraId="5FB0C1DB"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Parkinson’s disease (human)</w:t>
            </w:r>
          </w:p>
        </w:tc>
        <w:tc>
          <w:tcPr>
            <w:tcW w:w="2465" w:type="dxa"/>
            <w:noWrap/>
            <w:vAlign w:val="center"/>
            <w:hideMark/>
          </w:tcPr>
          <w:p w14:paraId="1B09E612"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Endosomal trafficking; conserved function</w:t>
            </w:r>
          </w:p>
        </w:tc>
        <w:tc>
          <w:tcPr>
            <w:tcW w:w="3479" w:type="dxa"/>
            <w:vAlign w:val="center"/>
          </w:tcPr>
          <w:p w14:paraId="52EE0C81" w14:textId="42C6A7CC" w:rsidR="008704AC" w:rsidRPr="008704AC" w:rsidRDefault="008704AC" w:rsidP="008704AC">
            <w:pPr>
              <w:rPr>
                <w:rFonts w:asciiTheme="majorBidi" w:hAnsiTheme="majorBidi" w:cstheme="majorBidi"/>
                <w:b w:val="0"/>
                <w:bCs w:val="0"/>
                <w:color w:val="000000" w:themeColor="text1"/>
                <w:sz w:val="14"/>
                <w:szCs w:val="14"/>
                <w:lang w:bidi="fa-IR"/>
              </w:rPr>
            </w:pPr>
            <w:r w:rsidRPr="008704AC">
              <w:rPr>
                <w:rFonts w:asciiTheme="majorBidi" w:hAnsiTheme="majorBidi" w:cstheme="majorBidi"/>
                <w:b w:val="0"/>
                <w:bCs w:val="0"/>
                <w:color w:val="000000" w:themeColor="text1"/>
                <w:sz w:val="14"/>
                <w:szCs w:val="14"/>
                <w:lang w:bidi="fa-IR"/>
              </w:rPr>
              <w:t>Arabian, Standardbred, Thoroughbred</w:t>
            </w:r>
          </w:p>
        </w:tc>
        <w:tc>
          <w:tcPr>
            <w:tcW w:w="1170" w:type="dxa"/>
            <w:vAlign w:val="center"/>
          </w:tcPr>
          <w:p w14:paraId="11628370" w14:textId="5A201D8A" w:rsidR="008704AC" w:rsidRPr="008704AC" w:rsidRDefault="008704AC" w:rsidP="008704AC">
            <w:pPr>
              <w:jc w:val="center"/>
              <w:rPr>
                <w:rFonts w:asciiTheme="majorBidi" w:hAnsiTheme="majorBidi" w:cstheme="majorBidi"/>
                <w:b w:val="0"/>
                <w:bCs w:val="0"/>
                <w:color w:val="000000" w:themeColor="text1"/>
                <w:sz w:val="14"/>
                <w:szCs w:val="14"/>
                <w:lang w:bidi="fa-IR"/>
              </w:rPr>
            </w:pPr>
            <w:r w:rsidRPr="008704AC">
              <w:rPr>
                <w:rFonts w:asciiTheme="majorBidi" w:hAnsiTheme="majorBidi" w:cstheme="majorBidi"/>
                <w:b w:val="0"/>
                <w:bCs w:val="0"/>
                <w:color w:val="000000" w:themeColor="text1"/>
                <w:sz w:val="14"/>
                <w:szCs w:val="14"/>
                <w:lang w:bidi="fa-IR"/>
              </w:rPr>
              <w:t>3</w:t>
            </w:r>
          </w:p>
        </w:tc>
      </w:tr>
      <w:tr w:rsidR="008704AC" w:rsidRPr="00FC107E" w14:paraId="3BD49553" w14:textId="0B59199C" w:rsidTr="008704AC">
        <w:trPr>
          <w:trHeight w:val="300"/>
        </w:trPr>
        <w:tc>
          <w:tcPr>
            <w:tcW w:w="991" w:type="dxa"/>
            <w:noWrap/>
            <w:vAlign w:val="center"/>
            <w:hideMark/>
          </w:tcPr>
          <w:p w14:paraId="607BFFA9" w14:textId="77777777" w:rsidR="008704AC" w:rsidRPr="008C1305" w:rsidRDefault="008704AC" w:rsidP="008704AC">
            <w:pPr>
              <w:jc w:val="cente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VPS9D1</w:t>
            </w:r>
          </w:p>
        </w:tc>
        <w:tc>
          <w:tcPr>
            <w:tcW w:w="1980" w:type="dxa"/>
            <w:noWrap/>
            <w:vAlign w:val="center"/>
            <w:hideMark/>
          </w:tcPr>
          <w:p w14:paraId="100BE5E4"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Vesicle trafficking protein</w:t>
            </w:r>
          </w:p>
        </w:tc>
        <w:tc>
          <w:tcPr>
            <w:tcW w:w="2031" w:type="dxa"/>
            <w:noWrap/>
            <w:vAlign w:val="center"/>
            <w:hideMark/>
          </w:tcPr>
          <w:p w14:paraId="337F1A18"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Endosomal sorting</w:t>
            </w:r>
          </w:p>
        </w:tc>
        <w:tc>
          <w:tcPr>
            <w:tcW w:w="2914" w:type="dxa"/>
            <w:noWrap/>
            <w:vAlign w:val="center"/>
            <w:hideMark/>
          </w:tcPr>
          <w:p w14:paraId="2E18E263"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Not characterized in horses</w:t>
            </w:r>
          </w:p>
        </w:tc>
        <w:tc>
          <w:tcPr>
            <w:tcW w:w="2465" w:type="dxa"/>
            <w:noWrap/>
            <w:vAlign w:val="center"/>
            <w:hideMark/>
          </w:tcPr>
          <w:p w14:paraId="0BB1B760"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Vesicle trafficking</w:t>
            </w:r>
          </w:p>
        </w:tc>
        <w:tc>
          <w:tcPr>
            <w:tcW w:w="3479" w:type="dxa"/>
            <w:vAlign w:val="center"/>
          </w:tcPr>
          <w:p w14:paraId="743838CE" w14:textId="1D1A2E92" w:rsidR="008704AC" w:rsidRPr="008704AC" w:rsidRDefault="008704AC" w:rsidP="008704AC">
            <w:pPr>
              <w:rPr>
                <w:rFonts w:asciiTheme="majorBidi" w:hAnsiTheme="majorBidi" w:cstheme="majorBidi"/>
                <w:b w:val="0"/>
                <w:bCs w:val="0"/>
                <w:color w:val="000000" w:themeColor="text1"/>
                <w:sz w:val="14"/>
                <w:szCs w:val="14"/>
                <w:lang w:bidi="fa-IR"/>
              </w:rPr>
            </w:pPr>
            <w:r w:rsidRPr="008704AC">
              <w:rPr>
                <w:rFonts w:asciiTheme="majorBidi" w:hAnsiTheme="majorBidi" w:cstheme="majorBidi"/>
                <w:b w:val="0"/>
                <w:bCs w:val="0"/>
                <w:color w:val="000000" w:themeColor="text1"/>
                <w:sz w:val="14"/>
                <w:szCs w:val="14"/>
                <w:lang w:bidi="fa-IR"/>
              </w:rPr>
              <w:t>Belgian, Icelandic, Welsh</w:t>
            </w:r>
          </w:p>
        </w:tc>
        <w:tc>
          <w:tcPr>
            <w:tcW w:w="1170" w:type="dxa"/>
            <w:vAlign w:val="center"/>
          </w:tcPr>
          <w:p w14:paraId="2BE82D73" w14:textId="10795F0C" w:rsidR="008704AC" w:rsidRPr="008704AC" w:rsidRDefault="008704AC" w:rsidP="008704AC">
            <w:pPr>
              <w:jc w:val="center"/>
              <w:rPr>
                <w:rFonts w:asciiTheme="majorBidi" w:hAnsiTheme="majorBidi" w:cstheme="majorBidi"/>
                <w:b w:val="0"/>
                <w:bCs w:val="0"/>
                <w:color w:val="000000" w:themeColor="text1"/>
                <w:sz w:val="14"/>
                <w:szCs w:val="14"/>
                <w:lang w:bidi="fa-IR"/>
              </w:rPr>
            </w:pPr>
            <w:r w:rsidRPr="008704AC">
              <w:rPr>
                <w:rFonts w:asciiTheme="majorBidi" w:hAnsiTheme="majorBidi" w:cstheme="majorBidi"/>
                <w:b w:val="0"/>
                <w:bCs w:val="0"/>
                <w:color w:val="000000" w:themeColor="text1"/>
                <w:sz w:val="14"/>
                <w:szCs w:val="14"/>
                <w:lang w:bidi="fa-IR"/>
              </w:rPr>
              <w:t>3</w:t>
            </w:r>
          </w:p>
        </w:tc>
      </w:tr>
      <w:tr w:rsidR="008704AC" w:rsidRPr="00FC107E" w14:paraId="70BC2238" w14:textId="05245CF0" w:rsidTr="008704AC">
        <w:trPr>
          <w:trHeight w:val="300"/>
        </w:trPr>
        <w:tc>
          <w:tcPr>
            <w:tcW w:w="991" w:type="dxa"/>
            <w:noWrap/>
            <w:vAlign w:val="center"/>
            <w:hideMark/>
          </w:tcPr>
          <w:p w14:paraId="65715483" w14:textId="77777777" w:rsidR="008704AC" w:rsidRPr="008C1305" w:rsidRDefault="008704AC" w:rsidP="008704AC">
            <w:pPr>
              <w:jc w:val="cente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ZC3H18</w:t>
            </w:r>
          </w:p>
        </w:tc>
        <w:tc>
          <w:tcPr>
            <w:tcW w:w="1980" w:type="dxa"/>
            <w:noWrap/>
            <w:vAlign w:val="center"/>
            <w:hideMark/>
          </w:tcPr>
          <w:p w14:paraId="47C40ABE"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RNA binding protein</w:t>
            </w:r>
          </w:p>
        </w:tc>
        <w:tc>
          <w:tcPr>
            <w:tcW w:w="2031" w:type="dxa"/>
            <w:noWrap/>
            <w:vAlign w:val="center"/>
            <w:hideMark/>
          </w:tcPr>
          <w:p w14:paraId="46DCFD1B"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mRNA export</w:t>
            </w:r>
          </w:p>
        </w:tc>
        <w:tc>
          <w:tcPr>
            <w:tcW w:w="2914" w:type="dxa"/>
            <w:noWrap/>
            <w:vAlign w:val="center"/>
            <w:hideMark/>
          </w:tcPr>
          <w:p w14:paraId="26E6C5BC"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Intellectual disability (human)</w:t>
            </w:r>
          </w:p>
        </w:tc>
        <w:tc>
          <w:tcPr>
            <w:tcW w:w="2465" w:type="dxa"/>
            <w:noWrap/>
            <w:vAlign w:val="center"/>
            <w:hideMark/>
          </w:tcPr>
          <w:p w14:paraId="7E3C775D"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RNA processing / nuclear export</w:t>
            </w:r>
          </w:p>
        </w:tc>
        <w:tc>
          <w:tcPr>
            <w:tcW w:w="3479" w:type="dxa"/>
            <w:vAlign w:val="center"/>
          </w:tcPr>
          <w:p w14:paraId="5F0E1397" w14:textId="1B401831" w:rsidR="008704AC" w:rsidRPr="008704AC" w:rsidRDefault="008704AC" w:rsidP="008704AC">
            <w:pPr>
              <w:rPr>
                <w:rFonts w:asciiTheme="majorBidi" w:hAnsiTheme="majorBidi" w:cstheme="majorBidi"/>
                <w:b w:val="0"/>
                <w:bCs w:val="0"/>
                <w:color w:val="000000" w:themeColor="text1"/>
                <w:sz w:val="14"/>
                <w:szCs w:val="14"/>
                <w:lang w:bidi="fa-IR"/>
              </w:rPr>
            </w:pPr>
            <w:r w:rsidRPr="008704AC">
              <w:rPr>
                <w:rFonts w:asciiTheme="majorBidi" w:hAnsiTheme="majorBidi" w:cstheme="majorBidi"/>
                <w:b w:val="0"/>
                <w:bCs w:val="0"/>
                <w:color w:val="000000" w:themeColor="text1"/>
                <w:sz w:val="14"/>
                <w:szCs w:val="14"/>
                <w:lang w:bidi="fa-IR"/>
              </w:rPr>
              <w:t>Belgian, Morgan, Welsh</w:t>
            </w:r>
          </w:p>
        </w:tc>
        <w:tc>
          <w:tcPr>
            <w:tcW w:w="1170" w:type="dxa"/>
            <w:vAlign w:val="center"/>
          </w:tcPr>
          <w:p w14:paraId="3A126EBC" w14:textId="04ECD88F" w:rsidR="008704AC" w:rsidRPr="008704AC" w:rsidRDefault="008704AC" w:rsidP="008704AC">
            <w:pPr>
              <w:jc w:val="center"/>
              <w:rPr>
                <w:rFonts w:asciiTheme="majorBidi" w:hAnsiTheme="majorBidi" w:cstheme="majorBidi"/>
                <w:b w:val="0"/>
                <w:bCs w:val="0"/>
                <w:color w:val="000000" w:themeColor="text1"/>
                <w:sz w:val="14"/>
                <w:szCs w:val="14"/>
                <w:lang w:bidi="fa-IR"/>
              </w:rPr>
            </w:pPr>
            <w:r w:rsidRPr="008704AC">
              <w:rPr>
                <w:rFonts w:asciiTheme="majorBidi" w:hAnsiTheme="majorBidi" w:cstheme="majorBidi"/>
                <w:b w:val="0"/>
                <w:bCs w:val="0"/>
                <w:color w:val="000000" w:themeColor="text1"/>
                <w:sz w:val="14"/>
                <w:szCs w:val="14"/>
                <w:lang w:bidi="fa-IR"/>
              </w:rPr>
              <w:t>3</w:t>
            </w:r>
          </w:p>
        </w:tc>
      </w:tr>
      <w:tr w:rsidR="008704AC" w:rsidRPr="00FC107E" w14:paraId="5CCFA644" w14:textId="702EE4D5" w:rsidTr="008704AC">
        <w:trPr>
          <w:trHeight w:val="300"/>
        </w:trPr>
        <w:tc>
          <w:tcPr>
            <w:tcW w:w="991" w:type="dxa"/>
            <w:noWrap/>
            <w:vAlign w:val="center"/>
            <w:hideMark/>
          </w:tcPr>
          <w:p w14:paraId="7C79ACDC" w14:textId="77777777" w:rsidR="008704AC" w:rsidRPr="008C1305" w:rsidRDefault="008704AC" w:rsidP="008704AC">
            <w:pPr>
              <w:jc w:val="cente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ZFPM1</w:t>
            </w:r>
          </w:p>
        </w:tc>
        <w:tc>
          <w:tcPr>
            <w:tcW w:w="1980" w:type="dxa"/>
            <w:noWrap/>
            <w:vAlign w:val="center"/>
            <w:hideMark/>
          </w:tcPr>
          <w:p w14:paraId="62E97120"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Transcription cofactor (GATA1 interaction)</w:t>
            </w:r>
          </w:p>
        </w:tc>
        <w:tc>
          <w:tcPr>
            <w:tcW w:w="2031" w:type="dxa"/>
            <w:noWrap/>
            <w:vAlign w:val="center"/>
            <w:hideMark/>
          </w:tcPr>
          <w:p w14:paraId="30A5C68C"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Hematopoiesis</w:t>
            </w:r>
          </w:p>
        </w:tc>
        <w:tc>
          <w:tcPr>
            <w:tcW w:w="2914" w:type="dxa"/>
            <w:noWrap/>
            <w:vAlign w:val="center"/>
            <w:hideMark/>
          </w:tcPr>
          <w:p w14:paraId="62BEAE3E"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Erythroid dysplasia (human/mouse)</w:t>
            </w:r>
          </w:p>
        </w:tc>
        <w:tc>
          <w:tcPr>
            <w:tcW w:w="2465" w:type="dxa"/>
            <w:noWrap/>
            <w:vAlign w:val="center"/>
            <w:hideMark/>
          </w:tcPr>
          <w:p w14:paraId="482F6201"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Hematopoiesis</w:t>
            </w:r>
          </w:p>
        </w:tc>
        <w:tc>
          <w:tcPr>
            <w:tcW w:w="3479" w:type="dxa"/>
            <w:vAlign w:val="center"/>
          </w:tcPr>
          <w:p w14:paraId="520DA49B" w14:textId="0D3CA7BD" w:rsidR="008704AC" w:rsidRPr="008704AC" w:rsidRDefault="008704AC" w:rsidP="008704AC">
            <w:pPr>
              <w:rPr>
                <w:rFonts w:asciiTheme="majorBidi" w:hAnsiTheme="majorBidi" w:cstheme="majorBidi"/>
                <w:b w:val="0"/>
                <w:bCs w:val="0"/>
                <w:color w:val="000000" w:themeColor="text1"/>
                <w:sz w:val="14"/>
                <w:szCs w:val="14"/>
                <w:lang w:bidi="fa-IR"/>
              </w:rPr>
            </w:pPr>
            <w:r w:rsidRPr="008704AC">
              <w:rPr>
                <w:rFonts w:asciiTheme="majorBidi" w:hAnsiTheme="majorBidi" w:cstheme="majorBidi"/>
                <w:b w:val="0"/>
                <w:bCs w:val="0"/>
                <w:color w:val="000000" w:themeColor="text1"/>
                <w:sz w:val="14"/>
                <w:szCs w:val="14"/>
                <w:lang w:bidi="fa-IR"/>
              </w:rPr>
              <w:t>Belgian, Morgan, Welsh</w:t>
            </w:r>
          </w:p>
        </w:tc>
        <w:tc>
          <w:tcPr>
            <w:tcW w:w="1170" w:type="dxa"/>
            <w:vAlign w:val="center"/>
          </w:tcPr>
          <w:p w14:paraId="7070B76E" w14:textId="6AFBC391" w:rsidR="008704AC" w:rsidRPr="008704AC" w:rsidRDefault="008704AC" w:rsidP="008704AC">
            <w:pPr>
              <w:jc w:val="center"/>
              <w:rPr>
                <w:rFonts w:asciiTheme="majorBidi" w:hAnsiTheme="majorBidi" w:cstheme="majorBidi"/>
                <w:b w:val="0"/>
                <w:bCs w:val="0"/>
                <w:color w:val="000000" w:themeColor="text1"/>
                <w:sz w:val="14"/>
                <w:szCs w:val="14"/>
                <w:lang w:bidi="fa-IR"/>
              </w:rPr>
            </w:pPr>
            <w:r w:rsidRPr="008704AC">
              <w:rPr>
                <w:rFonts w:asciiTheme="majorBidi" w:hAnsiTheme="majorBidi" w:cstheme="majorBidi"/>
                <w:b w:val="0"/>
                <w:bCs w:val="0"/>
                <w:color w:val="000000" w:themeColor="text1"/>
                <w:sz w:val="14"/>
                <w:szCs w:val="14"/>
                <w:lang w:bidi="fa-IR"/>
              </w:rPr>
              <w:t>3</w:t>
            </w:r>
          </w:p>
        </w:tc>
      </w:tr>
      <w:tr w:rsidR="008704AC" w:rsidRPr="00FC107E" w14:paraId="5E743031" w14:textId="2F39F118" w:rsidTr="008704AC">
        <w:trPr>
          <w:trHeight w:val="300"/>
        </w:trPr>
        <w:tc>
          <w:tcPr>
            <w:tcW w:w="991" w:type="dxa"/>
            <w:noWrap/>
            <w:vAlign w:val="center"/>
            <w:hideMark/>
          </w:tcPr>
          <w:p w14:paraId="252A59BE" w14:textId="77777777" w:rsidR="008704AC" w:rsidRPr="008C1305" w:rsidRDefault="008704AC" w:rsidP="008704AC">
            <w:pPr>
              <w:jc w:val="cente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ZNF276</w:t>
            </w:r>
          </w:p>
        </w:tc>
        <w:tc>
          <w:tcPr>
            <w:tcW w:w="1980" w:type="dxa"/>
            <w:noWrap/>
            <w:vAlign w:val="center"/>
            <w:hideMark/>
          </w:tcPr>
          <w:p w14:paraId="64C19C19"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Zinc finger transcription factor</w:t>
            </w:r>
          </w:p>
        </w:tc>
        <w:tc>
          <w:tcPr>
            <w:tcW w:w="2031" w:type="dxa"/>
            <w:noWrap/>
            <w:vAlign w:val="center"/>
            <w:hideMark/>
          </w:tcPr>
          <w:p w14:paraId="728E4F42"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Gene regulation</w:t>
            </w:r>
          </w:p>
        </w:tc>
        <w:tc>
          <w:tcPr>
            <w:tcW w:w="2914" w:type="dxa"/>
            <w:noWrap/>
            <w:vAlign w:val="center"/>
            <w:hideMark/>
          </w:tcPr>
          <w:p w14:paraId="5883918F"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Not well-studied</w:t>
            </w:r>
          </w:p>
        </w:tc>
        <w:tc>
          <w:tcPr>
            <w:tcW w:w="2465" w:type="dxa"/>
            <w:noWrap/>
            <w:vAlign w:val="center"/>
            <w:hideMark/>
          </w:tcPr>
          <w:p w14:paraId="4A73FB15"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Transcriptional regulation</w:t>
            </w:r>
          </w:p>
        </w:tc>
        <w:tc>
          <w:tcPr>
            <w:tcW w:w="3479" w:type="dxa"/>
            <w:vAlign w:val="center"/>
          </w:tcPr>
          <w:p w14:paraId="5CE3028E" w14:textId="578A7D92" w:rsidR="008704AC" w:rsidRPr="008704AC" w:rsidRDefault="008704AC" w:rsidP="008704AC">
            <w:pPr>
              <w:rPr>
                <w:rFonts w:asciiTheme="majorBidi" w:hAnsiTheme="majorBidi" w:cstheme="majorBidi"/>
                <w:b w:val="0"/>
                <w:bCs w:val="0"/>
                <w:color w:val="000000" w:themeColor="text1"/>
                <w:sz w:val="14"/>
                <w:szCs w:val="14"/>
                <w:lang w:bidi="fa-IR"/>
              </w:rPr>
            </w:pPr>
            <w:r w:rsidRPr="008704AC">
              <w:rPr>
                <w:rFonts w:asciiTheme="majorBidi" w:hAnsiTheme="majorBidi" w:cstheme="majorBidi"/>
                <w:b w:val="0"/>
                <w:bCs w:val="0"/>
                <w:color w:val="000000" w:themeColor="text1"/>
                <w:sz w:val="14"/>
                <w:szCs w:val="14"/>
                <w:lang w:bidi="fa-IR"/>
              </w:rPr>
              <w:t>Belgian, Icelandic, Welsh</w:t>
            </w:r>
          </w:p>
        </w:tc>
        <w:tc>
          <w:tcPr>
            <w:tcW w:w="1170" w:type="dxa"/>
            <w:vAlign w:val="center"/>
          </w:tcPr>
          <w:p w14:paraId="0BE5DD74" w14:textId="77003974" w:rsidR="008704AC" w:rsidRPr="008704AC" w:rsidRDefault="008704AC" w:rsidP="008704AC">
            <w:pPr>
              <w:jc w:val="center"/>
              <w:rPr>
                <w:rFonts w:asciiTheme="majorBidi" w:hAnsiTheme="majorBidi" w:cstheme="majorBidi"/>
                <w:b w:val="0"/>
                <w:bCs w:val="0"/>
                <w:color w:val="000000" w:themeColor="text1"/>
                <w:sz w:val="14"/>
                <w:szCs w:val="14"/>
                <w:lang w:bidi="fa-IR"/>
              </w:rPr>
            </w:pPr>
            <w:r w:rsidRPr="008704AC">
              <w:rPr>
                <w:rFonts w:asciiTheme="majorBidi" w:hAnsiTheme="majorBidi" w:cstheme="majorBidi"/>
                <w:b w:val="0"/>
                <w:bCs w:val="0"/>
                <w:color w:val="000000" w:themeColor="text1"/>
                <w:sz w:val="14"/>
                <w:szCs w:val="14"/>
                <w:lang w:bidi="fa-IR"/>
              </w:rPr>
              <w:t>3</w:t>
            </w:r>
          </w:p>
        </w:tc>
      </w:tr>
      <w:tr w:rsidR="008704AC" w:rsidRPr="00FC107E" w14:paraId="1E225585" w14:textId="0C6D52C8" w:rsidTr="008704AC">
        <w:trPr>
          <w:trHeight w:val="300"/>
        </w:trPr>
        <w:tc>
          <w:tcPr>
            <w:tcW w:w="991" w:type="dxa"/>
            <w:noWrap/>
            <w:vAlign w:val="center"/>
            <w:hideMark/>
          </w:tcPr>
          <w:p w14:paraId="2A69A04B" w14:textId="77777777" w:rsidR="008704AC" w:rsidRPr="008C1305" w:rsidRDefault="008704AC" w:rsidP="008704AC">
            <w:pPr>
              <w:jc w:val="cente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ZNF469</w:t>
            </w:r>
          </w:p>
        </w:tc>
        <w:tc>
          <w:tcPr>
            <w:tcW w:w="1980" w:type="dxa"/>
            <w:noWrap/>
            <w:vAlign w:val="center"/>
            <w:hideMark/>
          </w:tcPr>
          <w:p w14:paraId="31372494"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Collagen regulation</w:t>
            </w:r>
          </w:p>
        </w:tc>
        <w:tc>
          <w:tcPr>
            <w:tcW w:w="2031" w:type="dxa"/>
            <w:noWrap/>
            <w:vAlign w:val="center"/>
            <w:hideMark/>
          </w:tcPr>
          <w:p w14:paraId="2B83189C"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Extracellular matrix organization</w:t>
            </w:r>
          </w:p>
        </w:tc>
        <w:tc>
          <w:tcPr>
            <w:tcW w:w="2914" w:type="dxa"/>
            <w:noWrap/>
            <w:vAlign w:val="center"/>
            <w:hideMark/>
          </w:tcPr>
          <w:p w14:paraId="5F53E027"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Corneal fragility (Ehlers-Danlos syndrome, human)</w:t>
            </w:r>
          </w:p>
        </w:tc>
        <w:tc>
          <w:tcPr>
            <w:tcW w:w="2465" w:type="dxa"/>
            <w:noWrap/>
            <w:vAlign w:val="center"/>
            <w:hideMark/>
          </w:tcPr>
          <w:p w14:paraId="2FCB1CF3"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ECM / tissue integrity</w:t>
            </w:r>
          </w:p>
        </w:tc>
        <w:tc>
          <w:tcPr>
            <w:tcW w:w="3479" w:type="dxa"/>
            <w:vAlign w:val="center"/>
          </w:tcPr>
          <w:p w14:paraId="590D7981" w14:textId="5EA91B2A" w:rsidR="008704AC" w:rsidRPr="008704AC" w:rsidRDefault="008704AC" w:rsidP="008704AC">
            <w:pPr>
              <w:rPr>
                <w:rFonts w:asciiTheme="majorBidi" w:hAnsiTheme="majorBidi" w:cstheme="majorBidi"/>
                <w:b w:val="0"/>
                <w:bCs w:val="0"/>
                <w:color w:val="000000" w:themeColor="text1"/>
                <w:sz w:val="14"/>
                <w:szCs w:val="14"/>
                <w:lang w:bidi="fa-IR"/>
              </w:rPr>
            </w:pPr>
            <w:r w:rsidRPr="008704AC">
              <w:rPr>
                <w:rFonts w:asciiTheme="majorBidi" w:hAnsiTheme="majorBidi" w:cstheme="majorBidi"/>
                <w:b w:val="0"/>
                <w:bCs w:val="0"/>
                <w:color w:val="000000" w:themeColor="text1"/>
                <w:sz w:val="14"/>
                <w:szCs w:val="14"/>
                <w:lang w:bidi="fa-IR"/>
              </w:rPr>
              <w:t>Belgian, Morgan, Welsh</w:t>
            </w:r>
          </w:p>
        </w:tc>
        <w:tc>
          <w:tcPr>
            <w:tcW w:w="1170" w:type="dxa"/>
            <w:vAlign w:val="center"/>
          </w:tcPr>
          <w:p w14:paraId="74FB2233" w14:textId="1883F633" w:rsidR="008704AC" w:rsidRPr="008704AC" w:rsidRDefault="008704AC" w:rsidP="008704AC">
            <w:pPr>
              <w:jc w:val="center"/>
              <w:rPr>
                <w:rFonts w:asciiTheme="majorBidi" w:hAnsiTheme="majorBidi" w:cstheme="majorBidi"/>
                <w:b w:val="0"/>
                <w:bCs w:val="0"/>
                <w:color w:val="000000" w:themeColor="text1"/>
                <w:sz w:val="14"/>
                <w:szCs w:val="14"/>
                <w:lang w:bidi="fa-IR"/>
              </w:rPr>
            </w:pPr>
            <w:r w:rsidRPr="008704AC">
              <w:rPr>
                <w:rFonts w:asciiTheme="majorBidi" w:hAnsiTheme="majorBidi" w:cstheme="majorBidi"/>
                <w:b w:val="0"/>
                <w:bCs w:val="0"/>
                <w:color w:val="000000" w:themeColor="text1"/>
                <w:sz w:val="14"/>
                <w:szCs w:val="14"/>
                <w:lang w:bidi="fa-IR"/>
              </w:rPr>
              <w:t>3</w:t>
            </w:r>
          </w:p>
        </w:tc>
      </w:tr>
      <w:tr w:rsidR="008704AC" w:rsidRPr="00FC107E" w14:paraId="1217E459" w14:textId="615C04A6" w:rsidTr="008704AC">
        <w:trPr>
          <w:trHeight w:val="300"/>
        </w:trPr>
        <w:tc>
          <w:tcPr>
            <w:tcW w:w="991" w:type="dxa"/>
            <w:noWrap/>
            <w:vAlign w:val="center"/>
            <w:hideMark/>
          </w:tcPr>
          <w:p w14:paraId="26378E7C" w14:textId="77777777" w:rsidR="008704AC" w:rsidRPr="008C1305" w:rsidRDefault="008704AC" w:rsidP="008704AC">
            <w:pPr>
              <w:jc w:val="cente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eca-mir-9074</w:t>
            </w:r>
          </w:p>
        </w:tc>
        <w:tc>
          <w:tcPr>
            <w:tcW w:w="1980" w:type="dxa"/>
            <w:noWrap/>
            <w:vAlign w:val="center"/>
            <w:hideMark/>
          </w:tcPr>
          <w:p w14:paraId="3C61E33E"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MicroRNA</w:t>
            </w:r>
          </w:p>
        </w:tc>
        <w:tc>
          <w:tcPr>
            <w:tcW w:w="2031" w:type="dxa"/>
            <w:noWrap/>
            <w:vAlign w:val="center"/>
            <w:hideMark/>
          </w:tcPr>
          <w:p w14:paraId="1257A435"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Post-transcriptional regulation</w:t>
            </w:r>
          </w:p>
        </w:tc>
        <w:tc>
          <w:tcPr>
            <w:tcW w:w="2914" w:type="dxa"/>
            <w:noWrap/>
            <w:vAlign w:val="center"/>
            <w:hideMark/>
          </w:tcPr>
          <w:p w14:paraId="47434132"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Potential biomarker (no equine phenotype reported)</w:t>
            </w:r>
          </w:p>
        </w:tc>
        <w:tc>
          <w:tcPr>
            <w:tcW w:w="2465" w:type="dxa"/>
            <w:noWrap/>
            <w:vAlign w:val="center"/>
            <w:hideMark/>
          </w:tcPr>
          <w:p w14:paraId="7A2900FD" w14:textId="77777777" w:rsidR="008704AC" w:rsidRPr="008C1305" w:rsidRDefault="008704AC" w:rsidP="008704AC">
            <w:pPr>
              <w:rPr>
                <w:rFonts w:asciiTheme="majorBidi" w:hAnsiTheme="majorBidi" w:cstheme="majorBidi"/>
                <w:b w:val="0"/>
                <w:bCs w:val="0"/>
                <w:color w:val="000000" w:themeColor="text1"/>
                <w:sz w:val="14"/>
                <w:szCs w:val="14"/>
                <w:lang w:bidi="fa-IR"/>
              </w:rPr>
            </w:pPr>
            <w:r w:rsidRPr="008C1305">
              <w:rPr>
                <w:rFonts w:asciiTheme="majorBidi" w:hAnsiTheme="majorBidi" w:cstheme="majorBidi"/>
                <w:b w:val="0"/>
                <w:bCs w:val="0"/>
                <w:color w:val="000000" w:themeColor="text1"/>
                <w:sz w:val="14"/>
                <w:szCs w:val="14"/>
                <w:lang w:bidi="fa-IR"/>
              </w:rPr>
              <w:t>Regulatory RNA</w:t>
            </w:r>
          </w:p>
        </w:tc>
        <w:tc>
          <w:tcPr>
            <w:tcW w:w="3479" w:type="dxa"/>
            <w:vAlign w:val="center"/>
          </w:tcPr>
          <w:p w14:paraId="222B338A" w14:textId="1988B123" w:rsidR="008704AC" w:rsidRPr="008704AC" w:rsidRDefault="008704AC" w:rsidP="008704AC">
            <w:pPr>
              <w:rPr>
                <w:rFonts w:asciiTheme="majorBidi" w:hAnsiTheme="majorBidi" w:cstheme="majorBidi"/>
                <w:b w:val="0"/>
                <w:bCs w:val="0"/>
                <w:color w:val="000000" w:themeColor="text1"/>
                <w:sz w:val="14"/>
                <w:szCs w:val="14"/>
                <w:lang w:bidi="fa-IR"/>
              </w:rPr>
            </w:pPr>
            <w:r w:rsidRPr="008704AC">
              <w:rPr>
                <w:rFonts w:asciiTheme="majorBidi" w:hAnsiTheme="majorBidi" w:cstheme="majorBidi"/>
                <w:b w:val="0"/>
                <w:bCs w:val="0"/>
                <w:color w:val="000000" w:themeColor="text1"/>
                <w:sz w:val="14"/>
                <w:szCs w:val="14"/>
                <w:lang w:bidi="fa-IR"/>
              </w:rPr>
              <w:t>Belgian, Icelandic, Welsh</w:t>
            </w:r>
          </w:p>
        </w:tc>
        <w:tc>
          <w:tcPr>
            <w:tcW w:w="1170" w:type="dxa"/>
            <w:vAlign w:val="center"/>
          </w:tcPr>
          <w:p w14:paraId="6E6509CD" w14:textId="2C003E71" w:rsidR="008704AC" w:rsidRPr="008704AC" w:rsidRDefault="008704AC" w:rsidP="008704AC">
            <w:pPr>
              <w:jc w:val="center"/>
              <w:rPr>
                <w:rFonts w:asciiTheme="majorBidi" w:hAnsiTheme="majorBidi" w:cstheme="majorBidi"/>
                <w:b w:val="0"/>
                <w:bCs w:val="0"/>
                <w:color w:val="000000" w:themeColor="text1"/>
                <w:sz w:val="14"/>
                <w:szCs w:val="14"/>
                <w:lang w:bidi="fa-IR"/>
              </w:rPr>
            </w:pPr>
            <w:r w:rsidRPr="008704AC">
              <w:rPr>
                <w:rFonts w:asciiTheme="majorBidi" w:hAnsiTheme="majorBidi" w:cstheme="majorBidi"/>
                <w:b w:val="0"/>
                <w:bCs w:val="0"/>
                <w:color w:val="000000" w:themeColor="text1"/>
                <w:sz w:val="14"/>
                <w:szCs w:val="14"/>
                <w:lang w:bidi="fa-IR"/>
              </w:rPr>
              <w:t>3</w:t>
            </w:r>
          </w:p>
        </w:tc>
      </w:tr>
    </w:tbl>
    <w:p w14:paraId="20ADEF0B" w14:textId="77777777" w:rsidR="00064784" w:rsidRDefault="00064784"/>
    <w:p w14:paraId="2D4936F9" w14:textId="53254960" w:rsidR="00AF2C81" w:rsidRPr="00AF2C81" w:rsidRDefault="00AF2C81" w:rsidP="00AF2C81">
      <w:pPr>
        <w:spacing w:line="480" w:lineRule="auto"/>
        <w:jc w:val="both"/>
        <w:rPr>
          <w:rFonts w:asciiTheme="majorBidi" w:hAnsiTheme="majorBidi" w:cstheme="majorBidi"/>
        </w:rPr>
      </w:pPr>
      <w:r w:rsidRPr="00AF2C81">
        <w:rPr>
          <w:rFonts w:asciiTheme="majorBidi" w:hAnsiTheme="majorBidi" w:cstheme="majorBidi"/>
        </w:rPr>
        <w:t>For the MNEc2M SNP array data, a total of 538 genes were identified within the top ROH islands across all breeds. Among these, 48 genes were found in ROH islands shared by at least three breeds, suggesting possible signatures of common selection or conserved biological functions. Corresponds to ROH islands identified from Additional file 8.</w:t>
      </w:r>
    </w:p>
    <w:sectPr w:rsidR="00AF2C81" w:rsidRPr="00AF2C81" w:rsidSect="008704AC">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4E6"/>
    <w:rsid w:val="00047063"/>
    <w:rsid w:val="00064784"/>
    <w:rsid w:val="001C744B"/>
    <w:rsid w:val="00292508"/>
    <w:rsid w:val="0068581B"/>
    <w:rsid w:val="007807A9"/>
    <w:rsid w:val="008704AC"/>
    <w:rsid w:val="008C1305"/>
    <w:rsid w:val="00AF2C81"/>
    <w:rsid w:val="00B774E6"/>
    <w:rsid w:val="00BD6768"/>
    <w:rsid w:val="00FF4D1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C82A7"/>
  <w14:defaultImageDpi w14:val="32767"/>
  <w15:chartTrackingRefBased/>
  <w15:docId w15:val="{9320C66C-6C5F-4C6B-87D1-A8EE10F18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B Nazanin"/>
        <w:b/>
        <w:bCs/>
        <w:kern w:val="2"/>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305"/>
    <w:pPr>
      <w:spacing w:line="278" w:lineRule="auto"/>
    </w:pPr>
    <w:rPr>
      <w:rFonts w:asciiTheme="minorHAnsi" w:hAnsiTheme="minorHAnsi" w:cstheme="minorBidi"/>
      <w:b w:val="0"/>
      <w:bCs w:val="0"/>
      <w:sz w:val="24"/>
    </w:rPr>
  </w:style>
  <w:style w:type="paragraph" w:styleId="Heading1">
    <w:name w:val="heading 1"/>
    <w:basedOn w:val="Normal"/>
    <w:next w:val="Normal"/>
    <w:link w:val="Heading1Char"/>
    <w:uiPriority w:val="9"/>
    <w:qFormat/>
    <w:rsid w:val="00B774E6"/>
    <w:pPr>
      <w:keepNext/>
      <w:keepLines/>
      <w:spacing w:before="360" w:after="80" w:line="259" w:lineRule="auto"/>
      <w:outlineLvl w:val="0"/>
    </w:pPr>
    <w:rPr>
      <w:rFonts w:asciiTheme="majorHAnsi" w:eastAsiaTheme="majorEastAsia" w:hAnsiTheme="majorHAnsi" w:cstheme="majorBidi"/>
      <w:b/>
      <w:bCs/>
      <w:color w:val="2E74B5" w:themeColor="accent1" w:themeShade="BF"/>
      <w:sz w:val="40"/>
      <w:szCs w:val="40"/>
    </w:rPr>
  </w:style>
  <w:style w:type="paragraph" w:styleId="Heading2">
    <w:name w:val="heading 2"/>
    <w:basedOn w:val="Normal"/>
    <w:next w:val="Normal"/>
    <w:link w:val="Heading2Char"/>
    <w:uiPriority w:val="9"/>
    <w:semiHidden/>
    <w:unhideWhenUsed/>
    <w:qFormat/>
    <w:rsid w:val="00B774E6"/>
    <w:pPr>
      <w:keepNext/>
      <w:keepLines/>
      <w:spacing w:before="160" w:after="80" w:line="259" w:lineRule="auto"/>
      <w:outlineLvl w:val="1"/>
    </w:pPr>
    <w:rPr>
      <w:rFonts w:asciiTheme="majorHAnsi" w:eastAsiaTheme="majorEastAsia" w:hAnsiTheme="majorHAnsi" w:cstheme="majorBidi"/>
      <w:b/>
      <w:bCs/>
      <w:color w:val="2E74B5" w:themeColor="accent1" w:themeShade="BF"/>
      <w:sz w:val="32"/>
      <w:szCs w:val="32"/>
    </w:rPr>
  </w:style>
  <w:style w:type="paragraph" w:styleId="Heading3">
    <w:name w:val="heading 3"/>
    <w:basedOn w:val="Normal"/>
    <w:next w:val="Normal"/>
    <w:link w:val="Heading3Char"/>
    <w:uiPriority w:val="9"/>
    <w:semiHidden/>
    <w:unhideWhenUsed/>
    <w:qFormat/>
    <w:rsid w:val="00B774E6"/>
    <w:pPr>
      <w:keepNext/>
      <w:keepLines/>
      <w:spacing w:before="160" w:after="80" w:line="259" w:lineRule="auto"/>
      <w:outlineLvl w:val="2"/>
    </w:pPr>
    <w:rPr>
      <w:rFonts w:eastAsiaTheme="majorEastAsia" w:cstheme="majorBidi"/>
      <w:b/>
      <w:bCs/>
      <w:color w:val="2E74B5" w:themeColor="accent1" w:themeShade="BF"/>
      <w:sz w:val="28"/>
      <w:szCs w:val="28"/>
    </w:rPr>
  </w:style>
  <w:style w:type="paragraph" w:styleId="Heading4">
    <w:name w:val="heading 4"/>
    <w:basedOn w:val="Normal"/>
    <w:next w:val="Normal"/>
    <w:link w:val="Heading4Char"/>
    <w:uiPriority w:val="9"/>
    <w:semiHidden/>
    <w:unhideWhenUsed/>
    <w:qFormat/>
    <w:rsid w:val="00B774E6"/>
    <w:pPr>
      <w:keepNext/>
      <w:keepLines/>
      <w:spacing w:before="80" w:after="40" w:line="259" w:lineRule="auto"/>
      <w:outlineLvl w:val="3"/>
    </w:pPr>
    <w:rPr>
      <w:rFonts w:eastAsiaTheme="majorEastAsia" w:cstheme="majorBidi"/>
      <w:b/>
      <w:bCs/>
      <w:i/>
      <w:iCs/>
      <w:color w:val="2E74B5" w:themeColor="accent1" w:themeShade="BF"/>
      <w:sz w:val="20"/>
    </w:rPr>
  </w:style>
  <w:style w:type="paragraph" w:styleId="Heading5">
    <w:name w:val="heading 5"/>
    <w:basedOn w:val="Normal"/>
    <w:next w:val="Normal"/>
    <w:link w:val="Heading5Char"/>
    <w:uiPriority w:val="9"/>
    <w:semiHidden/>
    <w:unhideWhenUsed/>
    <w:qFormat/>
    <w:rsid w:val="00B774E6"/>
    <w:pPr>
      <w:keepNext/>
      <w:keepLines/>
      <w:spacing w:before="80" w:after="40" w:line="259" w:lineRule="auto"/>
      <w:outlineLvl w:val="4"/>
    </w:pPr>
    <w:rPr>
      <w:rFonts w:eastAsiaTheme="majorEastAsia" w:cstheme="majorBidi"/>
      <w:b/>
      <w:bCs/>
      <w:color w:val="2E74B5" w:themeColor="accent1" w:themeShade="BF"/>
      <w:sz w:val="20"/>
    </w:rPr>
  </w:style>
  <w:style w:type="paragraph" w:styleId="Heading6">
    <w:name w:val="heading 6"/>
    <w:basedOn w:val="Normal"/>
    <w:next w:val="Normal"/>
    <w:link w:val="Heading6Char"/>
    <w:uiPriority w:val="9"/>
    <w:semiHidden/>
    <w:unhideWhenUsed/>
    <w:qFormat/>
    <w:rsid w:val="00B774E6"/>
    <w:pPr>
      <w:keepNext/>
      <w:keepLines/>
      <w:spacing w:before="40" w:after="0" w:line="259" w:lineRule="auto"/>
      <w:outlineLvl w:val="5"/>
    </w:pPr>
    <w:rPr>
      <w:rFonts w:eastAsiaTheme="majorEastAsia" w:cstheme="majorBidi"/>
      <w:b/>
      <w:bCs/>
      <w:i/>
      <w:iCs/>
      <w:color w:val="595959" w:themeColor="text1" w:themeTint="A6"/>
      <w:sz w:val="20"/>
    </w:rPr>
  </w:style>
  <w:style w:type="paragraph" w:styleId="Heading7">
    <w:name w:val="heading 7"/>
    <w:basedOn w:val="Normal"/>
    <w:next w:val="Normal"/>
    <w:link w:val="Heading7Char"/>
    <w:uiPriority w:val="9"/>
    <w:semiHidden/>
    <w:unhideWhenUsed/>
    <w:qFormat/>
    <w:rsid w:val="00B774E6"/>
    <w:pPr>
      <w:keepNext/>
      <w:keepLines/>
      <w:spacing w:before="40" w:after="0" w:line="259" w:lineRule="auto"/>
      <w:outlineLvl w:val="6"/>
    </w:pPr>
    <w:rPr>
      <w:rFonts w:eastAsiaTheme="majorEastAsia" w:cstheme="majorBidi"/>
      <w:b/>
      <w:bCs/>
      <w:color w:val="595959" w:themeColor="text1" w:themeTint="A6"/>
      <w:sz w:val="20"/>
    </w:rPr>
  </w:style>
  <w:style w:type="paragraph" w:styleId="Heading8">
    <w:name w:val="heading 8"/>
    <w:basedOn w:val="Normal"/>
    <w:next w:val="Normal"/>
    <w:link w:val="Heading8Char"/>
    <w:uiPriority w:val="9"/>
    <w:semiHidden/>
    <w:unhideWhenUsed/>
    <w:qFormat/>
    <w:rsid w:val="00B774E6"/>
    <w:pPr>
      <w:keepNext/>
      <w:keepLines/>
      <w:spacing w:after="0" w:line="259" w:lineRule="auto"/>
      <w:outlineLvl w:val="7"/>
    </w:pPr>
    <w:rPr>
      <w:rFonts w:eastAsiaTheme="majorEastAsia" w:cstheme="majorBidi"/>
      <w:b/>
      <w:bCs/>
      <w:i/>
      <w:iCs/>
      <w:color w:val="272727" w:themeColor="text1" w:themeTint="D8"/>
      <w:sz w:val="20"/>
    </w:rPr>
  </w:style>
  <w:style w:type="paragraph" w:styleId="Heading9">
    <w:name w:val="heading 9"/>
    <w:basedOn w:val="Normal"/>
    <w:next w:val="Normal"/>
    <w:link w:val="Heading9Char"/>
    <w:uiPriority w:val="9"/>
    <w:semiHidden/>
    <w:unhideWhenUsed/>
    <w:qFormat/>
    <w:rsid w:val="00B774E6"/>
    <w:pPr>
      <w:keepNext/>
      <w:keepLines/>
      <w:spacing w:after="0" w:line="259" w:lineRule="auto"/>
      <w:outlineLvl w:val="8"/>
    </w:pPr>
    <w:rPr>
      <w:rFonts w:eastAsiaTheme="majorEastAsia" w:cstheme="majorBidi"/>
      <w:b/>
      <w:bCs/>
      <w:color w:val="272727" w:themeColor="text1" w:themeTint="D8"/>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74E6"/>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B774E6"/>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B774E6"/>
    <w:rPr>
      <w:rFonts w:asciiTheme="minorHAnsi" w:eastAsiaTheme="majorEastAsia" w:hAnsiTheme="min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B774E6"/>
    <w:rPr>
      <w:rFonts w:asciiTheme="minorHAnsi" w:eastAsiaTheme="majorEastAsia" w:hAnsiTheme="minorHAnsi" w:cstheme="majorBidi"/>
      <w:i/>
      <w:iCs/>
      <w:color w:val="2E74B5" w:themeColor="accent1" w:themeShade="BF"/>
    </w:rPr>
  </w:style>
  <w:style w:type="character" w:customStyle="1" w:styleId="Heading5Char">
    <w:name w:val="Heading 5 Char"/>
    <w:basedOn w:val="DefaultParagraphFont"/>
    <w:link w:val="Heading5"/>
    <w:uiPriority w:val="9"/>
    <w:semiHidden/>
    <w:rsid w:val="00B774E6"/>
    <w:rPr>
      <w:rFonts w:asciiTheme="minorHAnsi" w:eastAsiaTheme="majorEastAsia" w:hAnsiTheme="minorHAnsi" w:cstheme="majorBidi"/>
      <w:color w:val="2E74B5" w:themeColor="accent1" w:themeShade="BF"/>
    </w:rPr>
  </w:style>
  <w:style w:type="character" w:customStyle="1" w:styleId="Heading6Char">
    <w:name w:val="Heading 6 Char"/>
    <w:basedOn w:val="DefaultParagraphFont"/>
    <w:link w:val="Heading6"/>
    <w:uiPriority w:val="9"/>
    <w:semiHidden/>
    <w:rsid w:val="00B774E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774E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774E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774E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774E6"/>
    <w:pPr>
      <w:spacing w:after="80" w:line="240" w:lineRule="auto"/>
      <w:contextualSpacing/>
    </w:pPr>
    <w:rPr>
      <w:rFonts w:asciiTheme="majorHAnsi" w:eastAsiaTheme="majorEastAsia" w:hAnsiTheme="majorHAnsi" w:cstheme="majorBidi"/>
      <w:b/>
      <w:bCs/>
      <w:spacing w:val="-10"/>
      <w:kern w:val="28"/>
      <w:sz w:val="56"/>
      <w:szCs w:val="56"/>
    </w:rPr>
  </w:style>
  <w:style w:type="character" w:customStyle="1" w:styleId="TitleChar">
    <w:name w:val="Title Char"/>
    <w:basedOn w:val="DefaultParagraphFont"/>
    <w:link w:val="Title"/>
    <w:uiPriority w:val="10"/>
    <w:rsid w:val="00B774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74E6"/>
    <w:pPr>
      <w:numPr>
        <w:ilvl w:val="1"/>
      </w:numPr>
      <w:spacing w:line="259" w:lineRule="auto"/>
    </w:pPr>
    <w:rPr>
      <w:rFonts w:eastAsiaTheme="majorEastAsia" w:cstheme="majorBidi"/>
      <w:b/>
      <w:bCs/>
      <w:color w:val="595959" w:themeColor="text1" w:themeTint="A6"/>
      <w:spacing w:val="15"/>
      <w:sz w:val="28"/>
      <w:szCs w:val="28"/>
    </w:rPr>
  </w:style>
  <w:style w:type="character" w:customStyle="1" w:styleId="SubtitleChar">
    <w:name w:val="Subtitle Char"/>
    <w:basedOn w:val="DefaultParagraphFont"/>
    <w:link w:val="Subtitle"/>
    <w:uiPriority w:val="11"/>
    <w:rsid w:val="00B774E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774E6"/>
    <w:pPr>
      <w:spacing w:before="160" w:line="259" w:lineRule="auto"/>
      <w:jc w:val="center"/>
    </w:pPr>
    <w:rPr>
      <w:rFonts w:ascii="Times New Roman" w:hAnsi="Times New Roman" w:cs="B Nazanin"/>
      <w:b/>
      <w:bCs/>
      <w:i/>
      <w:iCs/>
      <w:color w:val="404040" w:themeColor="text1" w:themeTint="BF"/>
      <w:sz w:val="20"/>
    </w:rPr>
  </w:style>
  <w:style w:type="character" w:customStyle="1" w:styleId="QuoteChar">
    <w:name w:val="Quote Char"/>
    <w:basedOn w:val="DefaultParagraphFont"/>
    <w:link w:val="Quote"/>
    <w:uiPriority w:val="29"/>
    <w:rsid w:val="00B774E6"/>
    <w:rPr>
      <w:i/>
      <w:iCs/>
      <w:color w:val="404040" w:themeColor="text1" w:themeTint="BF"/>
    </w:rPr>
  </w:style>
  <w:style w:type="paragraph" w:styleId="ListParagraph">
    <w:name w:val="List Paragraph"/>
    <w:basedOn w:val="Normal"/>
    <w:uiPriority w:val="34"/>
    <w:qFormat/>
    <w:rsid w:val="00B774E6"/>
    <w:pPr>
      <w:spacing w:line="259" w:lineRule="auto"/>
      <w:ind w:left="720"/>
      <w:contextualSpacing/>
    </w:pPr>
    <w:rPr>
      <w:rFonts w:ascii="Times New Roman" w:hAnsi="Times New Roman" w:cs="B Nazanin"/>
      <w:b/>
      <w:bCs/>
      <w:sz w:val="20"/>
    </w:rPr>
  </w:style>
  <w:style w:type="character" w:styleId="IntenseEmphasis">
    <w:name w:val="Intense Emphasis"/>
    <w:basedOn w:val="DefaultParagraphFont"/>
    <w:uiPriority w:val="21"/>
    <w:qFormat/>
    <w:rsid w:val="00B774E6"/>
    <w:rPr>
      <w:i/>
      <w:iCs/>
      <w:color w:val="2E74B5" w:themeColor="accent1" w:themeShade="BF"/>
    </w:rPr>
  </w:style>
  <w:style w:type="paragraph" w:styleId="IntenseQuote">
    <w:name w:val="Intense Quote"/>
    <w:basedOn w:val="Normal"/>
    <w:next w:val="Normal"/>
    <w:link w:val="IntenseQuoteChar"/>
    <w:uiPriority w:val="30"/>
    <w:qFormat/>
    <w:rsid w:val="00B774E6"/>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imes New Roman" w:hAnsi="Times New Roman" w:cs="B Nazanin"/>
      <w:b/>
      <w:bCs/>
      <w:i/>
      <w:iCs/>
      <w:color w:val="2E74B5" w:themeColor="accent1" w:themeShade="BF"/>
      <w:sz w:val="20"/>
    </w:rPr>
  </w:style>
  <w:style w:type="character" w:customStyle="1" w:styleId="IntenseQuoteChar">
    <w:name w:val="Intense Quote Char"/>
    <w:basedOn w:val="DefaultParagraphFont"/>
    <w:link w:val="IntenseQuote"/>
    <w:uiPriority w:val="30"/>
    <w:rsid w:val="00B774E6"/>
    <w:rPr>
      <w:i/>
      <w:iCs/>
      <w:color w:val="2E74B5" w:themeColor="accent1" w:themeShade="BF"/>
    </w:rPr>
  </w:style>
  <w:style w:type="character" w:styleId="IntenseReference">
    <w:name w:val="Intense Reference"/>
    <w:basedOn w:val="DefaultParagraphFont"/>
    <w:uiPriority w:val="32"/>
    <w:qFormat/>
    <w:rsid w:val="00B774E6"/>
    <w:rPr>
      <w:b w:val="0"/>
      <w:bCs w:val="0"/>
      <w:smallCaps/>
      <w:color w:val="2E74B5" w:themeColor="accent1" w:themeShade="BF"/>
      <w:spacing w:val="5"/>
    </w:rPr>
  </w:style>
  <w:style w:type="table" w:styleId="TableGrid">
    <w:name w:val="Table Grid"/>
    <w:basedOn w:val="TableNormal"/>
    <w:uiPriority w:val="39"/>
    <w:rsid w:val="008C1305"/>
    <w:pPr>
      <w:spacing w:after="0" w:line="240" w:lineRule="auto"/>
    </w:pPr>
    <w:rPr>
      <w:rFonts w:asciiTheme="minorHAnsi" w:hAnsiTheme="minorHAnsi" w:cstheme="minorBidi"/>
      <w:b w:val="0"/>
      <w:bCs w:val="0"/>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1195</Words>
  <Characters>6814</Characters>
  <Application>Microsoft Office Word</Application>
  <DocSecurity>0</DocSecurity>
  <Lines>56</Lines>
  <Paragraphs>15</Paragraphs>
  <ScaleCrop>false</ScaleCrop>
  <Company/>
  <LinksUpToDate>false</LinksUpToDate>
  <CharactersWithSpaces>7994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moslem moghbeli</dc:creator>
  <cp:keywords/>
  <dc:description/>
  <cp:lastModifiedBy>moslem moghbeli</cp:lastModifiedBy>
  <cp:revision>6</cp:revision>
  <dcterms:created xsi:type="dcterms:W3CDTF">2025-10-06T06:53:00Z</dcterms:created>
  <dcterms:modified xsi:type="dcterms:W3CDTF">2025-10-06T22:48:00Z</dcterms:modified>
</cp:coreProperties>
</file>