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19683" w14:textId="77777777" w:rsidR="007B0DBE" w:rsidRPr="00AD5F85" w:rsidRDefault="007B0DBE" w:rsidP="007B0DBE">
      <w:pPr>
        <w:pStyle w:val="MDPI42tablebody"/>
        <w:spacing w:line="480" w:lineRule="auto"/>
        <w:jc w:val="left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AD5F85">
        <w:rPr>
          <w:rFonts w:ascii="Arial" w:eastAsia="Arial" w:hAnsi="Arial" w:cs="Arial"/>
          <w:b/>
          <w:bCs/>
          <w:color w:val="auto"/>
          <w:sz w:val="24"/>
          <w:szCs w:val="24"/>
        </w:rPr>
        <w:t>Supplementary material</w:t>
      </w:r>
    </w:p>
    <w:p w14:paraId="43D7EC04" w14:textId="77777777" w:rsidR="007B0DBE" w:rsidRDefault="007B0DBE" w:rsidP="007B0DBE">
      <w:pPr>
        <w:spacing w:after="0" w:line="480" w:lineRule="auto"/>
        <w:ind w:leftChars="0" w:left="2" w:hanging="2"/>
        <w:rPr>
          <w:rFonts w:ascii="Arial" w:eastAsia="Arial Narrow" w:hAnsi="Arial" w:cs="Arial"/>
          <w:lang w:val="en-US"/>
        </w:rPr>
      </w:pPr>
      <w:r w:rsidRPr="00AD5F85">
        <w:rPr>
          <w:rFonts w:ascii="Arial" w:eastAsia="Arial Narrow" w:hAnsi="Arial" w:cs="Arial"/>
          <w:b/>
          <w:noProof/>
          <w:lang w:val="en-US"/>
        </w:rPr>
        <w:drawing>
          <wp:inline distT="0" distB="0" distL="0" distR="0" wp14:anchorId="4D8639C8" wp14:editId="31638FD0">
            <wp:extent cx="5759958" cy="2880360"/>
            <wp:effectExtent l="0" t="0" r="0" b="0"/>
            <wp:docPr id="2112753492" name="Slika 1" descr="Slika, ki vsebuje besede diagram, besedilo, posnetek zaslona, vrstic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60285" name="Slika 1" descr="Slika, ki vsebuje besede diagram, besedilo, posnetek zaslona, vrstica&#10;&#10;Vsebina, ustvarjena z UI, morda ni pravilna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958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5F85">
        <w:rPr>
          <w:rFonts w:ascii="Arial" w:eastAsia="Arial" w:hAnsi="Arial" w:cs="Arial"/>
          <w:color w:val="000000"/>
          <w:sz w:val="24"/>
          <w:szCs w:val="24"/>
          <w:lang w:val="sl-SI"/>
        </w:rPr>
        <w:t xml:space="preserve"> </w:t>
      </w:r>
      <w:proofErr w:type="spellStart"/>
      <w:r w:rsidRPr="00AD5F85">
        <w:rPr>
          <w:rFonts w:ascii="Arial" w:eastAsia="Arial" w:hAnsi="Arial" w:cs="Arial"/>
          <w:b/>
          <w:bCs/>
          <w:color w:val="000000"/>
          <w:sz w:val="24"/>
          <w:szCs w:val="24"/>
          <w:lang w:val="sl-SI"/>
        </w:rPr>
        <w:t>Supplementary</w:t>
      </w:r>
      <w:proofErr w:type="spellEnd"/>
      <w:r w:rsidRPr="00AD5F85">
        <w:rPr>
          <w:rFonts w:ascii="Arial" w:eastAsia="Arial" w:hAnsi="Arial" w:cs="Arial"/>
          <w:b/>
          <w:bCs/>
          <w:color w:val="000000"/>
          <w:sz w:val="24"/>
          <w:szCs w:val="24"/>
          <w:lang w:val="sl-SI"/>
        </w:rPr>
        <w:t xml:space="preserve"> Material 1.</w:t>
      </w:r>
      <w:r w:rsidRPr="00AD5F85">
        <w:rPr>
          <w:rFonts w:ascii="Arial" w:eastAsia="Arial" w:hAnsi="Arial" w:cs="Arial"/>
          <w:color w:val="000000"/>
          <w:sz w:val="24"/>
          <w:szCs w:val="24"/>
          <w:lang w:val="sl-SI"/>
        </w:rPr>
        <w:t xml:space="preserve"> </w:t>
      </w:r>
      <w:r w:rsidRPr="00AD5F85">
        <w:rPr>
          <w:rFonts w:ascii="Arial" w:eastAsia="Arial Narrow" w:hAnsi="Arial" w:cs="Arial"/>
          <w:b/>
          <w:sz w:val="24"/>
          <w:szCs w:val="24"/>
          <w:lang w:val="en-US"/>
        </w:rPr>
        <w:t>Supplementary Figure.</w:t>
      </w:r>
      <w:r w:rsidRPr="00AD5F85">
        <w:rPr>
          <w:rFonts w:ascii="Arial" w:eastAsia="Arial Narrow" w:hAnsi="Arial" w:cs="Arial"/>
          <w:sz w:val="24"/>
          <w:szCs w:val="24"/>
          <w:lang w:val="en-US"/>
        </w:rPr>
        <w:t xml:space="preserve"> Percentage of testicular asymmetry (PTA) in </w:t>
      </w:r>
      <w:proofErr w:type="spellStart"/>
      <w:r w:rsidRPr="00AD5F85">
        <w:rPr>
          <w:rFonts w:ascii="Arial" w:eastAsia="Arial Narrow" w:hAnsi="Arial" w:cs="Arial"/>
          <w:sz w:val="24"/>
          <w:szCs w:val="24"/>
          <w:lang w:val="en-US"/>
        </w:rPr>
        <w:t>immunocastrated</w:t>
      </w:r>
      <w:proofErr w:type="spellEnd"/>
      <w:r w:rsidRPr="00AD5F85">
        <w:rPr>
          <w:rFonts w:ascii="Arial" w:eastAsia="Arial Narrow" w:hAnsi="Arial" w:cs="Arial"/>
          <w:sz w:val="24"/>
          <w:szCs w:val="24"/>
          <w:lang w:val="en-US"/>
        </w:rPr>
        <w:t xml:space="preserve"> (IC; n=151) and entire male (EM; n=91) pigs, presented as boxplots with medians and interquartile ranges, means (red star), and individual data (black dots). Three cases of severe testicular asymmetry in IC (PTA &gt;50%) are encircled in red. Vertical dotted line is a threshold for severe unilateral testicular atrophy (PTA &gt; 20%).</w:t>
      </w:r>
      <w:r>
        <w:rPr>
          <w:rFonts w:ascii="Arial" w:eastAsia="Arial Narrow" w:hAnsi="Arial" w:cs="Arial"/>
          <w:lang w:val="en-US"/>
        </w:rPr>
        <w:t xml:space="preserve"> </w:t>
      </w:r>
    </w:p>
    <w:p w14:paraId="64D63C26" w14:textId="77777777" w:rsidR="00EF670E" w:rsidRDefault="00EF670E">
      <w:pPr>
        <w:ind w:left="0" w:hanging="2"/>
      </w:pPr>
    </w:p>
    <w:sectPr w:rsidR="00EF6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BE"/>
    <w:rsid w:val="007B0DBE"/>
    <w:rsid w:val="00DA336D"/>
    <w:rsid w:val="00E9254F"/>
    <w:rsid w:val="00E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1E7B5"/>
  <w15:chartTrackingRefBased/>
  <w15:docId w15:val="{EE7D9A42-63A0-4E50-B3D0-5C082616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7B0DBE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:lang w:val="en-GB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B0DBE"/>
    <w:pPr>
      <w:keepNext/>
      <w:keepLines/>
      <w:suppressAutoHyphens w:val="0"/>
      <w:spacing w:before="360" w:after="80" w:line="278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B0DBE"/>
    <w:pPr>
      <w:keepNext/>
      <w:keepLines/>
      <w:suppressAutoHyphens w:val="0"/>
      <w:spacing w:before="160" w:after="80" w:line="278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B0DBE"/>
    <w:pPr>
      <w:keepNext/>
      <w:keepLines/>
      <w:suppressAutoHyphens w:val="0"/>
      <w:spacing w:before="160" w:after="80" w:line="278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B0DBE"/>
    <w:pPr>
      <w:keepNext/>
      <w:keepLines/>
      <w:suppressAutoHyphens w:val="0"/>
      <w:spacing w:before="80" w:after="40" w:line="278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sz w:val="24"/>
      <w:szCs w:val="24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B0DBE"/>
    <w:pPr>
      <w:keepNext/>
      <w:keepLines/>
      <w:suppressAutoHyphens w:val="0"/>
      <w:spacing w:before="80" w:after="40" w:line="278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4"/>
      <w:szCs w:val="24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B0DBE"/>
    <w:pPr>
      <w:keepNext/>
      <w:keepLines/>
      <w:suppressAutoHyphens w:val="0"/>
      <w:spacing w:before="40" w:after="0" w:line="278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4"/>
      <w:szCs w:val="24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B0DBE"/>
    <w:pPr>
      <w:keepNext/>
      <w:keepLines/>
      <w:suppressAutoHyphens w:val="0"/>
      <w:spacing w:before="40" w:after="0" w:line="278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B0DBE"/>
    <w:pPr>
      <w:keepNext/>
      <w:keepLines/>
      <w:suppressAutoHyphens w:val="0"/>
      <w:spacing w:after="0" w:line="278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B0DBE"/>
    <w:pPr>
      <w:keepNext/>
      <w:keepLines/>
      <w:suppressAutoHyphens w:val="0"/>
      <w:spacing w:after="0" w:line="278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:lang w:val="sl-S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B0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B0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B0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B0DB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B0DB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B0D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B0DB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B0D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B0D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B0DBE"/>
    <w:pPr>
      <w:suppressAutoHyphens w:val="0"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7B0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B0DBE"/>
    <w:pPr>
      <w:numPr>
        <w:ilvl w:val="1"/>
      </w:numPr>
      <w:suppressAutoHyphens w:val="0"/>
      <w:spacing w:after="160" w:line="278" w:lineRule="auto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7B0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B0DBE"/>
    <w:pPr>
      <w:suppressAutoHyphens w:val="0"/>
      <w:spacing w:before="160" w:after="160" w:line="278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7B0DB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B0DBE"/>
    <w:pPr>
      <w:suppressAutoHyphens w:val="0"/>
      <w:spacing w:after="160" w:line="278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sz w:val="24"/>
      <w:szCs w:val="24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7B0DB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B0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sz w:val="24"/>
      <w:szCs w:val="24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B0DB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B0DBE"/>
    <w:rPr>
      <w:b/>
      <w:bCs/>
      <w:smallCaps/>
      <w:color w:val="0F4761" w:themeColor="accent1" w:themeShade="BF"/>
      <w:spacing w:val="5"/>
    </w:rPr>
  </w:style>
  <w:style w:type="paragraph" w:customStyle="1" w:styleId="MDPI42tablebody">
    <w:name w:val="MDPI_4.2_table_body"/>
    <w:qFormat/>
    <w:rsid w:val="007B0DBE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Vrecl Fazarinc, Milka</dc:creator>
  <cp:keywords/>
  <dc:description/>
  <cp:lastModifiedBy>Vrecl Fazarinc, Milka</cp:lastModifiedBy>
  <cp:revision>1</cp:revision>
  <dcterms:created xsi:type="dcterms:W3CDTF">2025-11-28T09:13:00Z</dcterms:created>
  <dcterms:modified xsi:type="dcterms:W3CDTF">2025-11-28T09:13:00Z</dcterms:modified>
</cp:coreProperties>
</file>