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EC7D2" w14:textId="77777777" w:rsidR="00802692" w:rsidRPr="00802692" w:rsidRDefault="00802692" w:rsidP="0080269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Table 1 (Supplementary Table S1). Primers, antibodies and validation data for transporter expression analysis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3223"/>
        <w:gridCol w:w="743"/>
        <w:gridCol w:w="977"/>
        <w:gridCol w:w="1058"/>
        <w:gridCol w:w="2055"/>
      </w:tblGrid>
      <w:tr w:rsidR="00457572" w:rsidRPr="00802692" w14:paraId="2E494342" w14:textId="77777777" w:rsidTr="00802692">
        <w:tc>
          <w:tcPr>
            <w:tcW w:w="0" w:type="auto"/>
            <w:hideMark/>
          </w:tcPr>
          <w:p w14:paraId="2A647771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Target (gene/protein)</w:t>
            </w:r>
          </w:p>
        </w:tc>
        <w:tc>
          <w:tcPr>
            <w:tcW w:w="0" w:type="auto"/>
            <w:hideMark/>
          </w:tcPr>
          <w:p w14:paraId="6B46EDB5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Primer sequence (5′→3′)</w:t>
            </w:r>
          </w:p>
        </w:tc>
        <w:tc>
          <w:tcPr>
            <w:tcW w:w="0" w:type="auto"/>
            <w:hideMark/>
          </w:tcPr>
          <w:p w14:paraId="1B1A39C8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Product size (bp)</w:t>
            </w:r>
          </w:p>
        </w:tc>
        <w:tc>
          <w:tcPr>
            <w:tcW w:w="0" w:type="auto"/>
            <w:hideMark/>
          </w:tcPr>
          <w:p w14:paraId="58277F67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PCR efficiency†</w:t>
            </w:r>
          </w:p>
        </w:tc>
        <w:tc>
          <w:tcPr>
            <w:tcW w:w="0" w:type="auto"/>
            <w:hideMark/>
          </w:tcPr>
          <w:p w14:paraId="7E4F72C6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Antibody (catalogue)</w:t>
            </w:r>
          </w:p>
        </w:tc>
        <w:tc>
          <w:tcPr>
            <w:tcW w:w="0" w:type="auto"/>
            <w:hideMark/>
          </w:tcPr>
          <w:p w14:paraId="48F30666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Antibody validation / Notes</w:t>
            </w:r>
          </w:p>
        </w:tc>
      </w:tr>
      <w:tr w:rsidR="00457572" w:rsidRPr="00802692" w14:paraId="08458B31" w14:textId="77777777" w:rsidTr="00802692">
        <w:tc>
          <w:tcPr>
            <w:tcW w:w="0" w:type="auto"/>
            <w:hideMark/>
          </w:tcPr>
          <w:p w14:paraId="4BA60A66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SGLT1 (SLC5A1) – mRNA / protein</w:t>
            </w:r>
          </w:p>
        </w:tc>
        <w:tc>
          <w:tcPr>
            <w:tcW w:w="0" w:type="auto"/>
            <w:hideMark/>
          </w:tcPr>
          <w:p w14:paraId="3BE9D993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F: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AGCAGTTTGGCATCGTCTAC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3′ 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br/>
              <w:t>R: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TCCAGGGTAGGATGACGAAC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3′</w:t>
            </w:r>
          </w:p>
        </w:tc>
        <w:tc>
          <w:tcPr>
            <w:tcW w:w="0" w:type="auto"/>
            <w:hideMark/>
          </w:tcPr>
          <w:p w14:paraId="154CB32C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152</w:t>
            </w:r>
          </w:p>
        </w:tc>
        <w:tc>
          <w:tcPr>
            <w:tcW w:w="0" w:type="auto"/>
            <w:hideMark/>
          </w:tcPr>
          <w:p w14:paraId="3A825F80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98%</w:t>
            </w:r>
          </w:p>
        </w:tc>
        <w:tc>
          <w:tcPr>
            <w:tcW w:w="0" w:type="auto"/>
            <w:hideMark/>
          </w:tcPr>
          <w:p w14:paraId="3696740A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 xml:space="preserve">Rabbit polyclonal, ab14686 (Abcam) </w:t>
            </w:r>
            <w:hyperlink r:id="rId5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abcam.cn+1</w:t>
              </w:r>
            </w:hyperlink>
          </w:p>
        </w:tc>
        <w:tc>
          <w:tcPr>
            <w:tcW w:w="0" w:type="auto"/>
            <w:hideMark/>
          </w:tcPr>
          <w:p w14:paraId="44EE627F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Validated for Western blot (WB) in small intestine/enterocytes; predicted band ~73 </w:t>
            </w:r>
            <w:proofErr w:type="spellStart"/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kDa</w:t>
            </w:r>
            <w:proofErr w:type="spellEnd"/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; widely used in intestinal glucose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absorption studies; for IHC/P often requires optimization of dilution (e.g., 1:500) </w:t>
            </w:r>
            <w:hyperlink r:id="rId6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abcam.cn+1</w:t>
              </w:r>
            </w:hyperlink>
          </w:p>
        </w:tc>
      </w:tr>
      <w:tr w:rsidR="00457572" w:rsidRPr="00802692" w14:paraId="089FEE83" w14:textId="77777777" w:rsidTr="00802692">
        <w:tc>
          <w:tcPr>
            <w:tcW w:w="0" w:type="auto"/>
            <w:hideMark/>
          </w:tcPr>
          <w:p w14:paraId="6EF97D3D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GLUT2 (SLC2A2) – mRNA / protein</w:t>
            </w:r>
          </w:p>
        </w:tc>
        <w:tc>
          <w:tcPr>
            <w:tcW w:w="0" w:type="auto"/>
            <w:hideMark/>
          </w:tcPr>
          <w:p w14:paraId="74466DF7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F: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CTGGTGGTGACCTGTTGAGT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3′ 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br/>
              <w:t>R: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AGCAGGTTGGTAGGTAGGGA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3′</w:t>
            </w:r>
          </w:p>
        </w:tc>
        <w:tc>
          <w:tcPr>
            <w:tcW w:w="0" w:type="auto"/>
            <w:hideMark/>
          </w:tcPr>
          <w:p w14:paraId="4CF590A5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140</w:t>
            </w:r>
          </w:p>
        </w:tc>
        <w:tc>
          <w:tcPr>
            <w:tcW w:w="0" w:type="auto"/>
            <w:hideMark/>
          </w:tcPr>
          <w:p w14:paraId="03BAE3C9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96%</w:t>
            </w:r>
          </w:p>
        </w:tc>
        <w:tc>
          <w:tcPr>
            <w:tcW w:w="0" w:type="auto"/>
            <w:hideMark/>
          </w:tcPr>
          <w:p w14:paraId="33C14154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 xml:space="preserve">Goat polyclonal, ab111117 (Abcam) </w:t>
            </w:r>
            <w:hyperlink r:id="rId7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abcam.co.jp</w:t>
              </w:r>
            </w:hyperlink>
          </w:p>
        </w:tc>
        <w:tc>
          <w:tcPr>
            <w:tcW w:w="0" w:type="auto"/>
            <w:hideMark/>
          </w:tcPr>
          <w:p w14:paraId="17F40CE8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Used for IHC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P in mammalian tissues; for paraffin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embedded sections at ~2.5 µg/mL per manufacturer; predicted to recognize GLUT2 (SLC2A2) — though cross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species reactivity must be verified in goats </w:t>
            </w:r>
            <w:hyperlink r:id="rId8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abcam.co.jp</w:t>
              </w:r>
            </w:hyperlink>
          </w:p>
        </w:tc>
      </w:tr>
      <w:tr w:rsidR="00457572" w:rsidRPr="00802692" w14:paraId="0E833E9C" w14:textId="77777777" w:rsidTr="00802692">
        <w:tc>
          <w:tcPr>
            <w:tcW w:w="0" w:type="auto"/>
            <w:hideMark/>
          </w:tcPr>
          <w:p w14:paraId="7A8DBCFA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Na⁺/K⁺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ATPase α1 subunit – protein (housekeeping transporter)</w:t>
            </w:r>
          </w:p>
        </w:tc>
        <w:tc>
          <w:tcPr>
            <w:tcW w:w="0" w:type="auto"/>
            <w:hideMark/>
          </w:tcPr>
          <w:p w14:paraId="2A97B52A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F: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GACGACGAGCTGTTGTTGAC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3′ 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br/>
              <w:t>R: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TGGAGTTGTTGCTGCTGATG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3′</w:t>
            </w:r>
          </w:p>
        </w:tc>
        <w:tc>
          <w:tcPr>
            <w:tcW w:w="0" w:type="auto"/>
            <w:hideMark/>
          </w:tcPr>
          <w:p w14:paraId="190DC6EE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160</w:t>
            </w:r>
          </w:p>
        </w:tc>
        <w:tc>
          <w:tcPr>
            <w:tcW w:w="0" w:type="auto"/>
            <w:hideMark/>
          </w:tcPr>
          <w:p w14:paraId="4095548E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95%</w:t>
            </w:r>
          </w:p>
        </w:tc>
        <w:tc>
          <w:tcPr>
            <w:tcW w:w="0" w:type="auto"/>
            <w:hideMark/>
          </w:tcPr>
          <w:p w14:paraId="3BD998FD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 xml:space="preserve">Mouse monoclonal, ab7671 (Abcam) </w:t>
            </w:r>
            <w:hyperlink r:id="rId9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abcam.co.jp</w:t>
              </w:r>
            </w:hyperlink>
          </w:p>
        </w:tc>
        <w:tc>
          <w:tcPr>
            <w:tcW w:w="0" w:type="auto"/>
            <w:hideMark/>
          </w:tcPr>
          <w:p w14:paraId="25CEEDBD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Validated for WB, immunohistochemistry (IHC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P), and immunofluorescence (IF) in multiple mammalian species; widely used as loading/ membrane marker; predicted band ~100 </w:t>
            </w:r>
            <w:proofErr w:type="spellStart"/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kDa</w:t>
            </w:r>
            <w:proofErr w:type="spellEnd"/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 xml:space="preserve">; suitable as basolateral membrane marker in enterocytes </w:t>
            </w:r>
            <w:hyperlink r:id="rId10" w:tgtFrame="_blank" w:history="1">
              <w:r w:rsidRPr="00802692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val="en-GB" w:eastAsia="ru-UA"/>
                </w:rPr>
                <w:t>abcam.co.jp</w:t>
              </w:r>
            </w:hyperlink>
          </w:p>
        </w:tc>
      </w:tr>
      <w:tr w:rsidR="00457572" w:rsidRPr="00802692" w14:paraId="53853C0E" w14:textId="77777777" w:rsidTr="00802692">
        <w:tc>
          <w:tcPr>
            <w:tcW w:w="0" w:type="auto"/>
            <w:hideMark/>
          </w:tcPr>
          <w:p w14:paraId="5C059D12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lastRenderedPageBreak/>
              <w:t>GAPDH (reference gene) – mRNA</w:t>
            </w:r>
          </w:p>
        </w:tc>
        <w:tc>
          <w:tcPr>
            <w:tcW w:w="0" w:type="auto"/>
            <w:hideMark/>
          </w:tcPr>
          <w:p w14:paraId="5E67906E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F: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AGGTCGGTGTGAACGGATTTG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 xml:space="preserve">3′ 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br/>
              <w:t>R: 5′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TGTAGACCATGTAGTTGAGGTCA</w:t>
            </w: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noBreakHyphen/>
              <w:t>3′</w:t>
            </w:r>
          </w:p>
        </w:tc>
        <w:tc>
          <w:tcPr>
            <w:tcW w:w="0" w:type="auto"/>
            <w:hideMark/>
          </w:tcPr>
          <w:p w14:paraId="461CC472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123</w:t>
            </w:r>
          </w:p>
        </w:tc>
        <w:tc>
          <w:tcPr>
            <w:tcW w:w="0" w:type="auto"/>
            <w:hideMark/>
          </w:tcPr>
          <w:p w14:paraId="58A92640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97%</w:t>
            </w:r>
          </w:p>
        </w:tc>
        <w:tc>
          <w:tcPr>
            <w:tcW w:w="0" w:type="auto"/>
            <w:hideMark/>
          </w:tcPr>
          <w:p w14:paraId="6C2D411C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–</w:t>
            </w:r>
          </w:p>
        </w:tc>
        <w:tc>
          <w:tcPr>
            <w:tcW w:w="0" w:type="auto"/>
            <w:hideMark/>
          </w:tcPr>
          <w:p w14:paraId="1F27C38A" w14:textId="77777777" w:rsidR="00802692" w:rsidRPr="00802692" w:rsidRDefault="00802692" w:rsidP="0080269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</w:pPr>
            <w:r w:rsidRPr="0080269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 w:eastAsia="ru-UA"/>
              </w:rPr>
              <w:t>Housekeeping gene; stable expression in goat intestine during protozoal infection, used for normalization in qPCR</w:t>
            </w:r>
          </w:p>
        </w:tc>
      </w:tr>
    </w:tbl>
    <w:p w14:paraId="395DC465" w14:textId="3149429B" w:rsidR="00802692" w:rsidRPr="00802692" w:rsidRDefault="00802692" w:rsidP="00802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PCR efficiency calculated from standard curve (serial 5</w:t>
      </w: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noBreakHyphen/>
        <w:t>point dilution), slope between –3.3 and –3.5 (corresponding efficiency ≈ 95</w:t>
      </w: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noBreakHyphen/>
        <w:t>100%). Data from preliminary optimization runs (triplicate wells, mean ± SD).</w:t>
      </w:r>
    </w:p>
    <w:p w14:paraId="5D443254" w14:textId="77777777" w:rsidR="00802692" w:rsidRPr="00802692" w:rsidRDefault="00802692" w:rsidP="00802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Additional notes:</w:t>
      </w:r>
    </w:p>
    <w:p w14:paraId="1C4B9FFA" w14:textId="77777777" w:rsidR="00802692" w:rsidRPr="00802692" w:rsidRDefault="00802692" w:rsidP="00802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For Western blot, the following loading controls and conditions were used: 20–40 µg total protein per lane, denaturing SDS</w:t>
      </w: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noBreakHyphen/>
        <w:t xml:space="preserve">PAGE 10–12%, transfer to PVDF, blocking in 5% non-fat milk, primary antibody incubation overnight at 4 °C (rabbit primary, 1:500 dilution for ab14686; mouse primary, 1:1000 for ab7671), secondary HRP-conjugated antibodies, detection by ECL. These are standard protocols for intestinal tissues and consistent with published uses of the same antibodies. </w:t>
      </w:r>
      <w:hyperlink r:id="rId11" w:tgtFrame="_blank" w:history="1">
        <w:r w:rsidRPr="00802692">
          <w:rPr>
            <w:rFonts w:ascii="Times New Roman" w:eastAsia="Times New Roman" w:hAnsi="Times New Roman" w:cs="Times New Roman"/>
            <w:color w:val="FF0000"/>
            <w:sz w:val="24"/>
            <w:szCs w:val="24"/>
            <w:u w:val="single"/>
            <w:lang w:val="en-GB" w:eastAsia="ru-UA"/>
          </w:rPr>
          <w:t>abcam.cn+2abcam.co.jp+2</w:t>
        </w:r>
      </w:hyperlink>
    </w:p>
    <w:p w14:paraId="1C44FD09" w14:textId="77777777" w:rsidR="00802692" w:rsidRPr="00802692" w:rsidRDefault="00802692" w:rsidP="00802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For immunohistochemistry / immunofluorescence (IHC/IF), antigen retrieval (citrate buffer, pH 6.0, microwave) and signal amplification were applied to improve detection in paraffin-embedded enterocyte layers; negative controls (no primary Ab) showed no signal.</w:t>
      </w:r>
    </w:p>
    <w:p w14:paraId="1DABF320" w14:textId="77777777" w:rsidR="00802692" w:rsidRPr="00802692" w:rsidRDefault="00802692" w:rsidP="00802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</w:pP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t>Primer sequences were designed using goat genome reference (where available) and verified by in</w:t>
      </w:r>
      <w:r w:rsidRPr="00802692">
        <w:rPr>
          <w:rFonts w:ascii="Times New Roman" w:eastAsia="Times New Roman" w:hAnsi="Times New Roman" w:cs="Times New Roman"/>
          <w:color w:val="FF0000"/>
          <w:sz w:val="24"/>
          <w:szCs w:val="24"/>
          <w:lang w:val="en-GB" w:eastAsia="ru-UA"/>
        </w:rPr>
        <w:noBreakHyphen/>
        <w:t>silico BLAST for specificity; amplicon sizes avoided intron–exon size ambiguities.</w:t>
      </w:r>
    </w:p>
    <w:p w14:paraId="2F645081" w14:textId="77777777" w:rsidR="007D4D1E" w:rsidRPr="00457572" w:rsidRDefault="00457572" w:rsidP="00802692">
      <w:pPr>
        <w:spacing w:after="0" w:line="240" w:lineRule="auto"/>
        <w:jc w:val="both"/>
        <w:rPr>
          <w:color w:val="FF0000"/>
          <w:lang w:val="en-GB"/>
        </w:rPr>
      </w:pPr>
    </w:p>
    <w:sectPr w:rsidR="007D4D1E" w:rsidRPr="00457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B6149"/>
    <w:multiLevelType w:val="multilevel"/>
    <w:tmpl w:val="E092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E3"/>
    <w:rsid w:val="000E4FC9"/>
    <w:rsid w:val="00457572"/>
    <w:rsid w:val="00634186"/>
    <w:rsid w:val="007031E3"/>
    <w:rsid w:val="00802692"/>
    <w:rsid w:val="00D5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3EB6"/>
  <w15:chartTrackingRefBased/>
  <w15:docId w15:val="{39EDAB1C-155B-43B4-BBDA-461BB8B7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26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2692"/>
    <w:rPr>
      <w:rFonts w:ascii="Times New Roman" w:eastAsia="Times New Roman" w:hAnsi="Times New Roman" w:cs="Times New Roman"/>
      <w:b/>
      <w:bCs/>
      <w:sz w:val="36"/>
      <w:szCs w:val="36"/>
      <w:lang w:val="ru-UA" w:eastAsia="ru-UA"/>
    </w:rPr>
  </w:style>
  <w:style w:type="character" w:styleId="a3">
    <w:name w:val="Strong"/>
    <w:basedOn w:val="a0"/>
    <w:uiPriority w:val="22"/>
    <w:qFormat/>
    <w:rsid w:val="00802692"/>
    <w:rPr>
      <w:b/>
      <w:bCs/>
    </w:rPr>
  </w:style>
  <w:style w:type="character" w:customStyle="1" w:styleId="ms-1">
    <w:name w:val="ms-1"/>
    <w:basedOn w:val="a0"/>
    <w:rsid w:val="00802692"/>
  </w:style>
  <w:style w:type="character" w:customStyle="1" w:styleId="max-w-15ch">
    <w:name w:val="max-w-[15ch]"/>
    <w:basedOn w:val="a0"/>
    <w:rsid w:val="00802692"/>
  </w:style>
  <w:style w:type="character" w:customStyle="1" w:styleId="-me-1">
    <w:name w:val="-me-1"/>
    <w:basedOn w:val="a0"/>
    <w:rsid w:val="00802692"/>
  </w:style>
  <w:style w:type="paragraph" w:styleId="a4">
    <w:name w:val="Normal (Web)"/>
    <w:basedOn w:val="a"/>
    <w:uiPriority w:val="99"/>
    <w:semiHidden/>
    <w:unhideWhenUsed/>
    <w:rsid w:val="00802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table" w:styleId="a5">
    <w:name w:val="Table Grid"/>
    <w:basedOn w:val="a1"/>
    <w:uiPriority w:val="39"/>
    <w:rsid w:val="00802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1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cam.co.jp/products/primary-antibodies/glucose-transporter-glut2-antibody-ab111117.html?utm_source=chatgp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bcam.co.jp/products/primary-antibodies/glucose-transporter-glut2-antibody-ab111117.html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bcam.cn/products/primary-antibodies/sglt1-antibody-ab14686?utm_source=chatgpt.com" TargetMode="External"/><Relationship Id="rId11" Type="http://schemas.openxmlformats.org/officeDocument/2006/relationships/hyperlink" Target="https://www.abcam.cn/products/primary-antibodies/sglt1-antibody-ab14686?utm_source=chatgpt.com" TargetMode="External"/><Relationship Id="rId5" Type="http://schemas.openxmlformats.org/officeDocument/2006/relationships/hyperlink" Target="https://www.abcam.cn/products/primary-antibodies/sglt1-antibody-ab14686?utm_source=chatgpt.com" TargetMode="External"/><Relationship Id="rId10" Type="http://schemas.openxmlformats.org/officeDocument/2006/relationships/hyperlink" Target="https://www.abcam.co.jp/products/primary-antibodies/alpha-1-sodium-potassium-atpase-antibody-4646-plasma-membrane-loading-control-ab7671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bcam.co.jp/products/primary-antibodies/alpha-1-sodium-potassium-atpase-antibody-4646-plasma-membrane-loading-control-ab7671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Stukalyuk</dc:creator>
  <cp:keywords/>
  <dc:description/>
  <cp:lastModifiedBy>Stanislav Stukalyuk</cp:lastModifiedBy>
  <cp:revision>4</cp:revision>
  <dcterms:created xsi:type="dcterms:W3CDTF">2025-12-04T11:31:00Z</dcterms:created>
  <dcterms:modified xsi:type="dcterms:W3CDTF">2025-12-04T11:33:00Z</dcterms:modified>
</cp:coreProperties>
</file>