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388F0">
      <w:pPr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highlight w:val="none"/>
        </w:rPr>
      </w:pPr>
      <w:r>
        <w:rPr>
          <w:rFonts w:hint="eastAsia" w:ascii="Times New Roman" w:hAnsi="Times New Roman" w:cs="Times New Roman"/>
          <w:b/>
          <w:bCs/>
          <w:sz w:val="48"/>
          <w:szCs w:val="48"/>
          <w:highlight w:val="none"/>
        </w:rPr>
        <w:t>Supplementary material</w:t>
      </w:r>
    </w:p>
    <w:p w14:paraId="4FC6418C">
      <w:pPr>
        <w:spacing w:line="240" w:lineRule="auto"/>
        <w:jc w:val="left"/>
        <w:rPr>
          <w:rFonts w:ascii="Times New Roman" w:hAnsi="Times New Roman" w:cs="Times New Roman"/>
          <w:b/>
          <w:bCs/>
          <w:sz w:val="21"/>
          <w:szCs w:val="21"/>
          <w:highlight w:val="none"/>
        </w:rPr>
      </w:pPr>
    </w:p>
    <w:p w14:paraId="1C090BE4">
      <w:pPr>
        <w:spacing w:line="240" w:lineRule="auto"/>
        <w:jc w:val="left"/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1"/>
          <w:szCs w:val="21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1"/>
          <w:szCs w:val="21"/>
          <w:highlight w:val="none"/>
        </w:rPr>
        <w:t>1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The </w:t>
      </w:r>
      <w:r>
        <w:rPr>
          <w:rFonts w:hint="eastAsia" w:ascii="Times New Roman" w:hAnsi="Times New Roman" w:eastAsia="宋体" w:cs="Times New Roman"/>
          <w:sz w:val="21"/>
          <w:szCs w:val="21"/>
        </w:rPr>
        <w:t>16S rRNA sequence</w:t>
      </w:r>
      <w:r>
        <w:rPr>
          <w:rFonts w:hint="eastAsia" w:ascii="Times New Roman" w:hAnsi="Times New Roman"/>
          <w:color w:val="000000"/>
          <w:kern w:val="0"/>
          <w:sz w:val="24"/>
          <w:szCs w:val="22"/>
          <w:highlight w:val="none"/>
          <w:lang w:val="en-US" w:eastAsia="zh-CN"/>
        </w:rPr>
        <w:t xml:space="preserve"> of 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</w:rPr>
        <w:t>Streptococcus agalactiae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 strain ZSTU01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isolated from diseased 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>Acrossocheilus fasciatus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6642"/>
      </w:tblGrid>
      <w:tr w14:paraId="3C5E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vAlign w:val="center"/>
          </w:tcPr>
          <w:p w14:paraId="0D3AA9B0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Bacteria</w:t>
            </w:r>
          </w:p>
        </w:tc>
        <w:tc>
          <w:tcPr>
            <w:tcW w:w="6642" w:type="dxa"/>
            <w:vAlign w:val="center"/>
          </w:tcPr>
          <w:p w14:paraId="1B454D6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Sequence</w:t>
            </w:r>
          </w:p>
        </w:tc>
      </w:tr>
      <w:tr w14:paraId="56FCC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8" w:hRule="atLeast"/>
        </w:trPr>
        <w:tc>
          <w:tcPr>
            <w:tcW w:w="1880" w:type="dxa"/>
            <w:vAlign w:val="center"/>
          </w:tcPr>
          <w:p w14:paraId="71EF45A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</w:rPr>
              <w:t>Streptococcus agalactiae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ZSTU01</w:t>
            </w:r>
          </w:p>
        </w:tc>
        <w:tc>
          <w:tcPr>
            <w:tcW w:w="6642" w:type="dxa"/>
            <w:vAlign w:val="center"/>
          </w:tcPr>
          <w:p w14:paraId="620F28AB"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TAGGCGGCTGGCTCCTAATAGGTTACCTCACCGACTTCGGGTGTTACAAACTCTCGTGGTGTGACGGGCGGTGTGTACAAGGCCCGGGAACGTATTCACCGCGGCGTGCTGATCCGCGATTACTAGCGATTCCGACTTCATGTAGGCGAGTTGCAGCCTACAATCCGAACTGAGATTGGCTTTAAGAGATTAGCTTGCCGTCACCGGCTTGCGACTCGTTGTACCAACCATTGTAGCACGTGTGTAGCCCAGGTCATAAGGGGCATGATGATTTGACGTCATCCCCACCTTCCTCCGGTTTATTACCGGCAGTCTCGCTAGAGTGCCCAACTTAATGATGGCAACTAACAATAGGGGTTGCGCTCGTTGCGGGACTTAACCCAACATCTCACGACACGAGCTGACGACAACCATGCACCACCTGTCACTCCTGCCCCGAAGGGAAAGCCTATCTCTAGACCGGTCAGGAGGATGTCAAGACCTGGTAAGGTTCTTCGCGTTGCTTCGAATTAAACCACATGCTCCACCGCTTGTGCGGGCCCCCGTCAATTCCTTTGAGTTTCAACCTTGCGGTCGTACTCCCCAGGCGGAGTGCTTAATGCGTTAGCTCCGGCACTAAGCCCCGGAAAGGGCCTAACACCTAGCACTCATCGTTTACGGCGTGGACTACCAGGGTATCTAATCCTGTTTGCTCCCCACGCTTTCGAGCCTCAGCGTCAGTTACAGACCAGAGAGCCGCTTTCGCCACCGGTGTTCCTCCATATATCTACGCATTTCACCGCTACACATGGAATTCCACTCTCCCCTTCTGCACTCAAGTTCTCCAGTTTCCAAAGCGTACAATGGTTGAGCCACTGCCTTTAACTTCAGACTTAAAGAACCGCCTGCGCTCGCTTTACGCCCAATAAATCCGGACAACGCTCGGGACCTACGTATTACCGCGGCTGCTGGCACGTAGTTAGCCGTCCCTTTCTGGTTAGTTACCGTCACATGGTGGATTTTCCACTCCCACCATCATTCTTCTCTAACAACAGAGCTTTACGATCCGAAAACCTTCTTCACTCACGCGGCGTTGCTCGGTCAGACTTCCGTCCATTGCCGAAGATTCCCTACTGCTGCCTCCCGTAGGAGTCTGGGCCGTGTCTCAGTCCCAGTGTGGCCGATCACCCTCTCAGGTCGGCTATGTATCGTCGCCTTGGTGAGCCGTTACCTCACCAACTAGCTAATACAACGCAGGTCCATCTCATAGTGATGCAATTGCACCTTTTAAATGAAAGACATGAGTCCTCCATTGTCATGCGGTATTAGCTATCGTTTCCAATAGTTATCCCCCGCTATGAGGTAGGTTACCTACGCGTTACTCACCCGTTCGCAACTCCTTGGACCGGTGCAAGCACCAGTCCTCAGCGTTCTACTTGCAGT</w:t>
            </w:r>
          </w:p>
        </w:tc>
      </w:tr>
    </w:tbl>
    <w:p w14:paraId="25144A10">
      <w:pPr>
        <w:spacing w:line="240" w:lineRule="auto"/>
        <w:jc w:val="center"/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</w:pPr>
    </w:p>
    <w:p w14:paraId="640D56A6">
      <w:pPr>
        <w:spacing w:line="240" w:lineRule="auto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50D3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240" w:lineRule="exact"/>
        <w:jc w:val="center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S2.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>The calculation formulas of growth-related and nutrient utilization indexes.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1"/>
        <w:gridCol w:w="5902"/>
      </w:tblGrid>
      <w:tr w14:paraId="3BCC2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E02A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Index</w:t>
            </w:r>
          </w:p>
        </w:tc>
        <w:tc>
          <w:tcPr>
            <w:tcW w:w="590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4A81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Formula</w:t>
            </w:r>
          </w:p>
        </w:tc>
      </w:tr>
      <w:tr w14:paraId="6CFD0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5C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 xml:space="preserve">Survival 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 xml:space="preserve">rate 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>(%)</w:t>
            </w:r>
          </w:p>
        </w:tc>
        <w:tc>
          <w:tcPr>
            <w:tcW w:w="590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44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>100 × (final number of fish / initial number of fish)</w:t>
            </w:r>
          </w:p>
        </w:tc>
      </w:tr>
      <w:tr w14:paraId="12D9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BC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>Weight gain rate (WGR, %)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4A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>100 × [final weight(g)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  <w:lang w:val="en-US" w:eastAsia="zh-CN"/>
              </w:rPr>
              <w:t>-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 xml:space="preserve"> initial weight(g)]/ initial weight(g)</w:t>
            </w:r>
          </w:p>
        </w:tc>
      </w:tr>
      <w:tr w14:paraId="092C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19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>Specific growth rate (SGR, %/day)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EA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>[</w:t>
            </w:r>
            <w:r>
              <w:rPr>
                <w:rFonts w:ascii="Times New Roman" w:hAnsi="Times New Roman"/>
                <w:b w:val="0"/>
                <w:i/>
                <w:iCs/>
                <w:color w:val="000000"/>
                <w:kern w:val="0"/>
                <w:sz w:val="21"/>
                <w:szCs w:val="20"/>
                <w:highlight w:val="none"/>
              </w:rPr>
              <w:t>ln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 xml:space="preserve"> final weight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>(g)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  <w:lang w:val="en-US" w:eastAsia="zh-CN"/>
              </w:rPr>
              <w:t xml:space="preserve">- </w:t>
            </w:r>
            <w:r>
              <w:rPr>
                <w:rFonts w:ascii="Times New Roman" w:hAnsi="Times New Roman"/>
                <w:b w:val="0"/>
                <w:i/>
                <w:iCs/>
                <w:color w:val="000000"/>
                <w:kern w:val="0"/>
                <w:sz w:val="21"/>
                <w:szCs w:val="20"/>
                <w:highlight w:val="none"/>
              </w:rPr>
              <w:t>ln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 xml:space="preserve"> initial weight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>(g)] × 100/days</w:t>
            </w:r>
          </w:p>
        </w:tc>
      </w:tr>
      <w:tr w14:paraId="392E4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F5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 xml:space="preserve">Feed 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  <w:lang w:val="en-US" w:eastAsia="zh-CN"/>
              </w:rPr>
              <w:t>c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 xml:space="preserve">onversion 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  <w:lang w:val="en-US" w:eastAsia="zh-CN"/>
              </w:rPr>
              <w:t>r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>atio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  <w:lang w:val="en-US" w:eastAsia="zh-CN"/>
              </w:rPr>
              <w:t xml:space="preserve"> (FCR, %)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9B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  <w:lang w:val="en-US" w:eastAsia="zh-CN"/>
              </w:rPr>
              <w:t>total feed intake in dry basis (g)/weight gain (g)</w:t>
            </w:r>
          </w:p>
        </w:tc>
      </w:tr>
      <w:tr w14:paraId="77AC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3F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>Hepatosomatic index (HSI, %)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B7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 xml:space="preserve">100 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>×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 xml:space="preserve"> (liver weight/whole body weight)</w:t>
            </w:r>
          </w:p>
        </w:tc>
      </w:tr>
      <w:tr w14:paraId="5E5A9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E5F0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>Condition factor (CF, g/cm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  <w:vertAlign w:val="superscript"/>
              </w:rPr>
              <w:t>3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18"/>
                <w:szCs w:val="16"/>
                <w:highlight w:val="none"/>
              </w:rPr>
              <w:t>)</w:t>
            </w:r>
          </w:p>
        </w:tc>
        <w:tc>
          <w:tcPr>
            <w:tcW w:w="590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F426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 xml:space="preserve">100 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>×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</w:rPr>
              <w:t xml:space="preserve"> body wet weight (g)/body length (cm)</w:t>
            </w:r>
            <w:r>
              <w:rPr>
                <w:rFonts w:hint="eastAsia" w:ascii="Times New Roman" w:hAnsi="Times New Roman"/>
                <w:b w:val="0"/>
                <w:color w:val="000000"/>
                <w:kern w:val="0"/>
                <w:sz w:val="21"/>
                <w:szCs w:val="20"/>
                <w:highlight w:val="none"/>
                <w:vertAlign w:val="superscript"/>
                <w:lang w:val="en-US" w:eastAsia="zh-CN"/>
              </w:rPr>
              <w:t>3</w:t>
            </w:r>
          </w:p>
        </w:tc>
      </w:tr>
    </w:tbl>
    <w:p w14:paraId="0F54AF21">
      <w:pPr>
        <w:rPr>
          <w:rFonts w:hint="default" w:ascii="Times New Roman" w:hAnsi="Times New Roman" w:cs="Times New Roman"/>
        </w:rPr>
      </w:pPr>
    </w:p>
    <w:p w14:paraId="465C09B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48939B">
      <w:pPr>
        <w:spacing w:line="360" w:lineRule="auto"/>
        <w:jc w:val="center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S3.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 w:val="21"/>
          <w:szCs w:val="21"/>
        </w:rPr>
        <w:t>Box-Behnken experimental investigation of the ratio of compound herbal extracts.</w:t>
      </w:r>
    </w:p>
    <w:tbl>
      <w:tblPr>
        <w:tblStyle w:val="3"/>
        <w:tblW w:w="484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232"/>
        <w:gridCol w:w="1497"/>
        <w:gridCol w:w="1230"/>
        <w:gridCol w:w="1498"/>
        <w:gridCol w:w="1835"/>
      </w:tblGrid>
      <w:tr w14:paraId="17677C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3DC99B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Tests</w:t>
            </w:r>
          </w:p>
        </w:tc>
        <w:tc>
          <w:tcPr>
            <w:tcW w:w="74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0CD64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Caesalpinia sappan</w:t>
            </w:r>
          </w:p>
        </w:tc>
        <w:tc>
          <w:tcPr>
            <w:tcW w:w="90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081501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Schisandra chinensis</w:t>
            </w:r>
          </w:p>
        </w:tc>
        <w:tc>
          <w:tcPr>
            <w:tcW w:w="74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F22A7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Prunus mume</w:t>
            </w:r>
          </w:p>
        </w:tc>
        <w:tc>
          <w:tcPr>
            <w:tcW w:w="90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B4332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 xml:space="preserve">Syzygium aromaticum </w:t>
            </w:r>
          </w:p>
        </w:tc>
        <w:tc>
          <w:tcPr>
            <w:tcW w:w="111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F84EE0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inhibition zone (mm)</w:t>
            </w:r>
          </w:p>
        </w:tc>
      </w:tr>
      <w:tr w14:paraId="27ECFF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  <w:tcBorders>
              <w:top w:val="single" w:color="auto" w:sz="4" w:space="0"/>
            </w:tcBorders>
          </w:tcPr>
          <w:p w14:paraId="70691E99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</w:tcBorders>
            <w:vAlign w:val="center"/>
          </w:tcPr>
          <w:p w14:paraId="1F164808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tcBorders>
              <w:top w:val="single" w:color="auto" w:sz="4" w:space="0"/>
            </w:tcBorders>
            <w:vAlign w:val="center"/>
          </w:tcPr>
          <w:p w14:paraId="42F57D54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</w:tcBorders>
            <w:vAlign w:val="center"/>
          </w:tcPr>
          <w:p w14:paraId="7109C650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tcBorders>
              <w:top w:val="single" w:color="auto" w:sz="4" w:space="0"/>
            </w:tcBorders>
            <w:vAlign w:val="center"/>
          </w:tcPr>
          <w:p w14:paraId="1C55BF89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35" w:type="dxa"/>
            <w:tcBorders>
              <w:top w:val="single" w:color="auto" w:sz="4" w:space="0"/>
            </w:tcBorders>
            <w:vAlign w:val="center"/>
          </w:tcPr>
          <w:p w14:paraId="0240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</w:t>
            </w:r>
          </w:p>
        </w:tc>
      </w:tr>
      <w:tr w14:paraId="3AF736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6850DE80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30" w:type="dxa"/>
            <w:vAlign w:val="center"/>
          </w:tcPr>
          <w:p w14:paraId="284F350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7" w:type="dxa"/>
            <w:vAlign w:val="center"/>
          </w:tcPr>
          <w:p w14:paraId="61373CA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579D6AD4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8" w:type="dxa"/>
            <w:vAlign w:val="center"/>
          </w:tcPr>
          <w:p w14:paraId="19E913D0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049C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</w:t>
            </w:r>
          </w:p>
        </w:tc>
      </w:tr>
      <w:tr w14:paraId="16651D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3C3893AB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30" w:type="dxa"/>
            <w:vAlign w:val="center"/>
          </w:tcPr>
          <w:p w14:paraId="23E6D76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7" w:type="dxa"/>
            <w:vAlign w:val="center"/>
          </w:tcPr>
          <w:p w14:paraId="66ADAF55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42EFD285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5C7F14BC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35" w:type="dxa"/>
            <w:vAlign w:val="center"/>
          </w:tcPr>
          <w:p w14:paraId="4884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27.5</w:t>
            </w:r>
          </w:p>
        </w:tc>
      </w:tr>
      <w:tr w14:paraId="6A2098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1E31DA1C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30" w:type="dxa"/>
            <w:vAlign w:val="center"/>
          </w:tcPr>
          <w:p w14:paraId="0A77415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7" w:type="dxa"/>
            <w:vAlign w:val="center"/>
          </w:tcPr>
          <w:p w14:paraId="7F434785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60B95F3B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8" w:type="dxa"/>
            <w:vAlign w:val="center"/>
          </w:tcPr>
          <w:p w14:paraId="21A0248C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57D7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25.3</w:t>
            </w:r>
          </w:p>
        </w:tc>
      </w:tr>
      <w:tr w14:paraId="188910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246F018B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30" w:type="dxa"/>
            <w:vAlign w:val="center"/>
          </w:tcPr>
          <w:p w14:paraId="0F857CB4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5CF9A635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1DF295C5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3F7DE2E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3C88F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</w:t>
            </w:r>
          </w:p>
        </w:tc>
      </w:tr>
      <w:tr w14:paraId="25ED36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39475AE0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30" w:type="dxa"/>
            <w:vAlign w:val="center"/>
          </w:tcPr>
          <w:p w14:paraId="68044EC0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7" w:type="dxa"/>
            <w:vAlign w:val="center"/>
          </w:tcPr>
          <w:p w14:paraId="16CCC1C9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 w14:paraId="7ABF567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44EA491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1F34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</w:t>
            </w:r>
          </w:p>
        </w:tc>
      </w:tr>
      <w:tr w14:paraId="0938EF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19F27623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230" w:type="dxa"/>
            <w:vAlign w:val="center"/>
          </w:tcPr>
          <w:p w14:paraId="7860B33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7" w:type="dxa"/>
            <w:vAlign w:val="center"/>
          </w:tcPr>
          <w:p w14:paraId="0F36F45B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30" w:type="dxa"/>
            <w:vAlign w:val="center"/>
          </w:tcPr>
          <w:p w14:paraId="56509B4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5D3706DA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63C8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26.6</w:t>
            </w:r>
          </w:p>
        </w:tc>
      </w:tr>
      <w:tr w14:paraId="3089E2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643B879B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30" w:type="dxa"/>
            <w:vAlign w:val="center"/>
          </w:tcPr>
          <w:p w14:paraId="677C8230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7306FA0F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 w14:paraId="085068CE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18572E9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35" w:type="dxa"/>
            <w:vAlign w:val="center"/>
          </w:tcPr>
          <w:p w14:paraId="171A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24.3</w:t>
            </w:r>
          </w:p>
        </w:tc>
      </w:tr>
      <w:tr w14:paraId="78CCAA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10589A7C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30" w:type="dxa"/>
            <w:vAlign w:val="center"/>
          </w:tcPr>
          <w:p w14:paraId="6817633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2C5316A9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2BC680F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770D968F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15DA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</w:tr>
      <w:tr w14:paraId="3F7FDA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25BC16B8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30" w:type="dxa"/>
            <w:vAlign w:val="center"/>
          </w:tcPr>
          <w:p w14:paraId="28A39689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7E4AADDA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595ED32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8" w:type="dxa"/>
            <w:vAlign w:val="center"/>
          </w:tcPr>
          <w:p w14:paraId="4D000338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35" w:type="dxa"/>
            <w:vAlign w:val="center"/>
          </w:tcPr>
          <w:p w14:paraId="1A01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23.6</w:t>
            </w:r>
          </w:p>
        </w:tc>
      </w:tr>
      <w:tr w14:paraId="2FCA95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3BA91524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30" w:type="dxa"/>
            <w:vAlign w:val="center"/>
          </w:tcPr>
          <w:p w14:paraId="154AF9CD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58052782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22F243F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535F8114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715F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</w:tr>
      <w:tr w14:paraId="755270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6D8CB2B6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30" w:type="dxa"/>
            <w:vAlign w:val="center"/>
          </w:tcPr>
          <w:p w14:paraId="0B3BE41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38CABDD5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7B1931C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8" w:type="dxa"/>
            <w:vAlign w:val="center"/>
          </w:tcPr>
          <w:p w14:paraId="2179D64E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35" w:type="dxa"/>
            <w:vAlign w:val="center"/>
          </w:tcPr>
          <w:p w14:paraId="1BEC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24.6</w:t>
            </w:r>
          </w:p>
        </w:tc>
      </w:tr>
      <w:tr w14:paraId="2B2C22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13672D94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30" w:type="dxa"/>
            <w:vAlign w:val="center"/>
          </w:tcPr>
          <w:p w14:paraId="601E3385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7" w:type="dxa"/>
            <w:vAlign w:val="center"/>
          </w:tcPr>
          <w:p w14:paraId="1A67123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30" w:type="dxa"/>
            <w:vAlign w:val="center"/>
          </w:tcPr>
          <w:p w14:paraId="66CCC13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4F299B7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349A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</w:t>
            </w:r>
          </w:p>
        </w:tc>
      </w:tr>
      <w:tr w14:paraId="1B2F15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12DEFEAD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30" w:type="dxa"/>
            <w:vAlign w:val="center"/>
          </w:tcPr>
          <w:p w14:paraId="62145608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04D1C4AB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 w14:paraId="3579E7B0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04900338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35" w:type="dxa"/>
            <w:vAlign w:val="center"/>
          </w:tcPr>
          <w:p w14:paraId="3F3B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</w:tr>
      <w:tr w14:paraId="119C2D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4975D6ED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30" w:type="dxa"/>
            <w:vAlign w:val="center"/>
          </w:tcPr>
          <w:p w14:paraId="4BFE52E9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2E8D6E8A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292D6E1D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8" w:type="dxa"/>
            <w:vAlign w:val="center"/>
          </w:tcPr>
          <w:p w14:paraId="22177E15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35" w:type="dxa"/>
            <w:vAlign w:val="center"/>
          </w:tcPr>
          <w:p w14:paraId="79B5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</w:t>
            </w:r>
          </w:p>
        </w:tc>
      </w:tr>
      <w:tr w14:paraId="761B5E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719591C2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30" w:type="dxa"/>
            <w:vAlign w:val="center"/>
          </w:tcPr>
          <w:p w14:paraId="6503B219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714C00A0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2C193822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3C48009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39A3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</w:tr>
      <w:tr w14:paraId="599ACB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36398276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30" w:type="dxa"/>
            <w:vAlign w:val="center"/>
          </w:tcPr>
          <w:p w14:paraId="0E3AFA50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7" w:type="dxa"/>
            <w:vAlign w:val="center"/>
          </w:tcPr>
          <w:p w14:paraId="01808166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6F20D740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8" w:type="dxa"/>
            <w:vAlign w:val="center"/>
          </w:tcPr>
          <w:p w14:paraId="1CA2FAE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3821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24.7</w:t>
            </w:r>
          </w:p>
        </w:tc>
      </w:tr>
      <w:tr w14:paraId="305E4D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5219A0FF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30" w:type="dxa"/>
            <w:vAlign w:val="center"/>
          </w:tcPr>
          <w:p w14:paraId="5E3DC6F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18492E49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 w14:paraId="4FF9904E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8" w:type="dxa"/>
            <w:vAlign w:val="center"/>
          </w:tcPr>
          <w:p w14:paraId="5E5E1C6D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7A49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24.3</w:t>
            </w:r>
          </w:p>
        </w:tc>
      </w:tr>
      <w:tr w14:paraId="521933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76D3B072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30" w:type="dxa"/>
            <w:vAlign w:val="center"/>
          </w:tcPr>
          <w:p w14:paraId="4143783B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7" w:type="dxa"/>
            <w:vAlign w:val="center"/>
          </w:tcPr>
          <w:p w14:paraId="58A1E38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379E7510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6B8A1E8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35" w:type="dxa"/>
            <w:vAlign w:val="center"/>
          </w:tcPr>
          <w:p w14:paraId="284B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</w:tr>
      <w:tr w14:paraId="405A67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2B07B3B0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30" w:type="dxa"/>
            <w:vAlign w:val="center"/>
          </w:tcPr>
          <w:p w14:paraId="7B068CA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7" w:type="dxa"/>
            <w:vAlign w:val="center"/>
          </w:tcPr>
          <w:p w14:paraId="350B8FF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06004664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8" w:type="dxa"/>
            <w:vAlign w:val="center"/>
          </w:tcPr>
          <w:p w14:paraId="65D74598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5CC6A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26.3</w:t>
            </w:r>
          </w:p>
        </w:tc>
      </w:tr>
      <w:tr w14:paraId="1F7451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746CBC0E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30" w:type="dxa"/>
            <w:vAlign w:val="center"/>
          </w:tcPr>
          <w:p w14:paraId="24D50705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7FA4BC66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30" w:type="dxa"/>
            <w:vAlign w:val="center"/>
          </w:tcPr>
          <w:p w14:paraId="661767A4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8" w:type="dxa"/>
            <w:vAlign w:val="center"/>
          </w:tcPr>
          <w:p w14:paraId="423AAFC2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3AB6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</w:tr>
      <w:tr w14:paraId="1718F8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2EBE58EF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30" w:type="dxa"/>
            <w:vAlign w:val="center"/>
          </w:tcPr>
          <w:p w14:paraId="5C77FDDE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007CC754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30" w:type="dxa"/>
            <w:vAlign w:val="center"/>
          </w:tcPr>
          <w:p w14:paraId="412DCDCF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8" w:type="dxa"/>
            <w:vAlign w:val="center"/>
          </w:tcPr>
          <w:p w14:paraId="15C6B0F1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1DF5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</w:t>
            </w:r>
          </w:p>
        </w:tc>
      </w:tr>
      <w:tr w14:paraId="6926A2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7D954FA7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30" w:type="dxa"/>
            <w:vAlign w:val="center"/>
          </w:tcPr>
          <w:p w14:paraId="48B8F3DD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7" w:type="dxa"/>
            <w:vAlign w:val="center"/>
          </w:tcPr>
          <w:p w14:paraId="7E7E113F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56494FCE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3DF9C50A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35" w:type="dxa"/>
            <w:vAlign w:val="center"/>
          </w:tcPr>
          <w:p w14:paraId="1F0D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</w:tr>
      <w:tr w14:paraId="087A13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77DA3FCD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30" w:type="dxa"/>
            <w:vAlign w:val="center"/>
          </w:tcPr>
          <w:p w14:paraId="687B0B5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05F5B4B3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6885DDF7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98" w:type="dxa"/>
            <w:vAlign w:val="center"/>
          </w:tcPr>
          <w:p w14:paraId="35D560C9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35" w:type="dxa"/>
            <w:vAlign w:val="center"/>
          </w:tcPr>
          <w:p w14:paraId="7691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25.6</w:t>
            </w:r>
          </w:p>
        </w:tc>
      </w:tr>
      <w:tr w14:paraId="33BA1A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8" w:type="pct"/>
          </w:tcPr>
          <w:p w14:paraId="20989DFB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30" w:type="dxa"/>
            <w:vAlign w:val="center"/>
          </w:tcPr>
          <w:p w14:paraId="2385A12A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7" w:type="dxa"/>
            <w:vAlign w:val="center"/>
          </w:tcPr>
          <w:p w14:paraId="1F24C7D0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6FF4F499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8" w:type="dxa"/>
            <w:vAlign w:val="center"/>
          </w:tcPr>
          <w:p w14:paraId="278F3E3F">
            <w:pPr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35" w:type="dxa"/>
            <w:vAlign w:val="center"/>
          </w:tcPr>
          <w:p w14:paraId="5BCC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</w:t>
            </w:r>
          </w:p>
        </w:tc>
      </w:tr>
    </w:tbl>
    <w:p w14:paraId="5EC551EF"/>
    <w:p w14:paraId="00616078">
      <w:pPr>
        <w:spacing w:line="240" w:lineRule="auto"/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ZDQwOTA1MzgxYzk1MzFkYjY4ZDhiMGJkNzJlYjcifQ=="/>
  </w:docVars>
  <w:rsids>
    <w:rsidRoot w:val="00000000"/>
    <w:rsid w:val="012971E7"/>
    <w:rsid w:val="03376432"/>
    <w:rsid w:val="119C62D5"/>
    <w:rsid w:val="150C7AA8"/>
    <w:rsid w:val="1C9C202B"/>
    <w:rsid w:val="202E516E"/>
    <w:rsid w:val="35E218DD"/>
    <w:rsid w:val="35EC0B21"/>
    <w:rsid w:val="3D651FA7"/>
    <w:rsid w:val="46754496"/>
    <w:rsid w:val="47FA2619"/>
    <w:rsid w:val="4A336E9D"/>
    <w:rsid w:val="4E6B7460"/>
    <w:rsid w:val="4FCA2524"/>
    <w:rsid w:val="562E264A"/>
    <w:rsid w:val="57433B84"/>
    <w:rsid w:val="60806E7C"/>
    <w:rsid w:val="67354F5B"/>
    <w:rsid w:val="6E7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289</Words>
  <Characters>2463</Characters>
  <Lines>0</Lines>
  <Paragraphs>0</Paragraphs>
  <TotalTime>0</TotalTime>
  <ScaleCrop>false</ScaleCrop>
  <LinksUpToDate>false</LinksUpToDate>
  <CharactersWithSpaces>2577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2023-09-22T08:28:00Z</dcterms:created>
  <dc:creator>10431.DESKTOP-FPV500R</dc:creator>
  <cp:lastModifiedBy>费辉</cp:lastModifiedBy>
  <dcterms:modified xsi:type="dcterms:W3CDTF">2025-12-13T07:15:28Z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0095D439515D4CCFB3BAE5CA07EAE598_13</vt:lpwstr>
  </property>
  <property fmtid="{D5CDD505-2E9C-101B-9397-08002B2CF9AE}" pid="4" name="KSOTemplateDocerSaveRecord">
    <vt:lpwstr>eyJoZGlkIjoiNjE3ODJmOGQ0Zjg4ODcwMGRiZjhjOTBhOWQ3NmM5ZGIiLCJ1c2VySWQiOiIyNDk4NDcwNDYifQ==</vt:lpwstr>
  </property>
</Properties>
</file>