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7430">
      <w:pPr>
        <w:pStyle w:val="2"/>
        <w:keepNext w:val="0"/>
        <w:keepLines w:val="0"/>
        <w:widowControl/>
        <w:suppressLineNumbers w:val="0"/>
        <w:shd w:val="clear" w:fill="FFFFFF"/>
        <w:spacing w:after="240" w:afterAutospacing="0"/>
        <w:ind w:lef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222"/>
          <w:spacing w:val="2"/>
          <w:sz w:val="40"/>
          <w:szCs w:val="40"/>
          <w:shd w:val="clear" w:fill="FFFFFF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222"/>
          <w:spacing w:val="2"/>
          <w:sz w:val="40"/>
          <w:szCs w:val="40"/>
          <w:shd w:val="clear" w:fill="FFFFFF"/>
        </w:rPr>
        <w:t>Supplementary material</w:t>
      </w:r>
    </w:p>
    <w:p w14:paraId="71D50ABB">
      <w:pPr>
        <w:numPr>
          <w:ilvl w:val="0"/>
          <w:numId w:val="0"/>
        </w:numPr>
        <w:spacing w:before="120" w:after="120" w:line="288" w:lineRule="auto"/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Table S1. Raw OD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vertAlign w:val="subscript"/>
          <w:lang w:val="en-US" w:eastAsia="zh-CN" w:bidi="ar-SA"/>
        </w:rPr>
        <w:t>450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 values from indirect ELISA for monitoring VP1-CDE-specific serum antibody responses in immunized cats.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564"/>
        <w:gridCol w:w="564"/>
        <w:gridCol w:w="564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</w:tblGrid>
      <w:tr w14:paraId="61A59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0" w:type="auto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FE11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immunizations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718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 A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7B0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cat B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915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Negative control</w:t>
            </w:r>
          </w:p>
        </w:tc>
      </w:tr>
      <w:tr w14:paraId="2C198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0" w:type="auto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969C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67E5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0.2125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8091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0.1861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386D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0.2141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6E0B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0.1707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2AE7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0.1986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13168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0.218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A09D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0.1574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26FE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0.1361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6C464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92EA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0.1056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9699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0.1025</w:t>
            </w:r>
          </w:p>
        </w:tc>
        <w:tc>
          <w:tcPr>
            <w:tcW w:w="5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4383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0.1048</w:t>
            </w:r>
          </w:p>
        </w:tc>
      </w:tr>
      <w:tr w14:paraId="41CBC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D8A7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47F4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3ABF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E16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0.2504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1CDD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1311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0.3018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2FA8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F201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F5821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0.2708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B361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4A0F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72C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C8FD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0.1084</w:t>
            </w:r>
          </w:p>
        </w:tc>
      </w:tr>
      <w:tr w14:paraId="611A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00CD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42C4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AE78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E00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0.5206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24C5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0.5444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AEE6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0.6678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E552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0.5583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62A9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D00B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0.5936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7A1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0.0976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6C55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0.1101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EEEF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B417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</w:tr>
      <w:tr w14:paraId="77BEB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B84A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0DD7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1.2056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D0B5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5103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FD4B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1.0593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43A3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7DA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1.3598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1BA41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1.2293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F150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1.2369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38B65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0.1188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8B90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72DD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0.1025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CAA9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0.1048</w:t>
            </w:r>
          </w:p>
        </w:tc>
      </w:tr>
      <w:tr w14:paraId="78623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7C68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AB0C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1.2605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2CF46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1.3171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AA3B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1.2138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EA12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1.2459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2DC4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1.4433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32DBA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1.4255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0C85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1.5771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974B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1.3933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CC90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0.1176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8D06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0.1201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00AA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0.1206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FD02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0.1179</w:t>
            </w:r>
          </w:p>
        </w:tc>
      </w:tr>
    </w:tbl>
    <w:p w14:paraId="4CA2B12C">
      <w:pPr>
        <w:numPr>
          <w:ilvl w:val="0"/>
          <w:numId w:val="0"/>
        </w:numPr>
        <w:spacing w:before="120" w:after="120" w:line="288" w:lineRule="auto"/>
      </w:pP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Serum samples were collected from two cats (Cat A and Cat B) prior to immunization (negative control) and 14 days after each of the five booster immunizations. Assays were performed at a fixed serum dilution of 1:16,000 using VP1-CDE as the coating antigen (100 ng/well).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26F23"/>
    <w:rsid w:val="25A4192B"/>
    <w:rsid w:val="37292890"/>
    <w:rsid w:val="66A17AC3"/>
    <w:rsid w:val="76F26F23"/>
    <w:rsid w:val="7D9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2041</Characters>
  <Lines>0</Lines>
  <Paragraphs>0</Paragraphs>
  <TotalTime>1</TotalTime>
  <ScaleCrop>false</ScaleCrop>
  <LinksUpToDate>false</LinksUpToDate>
  <CharactersWithSpaces>2326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2026-04-20T10:06:00Z</dcterms:created>
  <dc:creator>A@will魏</dc:creator>
  <cp:lastModifiedBy>A@will魏</cp:lastModifiedBy>
  <dcterms:modified xsi:type="dcterms:W3CDTF">2026-06-23T15:06:12Z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7294B63B77954115BFC309664661D725_13</vt:lpwstr>
  </property>
  <property fmtid="{D5CDD505-2E9C-101B-9397-08002B2CF9AE}" pid="4" name="KSOTemplateDocerSaveRecord">
    <vt:lpwstr>eyJoZGlkIjoiZTQ4Y2NjOTQ1OTViOGY2Yjk2ZGMyMzE1Y2Y0YzQzNDQiLCJ1c2VySWQiOiI0NzE3ODMwNDEifQ==</vt:lpwstr>
  </property>
</Properties>
</file>