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967C" w14:textId="5FCB4006" w:rsidR="0018054F" w:rsidRPr="0018054F" w:rsidRDefault="0018054F" w:rsidP="0018054F">
      <w:pPr>
        <w:spacing w:line="360" w:lineRule="auto"/>
        <w:rPr>
          <w:rFonts w:ascii="Aptos" w:hAnsi="Aptos"/>
          <w:sz w:val="24"/>
          <w:szCs w:val="24"/>
        </w:rPr>
      </w:pPr>
      <w:r w:rsidRPr="0018054F">
        <w:rPr>
          <w:rFonts w:ascii="Aptos" w:hAnsi="Aptos"/>
          <w:b/>
          <w:sz w:val="24"/>
          <w:szCs w:val="24"/>
        </w:rPr>
        <w:t xml:space="preserve">Supplementary </w:t>
      </w:r>
      <w:r w:rsidR="00A756BD">
        <w:rPr>
          <w:rFonts w:ascii="Aptos" w:hAnsi="Aptos"/>
          <w:b/>
          <w:sz w:val="24"/>
          <w:szCs w:val="24"/>
        </w:rPr>
        <w:t xml:space="preserve">File 1 </w:t>
      </w:r>
    </w:p>
    <w:p w14:paraId="53CCDB5A" w14:textId="602070EE" w:rsidR="0018054F" w:rsidRPr="0018054F" w:rsidRDefault="0018054F" w:rsidP="0018054F">
      <w:pPr>
        <w:spacing w:line="360" w:lineRule="auto"/>
        <w:rPr>
          <w:rFonts w:ascii="Aptos" w:hAnsi="Aptos"/>
          <w:sz w:val="24"/>
          <w:szCs w:val="24"/>
        </w:rPr>
      </w:pPr>
      <w:r w:rsidRPr="0018054F">
        <w:rPr>
          <w:rFonts w:ascii="Aptos" w:hAnsi="Aptos"/>
          <w:b/>
          <w:sz w:val="24"/>
          <w:szCs w:val="24"/>
        </w:rPr>
        <w:t>Supplementary Table 1</w:t>
      </w:r>
      <w:r w:rsidR="009651A8">
        <w:rPr>
          <w:rFonts w:ascii="Aptos" w:hAnsi="Aptos"/>
          <w:b/>
          <w:sz w:val="24"/>
          <w:szCs w:val="24"/>
        </w:rPr>
        <w:t>.1</w:t>
      </w:r>
      <w:r w:rsidRPr="0018054F">
        <w:rPr>
          <w:rFonts w:ascii="Aptos" w:hAnsi="Aptos"/>
          <w:b/>
          <w:sz w:val="24"/>
          <w:szCs w:val="24"/>
        </w:rPr>
        <w:t>. Multivariable Cox regression analysis of age and body weight as predictors of mortality among CPV-positive dogs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18054F" w:rsidRPr="0018054F" w14:paraId="0A33442D" w14:textId="77777777" w:rsidTr="009B6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507F065" w14:textId="77777777" w:rsidR="0018054F" w:rsidRPr="0018054F" w:rsidRDefault="0018054F" w:rsidP="0018054F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Variable</w:t>
            </w:r>
          </w:p>
        </w:tc>
        <w:tc>
          <w:tcPr>
            <w:tcW w:w="1440" w:type="dxa"/>
          </w:tcPr>
          <w:p w14:paraId="4C9E57B0" w14:textId="77777777" w:rsidR="0018054F" w:rsidRPr="0018054F" w:rsidRDefault="0018054F" w:rsidP="001805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B</w:t>
            </w:r>
          </w:p>
        </w:tc>
        <w:tc>
          <w:tcPr>
            <w:tcW w:w="1440" w:type="dxa"/>
          </w:tcPr>
          <w:p w14:paraId="7196E4A9" w14:textId="77777777" w:rsidR="0018054F" w:rsidRPr="0018054F" w:rsidRDefault="0018054F" w:rsidP="001805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SE</w:t>
            </w:r>
          </w:p>
        </w:tc>
        <w:tc>
          <w:tcPr>
            <w:tcW w:w="1440" w:type="dxa"/>
          </w:tcPr>
          <w:p w14:paraId="44CF0C8C" w14:textId="77777777" w:rsidR="0018054F" w:rsidRPr="0018054F" w:rsidRDefault="0018054F" w:rsidP="001805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Hazard Ratio (HR)</w:t>
            </w:r>
          </w:p>
        </w:tc>
        <w:tc>
          <w:tcPr>
            <w:tcW w:w="1440" w:type="dxa"/>
          </w:tcPr>
          <w:p w14:paraId="56213917" w14:textId="77777777" w:rsidR="0018054F" w:rsidRPr="0018054F" w:rsidRDefault="0018054F" w:rsidP="001805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95% CI</w:t>
            </w:r>
          </w:p>
        </w:tc>
        <w:tc>
          <w:tcPr>
            <w:tcW w:w="1440" w:type="dxa"/>
          </w:tcPr>
          <w:p w14:paraId="53980637" w14:textId="77777777" w:rsidR="0018054F" w:rsidRPr="0018054F" w:rsidRDefault="0018054F" w:rsidP="001805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p-value</w:t>
            </w:r>
          </w:p>
        </w:tc>
      </w:tr>
      <w:tr w:rsidR="0018054F" w:rsidRPr="0018054F" w14:paraId="20F8B0B2" w14:textId="77777777" w:rsidTr="009B6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BCB1DCE" w14:textId="77777777" w:rsidR="0018054F" w:rsidRPr="0018054F" w:rsidRDefault="0018054F" w:rsidP="0018054F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Age (per week increase)</w:t>
            </w:r>
          </w:p>
        </w:tc>
        <w:tc>
          <w:tcPr>
            <w:tcW w:w="1440" w:type="dxa"/>
          </w:tcPr>
          <w:p w14:paraId="6A434F29" w14:textId="432F2961" w:rsidR="0018054F" w:rsidRPr="0018054F" w:rsidRDefault="0018054F" w:rsidP="001805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-0.02</w:t>
            </w:r>
            <w:r w:rsidR="009A75FB">
              <w:rPr>
                <w:rFonts w:ascii="Aptos" w:hAnsi="Aptos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14:paraId="3340C451" w14:textId="6A9B6330" w:rsidR="0018054F" w:rsidRPr="0018054F" w:rsidRDefault="0018054F" w:rsidP="001805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0.02</w:t>
            </w:r>
            <w:r w:rsidR="009A75FB">
              <w:rPr>
                <w:rFonts w:ascii="Aptos" w:hAnsi="Aptos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14:paraId="56B82AE5" w14:textId="37DC2424" w:rsidR="0018054F" w:rsidRPr="0018054F" w:rsidRDefault="0018054F" w:rsidP="001805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0.97</w:t>
            </w:r>
            <w:r w:rsidR="009A75FB">
              <w:rPr>
                <w:rFonts w:ascii="Aptos" w:hAnsi="Aptos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72527A5D" w14:textId="560E25E5" w:rsidR="0018054F" w:rsidRPr="0018054F" w:rsidRDefault="0018054F" w:rsidP="001805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0.92</w:t>
            </w:r>
            <w:r w:rsidR="009A75FB">
              <w:rPr>
                <w:rFonts w:ascii="Aptos" w:hAnsi="Aptos"/>
                <w:sz w:val="24"/>
                <w:szCs w:val="24"/>
              </w:rPr>
              <w:t>6</w:t>
            </w:r>
            <w:r w:rsidRPr="0018054F">
              <w:rPr>
                <w:rFonts w:ascii="Aptos" w:hAnsi="Aptos"/>
                <w:sz w:val="24"/>
                <w:szCs w:val="24"/>
              </w:rPr>
              <w:t>–1.0</w:t>
            </w:r>
            <w:r w:rsidR="009A75FB">
              <w:rPr>
                <w:rFonts w:ascii="Aptos" w:hAnsi="Aptos"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 w14:paraId="612D468E" w14:textId="443B1A07" w:rsidR="0018054F" w:rsidRPr="0018054F" w:rsidRDefault="0018054F" w:rsidP="001805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</w:t>
            </w:r>
            <w:r w:rsidR="009A75FB">
              <w:rPr>
                <w:rFonts w:ascii="Aptos" w:hAnsi="Aptos"/>
                <w:sz w:val="24"/>
                <w:szCs w:val="24"/>
              </w:rPr>
              <w:t>317</w:t>
            </w:r>
          </w:p>
        </w:tc>
      </w:tr>
      <w:tr w:rsidR="0018054F" w:rsidRPr="0018054F" w14:paraId="23E75593" w14:textId="77777777" w:rsidTr="009B62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F9F60D8" w14:textId="77777777" w:rsidR="0018054F" w:rsidRPr="0018054F" w:rsidRDefault="0018054F" w:rsidP="0018054F">
            <w:pPr>
              <w:spacing w:line="360" w:lineRule="auto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Body weight (per kg increase)</w:t>
            </w:r>
          </w:p>
        </w:tc>
        <w:tc>
          <w:tcPr>
            <w:tcW w:w="1440" w:type="dxa"/>
          </w:tcPr>
          <w:p w14:paraId="205349EA" w14:textId="5606C2BC" w:rsidR="0018054F" w:rsidRPr="0018054F" w:rsidRDefault="0018054F" w:rsidP="001805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-0.1</w:t>
            </w:r>
            <w:r w:rsidR="009A75FB">
              <w:rPr>
                <w:rFonts w:ascii="Aptos" w:hAnsi="Aptos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14:paraId="36474AD5" w14:textId="7BE5EE41" w:rsidR="0018054F" w:rsidRPr="0018054F" w:rsidRDefault="0018054F" w:rsidP="001805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0.0</w:t>
            </w:r>
            <w:r w:rsidR="009A75FB">
              <w:rPr>
                <w:rFonts w:ascii="Aptos" w:hAnsi="Aptos"/>
                <w:sz w:val="24"/>
                <w:szCs w:val="24"/>
              </w:rPr>
              <w:t>58</w:t>
            </w:r>
          </w:p>
        </w:tc>
        <w:tc>
          <w:tcPr>
            <w:tcW w:w="1440" w:type="dxa"/>
          </w:tcPr>
          <w:p w14:paraId="680EA964" w14:textId="2EE2C265" w:rsidR="0018054F" w:rsidRPr="0018054F" w:rsidRDefault="0018054F" w:rsidP="001805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0.8</w:t>
            </w:r>
            <w:r w:rsidR="009A75FB">
              <w:rPr>
                <w:rFonts w:ascii="Aptos" w:hAnsi="Aptos"/>
                <w:sz w:val="24"/>
                <w:szCs w:val="24"/>
              </w:rPr>
              <w:t>95</w:t>
            </w:r>
          </w:p>
        </w:tc>
        <w:tc>
          <w:tcPr>
            <w:tcW w:w="1440" w:type="dxa"/>
          </w:tcPr>
          <w:p w14:paraId="15853D45" w14:textId="52DAD8F6" w:rsidR="0018054F" w:rsidRPr="0018054F" w:rsidRDefault="0018054F" w:rsidP="001805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0.7</w:t>
            </w:r>
            <w:r w:rsidR="009A75FB">
              <w:rPr>
                <w:rFonts w:ascii="Aptos" w:hAnsi="Aptos"/>
                <w:sz w:val="24"/>
                <w:szCs w:val="24"/>
              </w:rPr>
              <w:t>99</w:t>
            </w:r>
            <w:r w:rsidRPr="0018054F">
              <w:rPr>
                <w:rFonts w:ascii="Aptos" w:hAnsi="Aptos"/>
                <w:sz w:val="24"/>
                <w:szCs w:val="24"/>
              </w:rPr>
              <w:t>–</w:t>
            </w:r>
            <w:r w:rsidR="009A75FB">
              <w:rPr>
                <w:rFonts w:ascii="Aptos" w:hAnsi="Aptos"/>
                <w:sz w:val="24"/>
                <w:szCs w:val="24"/>
              </w:rPr>
              <w:t>1</w:t>
            </w:r>
            <w:r w:rsidRPr="0018054F">
              <w:rPr>
                <w:rFonts w:ascii="Aptos" w:hAnsi="Aptos"/>
                <w:sz w:val="24"/>
                <w:szCs w:val="24"/>
              </w:rPr>
              <w:t>.</w:t>
            </w:r>
            <w:r w:rsidR="009A75FB">
              <w:rPr>
                <w:rFonts w:ascii="Aptos" w:hAnsi="Aptos"/>
                <w:sz w:val="24"/>
                <w:szCs w:val="24"/>
              </w:rPr>
              <w:t>002</w:t>
            </w:r>
          </w:p>
        </w:tc>
        <w:tc>
          <w:tcPr>
            <w:tcW w:w="1440" w:type="dxa"/>
          </w:tcPr>
          <w:p w14:paraId="338C2EAC" w14:textId="218F7139" w:rsidR="0018054F" w:rsidRPr="0018054F" w:rsidRDefault="0018054F" w:rsidP="001805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18054F">
              <w:rPr>
                <w:rFonts w:ascii="Aptos" w:hAnsi="Aptos"/>
                <w:sz w:val="24"/>
                <w:szCs w:val="24"/>
              </w:rPr>
              <w:t>0.0</w:t>
            </w:r>
            <w:r w:rsidR="009A75FB">
              <w:rPr>
                <w:rFonts w:ascii="Aptos" w:hAnsi="Aptos"/>
                <w:sz w:val="24"/>
                <w:szCs w:val="24"/>
              </w:rPr>
              <w:t>53</w:t>
            </w:r>
          </w:p>
        </w:tc>
      </w:tr>
    </w:tbl>
    <w:p w14:paraId="7CCAC11D" w14:textId="76E550FD" w:rsidR="0018054F" w:rsidRPr="00A4704D" w:rsidRDefault="0018054F" w:rsidP="0018054F">
      <w:pPr>
        <w:spacing w:line="360" w:lineRule="auto"/>
        <w:rPr>
          <w:rFonts w:ascii="Aptos" w:hAnsi="Aptos"/>
          <w:sz w:val="20"/>
          <w:szCs w:val="20"/>
        </w:rPr>
      </w:pPr>
      <w:r w:rsidRPr="00A4704D">
        <w:rPr>
          <w:rFonts w:ascii="Aptos" w:hAnsi="Aptos"/>
          <w:sz w:val="20"/>
          <w:szCs w:val="20"/>
        </w:rPr>
        <w:t>Model statistics: -</w:t>
      </w:r>
      <w:r w:rsidR="009A75FB" w:rsidRPr="00A4704D">
        <w:rPr>
          <w:rFonts w:ascii="Aptos" w:hAnsi="Aptos"/>
          <w:sz w:val="20"/>
          <w:szCs w:val="20"/>
        </w:rPr>
        <w:t>Likelihood ratio</w:t>
      </w:r>
      <w:r w:rsidRPr="00A4704D">
        <w:rPr>
          <w:rFonts w:ascii="Aptos" w:hAnsi="Aptos"/>
          <w:sz w:val="20"/>
          <w:szCs w:val="20"/>
        </w:rPr>
        <w:t xml:space="preserve">: χ² = </w:t>
      </w:r>
      <w:r w:rsidR="009A75FB" w:rsidRPr="00A4704D">
        <w:rPr>
          <w:rFonts w:ascii="Aptos" w:hAnsi="Aptos"/>
          <w:sz w:val="20"/>
          <w:szCs w:val="20"/>
        </w:rPr>
        <w:t>9</w:t>
      </w:r>
      <w:r w:rsidRPr="00A4704D">
        <w:rPr>
          <w:rFonts w:ascii="Aptos" w:hAnsi="Aptos"/>
          <w:sz w:val="20"/>
          <w:szCs w:val="20"/>
        </w:rPr>
        <w:t>.</w:t>
      </w:r>
      <w:r w:rsidR="009A75FB" w:rsidRPr="00A4704D">
        <w:rPr>
          <w:rFonts w:ascii="Aptos" w:hAnsi="Aptos"/>
          <w:sz w:val="20"/>
          <w:szCs w:val="20"/>
        </w:rPr>
        <w:t>33</w:t>
      </w:r>
      <w:r w:rsidRPr="00A4704D">
        <w:rPr>
          <w:rFonts w:ascii="Aptos" w:hAnsi="Aptos"/>
          <w:sz w:val="20"/>
          <w:szCs w:val="20"/>
        </w:rPr>
        <w:t xml:space="preserve">, </w:t>
      </w:r>
      <w:proofErr w:type="spellStart"/>
      <w:r w:rsidRPr="00A4704D">
        <w:rPr>
          <w:rFonts w:ascii="Aptos" w:hAnsi="Aptos"/>
          <w:sz w:val="20"/>
          <w:szCs w:val="20"/>
        </w:rPr>
        <w:t>df</w:t>
      </w:r>
      <w:proofErr w:type="spellEnd"/>
      <w:r w:rsidRPr="00A4704D">
        <w:rPr>
          <w:rFonts w:ascii="Aptos" w:hAnsi="Aptos"/>
          <w:sz w:val="20"/>
          <w:szCs w:val="20"/>
        </w:rPr>
        <w:t xml:space="preserve"> = 2, p = 0.00</w:t>
      </w:r>
      <w:r w:rsidR="009A75FB" w:rsidRPr="00A4704D">
        <w:rPr>
          <w:rFonts w:ascii="Aptos" w:hAnsi="Aptos"/>
          <w:sz w:val="20"/>
          <w:szCs w:val="20"/>
        </w:rPr>
        <w:t>9</w:t>
      </w:r>
      <w:r w:rsidRPr="00A4704D">
        <w:rPr>
          <w:rFonts w:ascii="Aptos" w:hAnsi="Aptos"/>
          <w:sz w:val="20"/>
          <w:szCs w:val="20"/>
        </w:rPr>
        <w:t>.</w:t>
      </w:r>
      <w:r w:rsidR="00600F3B" w:rsidRPr="00A4704D">
        <w:rPr>
          <w:sz w:val="20"/>
          <w:szCs w:val="20"/>
        </w:rPr>
        <w:t xml:space="preserve"> </w:t>
      </w:r>
      <w:r w:rsidR="00600F3B" w:rsidRPr="00A4704D">
        <w:rPr>
          <w:rFonts w:ascii="Aptos" w:hAnsi="Aptos"/>
          <w:sz w:val="20"/>
          <w:szCs w:val="20"/>
        </w:rPr>
        <w:t>Assessment of proportional hazards assumptions using Schoenfeld residuals indicated no evidence of violation for age (p = 0.125), but body weight demonstrated evidence of non-proportionality (p = 0.010). The global test was also significant (p = 0.032), suggesting that this multivariable model should be interpreted cautiously.</w:t>
      </w:r>
    </w:p>
    <w:p w14:paraId="5F53CE6D" w14:textId="77777777" w:rsidR="00136A1D" w:rsidRDefault="00136A1D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5779646C" w14:textId="77777777" w:rsidR="00AE7020" w:rsidRDefault="00AE7020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2DA24D3D" w14:textId="77777777" w:rsidR="00AE7020" w:rsidRDefault="00AE7020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437EE203" w14:textId="77777777" w:rsidR="00AE7020" w:rsidRPr="0018054F" w:rsidRDefault="00AE7020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268BD2E5" w14:textId="4C5F95AC" w:rsidR="00EF6DF0" w:rsidRPr="00EF6DF0" w:rsidRDefault="00EF6DF0" w:rsidP="0018054F">
      <w:pPr>
        <w:spacing w:line="360" w:lineRule="auto"/>
        <w:rPr>
          <w:rFonts w:ascii="Aptos" w:hAnsi="Aptos"/>
          <w:b/>
          <w:sz w:val="24"/>
          <w:szCs w:val="24"/>
        </w:rPr>
      </w:pPr>
      <w:r w:rsidRPr="00EF6DF0">
        <w:rPr>
          <w:rFonts w:ascii="Aptos" w:hAnsi="Aptos"/>
          <w:b/>
          <w:sz w:val="24"/>
          <w:szCs w:val="24"/>
        </w:rPr>
        <w:t xml:space="preserve">Supplementary Table </w:t>
      </w:r>
      <w:r w:rsidR="009651A8">
        <w:rPr>
          <w:rFonts w:ascii="Aptos" w:hAnsi="Aptos"/>
          <w:b/>
          <w:sz w:val="24"/>
          <w:szCs w:val="24"/>
        </w:rPr>
        <w:t>1.</w:t>
      </w:r>
      <w:r w:rsidRPr="00EF6DF0">
        <w:rPr>
          <w:rFonts w:ascii="Aptos" w:hAnsi="Aptos"/>
          <w:b/>
          <w:sz w:val="24"/>
          <w:szCs w:val="24"/>
        </w:rPr>
        <w:t>2. Spearman rank correlation analysis of age and body weight among CPV-positive dogs.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770"/>
        <w:gridCol w:w="2257"/>
        <w:gridCol w:w="1036"/>
      </w:tblGrid>
      <w:tr w:rsidR="00EF6DF0" w:rsidRPr="00EF6DF0" w14:paraId="3D7999A1" w14:textId="77777777" w:rsidTr="00EF6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639F20" w14:textId="77777777" w:rsidR="00EF6DF0" w:rsidRPr="00EF6DF0" w:rsidRDefault="00EF6DF0" w:rsidP="00EF6DF0">
            <w:pPr>
              <w:spacing w:after="160" w:line="360" w:lineRule="auto"/>
              <w:rPr>
                <w:rFonts w:ascii="Aptos" w:hAnsi="Aptos"/>
                <w:sz w:val="24"/>
                <w:szCs w:val="24"/>
              </w:rPr>
            </w:pPr>
            <w:r w:rsidRPr="00EF6DF0">
              <w:rPr>
                <w:rFonts w:ascii="Aptos" w:hAnsi="Aptos"/>
                <w:sz w:val="24"/>
                <w:szCs w:val="24"/>
              </w:rPr>
              <w:t>Variables</w:t>
            </w:r>
          </w:p>
        </w:tc>
        <w:tc>
          <w:tcPr>
            <w:tcW w:w="0" w:type="auto"/>
            <w:hideMark/>
          </w:tcPr>
          <w:p w14:paraId="22A34EC6" w14:textId="33662650" w:rsidR="00EF6DF0" w:rsidRPr="00EF6DF0" w:rsidRDefault="008A0B42" w:rsidP="00EF6DF0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8A0B42">
              <w:rPr>
                <w:rFonts w:ascii="Aptos" w:hAnsi="Aptos"/>
                <w:sz w:val="24"/>
                <w:szCs w:val="24"/>
              </w:rPr>
              <w:t>Spearman's rho</w:t>
            </w:r>
            <w:r>
              <w:rPr>
                <w:rFonts w:ascii="Aptos" w:hAnsi="Aptos"/>
                <w:sz w:val="24"/>
                <w:szCs w:val="24"/>
              </w:rPr>
              <w:t xml:space="preserve"> (</w:t>
            </w:r>
            <w:r w:rsidRPr="00EF6DF0">
              <w:rPr>
                <w:rFonts w:ascii="Aptos" w:hAnsi="Aptos"/>
                <w:sz w:val="24"/>
                <w:szCs w:val="24"/>
              </w:rPr>
              <w:t>ρ</w:t>
            </w:r>
            <w:r>
              <w:rPr>
                <w:rFonts w:ascii="Aptos" w:hAnsi="Aptos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6E11D732" w14:textId="77777777" w:rsidR="00EF6DF0" w:rsidRPr="00EF6DF0" w:rsidRDefault="00EF6DF0" w:rsidP="00EF6DF0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EF6DF0">
              <w:rPr>
                <w:rFonts w:ascii="Aptos" w:hAnsi="Aptos"/>
                <w:sz w:val="24"/>
                <w:szCs w:val="24"/>
              </w:rPr>
              <w:t>p-value</w:t>
            </w:r>
          </w:p>
        </w:tc>
      </w:tr>
      <w:tr w:rsidR="00EF6DF0" w:rsidRPr="00EF6DF0" w14:paraId="36CB2641" w14:textId="77777777" w:rsidTr="00EF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078C7A" w14:textId="77777777" w:rsidR="00EF6DF0" w:rsidRPr="00EF6DF0" w:rsidRDefault="00EF6DF0" w:rsidP="00EF6DF0">
            <w:pPr>
              <w:spacing w:after="160" w:line="360" w:lineRule="auto"/>
              <w:rPr>
                <w:rFonts w:ascii="Aptos" w:hAnsi="Aptos"/>
                <w:sz w:val="24"/>
                <w:szCs w:val="24"/>
              </w:rPr>
            </w:pPr>
            <w:r w:rsidRPr="00EF6DF0">
              <w:rPr>
                <w:rFonts w:ascii="Aptos" w:hAnsi="Aptos"/>
                <w:sz w:val="24"/>
                <w:szCs w:val="24"/>
              </w:rPr>
              <w:t>Age (weeks) and body weight (kg)</w:t>
            </w:r>
          </w:p>
        </w:tc>
        <w:tc>
          <w:tcPr>
            <w:tcW w:w="0" w:type="auto"/>
            <w:hideMark/>
          </w:tcPr>
          <w:p w14:paraId="4ACD61FB" w14:textId="4108F950" w:rsidR="00EF6DF0" w:rsidRPr="00EF6DF0" w:rsidRDefault="008A0B42" w:rsidP="00EF6DF0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 </w:t>
            </w:r>
            <w:r w:rsidR="00EF6DF0" w:rsidRPr="00EF6DF0">
              <w:rPr>
                <w:rFonts w:ascii="Aptos" w:hAnsi="Aptos"/>
                <w:sz w:val="24"/>
                <w:szCs w:val="24"/>
              </w:rPr>
              <w:t>0.446</w:t>
            </w:r>
          </w:p>
        </w:tc>
        <w:tc>
          <w:tcPr>
            <w:tcW w:w="0" w:type="auto"/>
            <w:hideMark/>
          </w:tcPr>
          <w:p w14:paraId="4434C089" w14:textId="77777777" w:rsidR="00EF6DF0" w:rsidRPr="00EF6DF0" w:rsidRDefault="00EF6DF0" w:rsidP="00EF6DF0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EF6DF0">
              <w:rPr>
                <w:rFonts w:ascii="Aptos" w:hAnsi="Aptos"/>
                <w:sz w:val="24"/>
                <w:szCs w:val="24"/>
              </w:rPr>
              <w:t>&lt;0.001</w:t>
            </w:r>
          </w:p>
        </w:tc>
      </w:tr>
    </w:tbl>
    <w:p w14:paraId="73A4D20C" w14:textId="77777777" w:rsidR="0018054F" w:rsidRDefault="0018054F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612A30F1" w14:textId="77777777" w:rsidR="00AE7020" w:rsidRDefault="00AE7020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652BAB64" w14:textId="77777777" w:rsidR="00AE7020" w:rsidRDefault="00AE7020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64CD9A90" w14:textId="3890C5A2" w:rsidR="00EF6DF0" w:rsidRPr="00AE7020" w:rsidRDefault="00AE7020" w:rsidP="0018054F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AE7020">
        <w:rPr>
          <w:rFonts w:ascii="Aptos" w:hAnsi="Aptos"/>
          <w:b/>
          <w:bCs/>
          <w:sz w:val="24"/>
          <w:szCs w:val="24"/>
        </w:rPr>
        <w:t xml:space="preserve">Supplementary Table </w:t>
      </w:r>
      <w:r w:rsidR="009651A8">
        <w:rPr>
          <w:rFonts w:ascii="Aptos" w:hAnsi="Aptos"/>
          <w:b/>
          <w:bCs/>
          <w:sz w:val="24"/>
          <w:szCs w:val="24"/>
        </w:rPr>
        <w:t>1.</w:t>
      </w:r>
      <w:r w:rsidRPr="00AE7020">
        <w:rPr>
          <w:rFonts w:ascii="Aptos" w:hAnsi="Aptos"/>
          <w:b/>
          <w:bCs/>
          <w:sz w:val="24"/>
          <w:szCs w:val="24"/>
        </w:rPr>
        <w:t>3. Mann–Whitney U test comparing body weight between breed categories among CPV-positive dogs.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86"/>
        <w:gridCol w:w="2580"/>
        <w:gridCol w:w="2720"/>
        <w:gridCol w:w="1718"/>
        <w:gridCol w:w="956"/>
      </w:tblGrid>
      <w:tr w:rsidR="008A0B42" w:rsidRPr="00BE27B3" w14:paraId="284F31A4" w14:textId="77777777" w:rsidTr="00BE2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4296DE" w14:textId="77777777" w:rsidR="00BE27B3" w:rsidRPr="00BE27B3" w:rsidRDefault="00BE27B3" w:rsidP="00BE27B3">
            <w:pPr>
              <w:spacing w:after="160" w:line="360" w:lineRule="auto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14:paraId="63A2803D" w14:textId="77777777" w:rsidR="00BE27B3" w:rsidRPr="00BE27B3" w:rsidRDefault="00BE27B3" w:rsidP="00BE27B3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Local breeds Median (IQR), kg</w:t>
            </w:r>
          </w:p>
        </w:tc>
        <w:tc>
          <w:tcPr>
            <w:tcW w:w="0" w:type="auto"/>
            <w:hideMark/>
          </w:tcPr>
          <w:p w14:paraId="6C1E89D6" w14:textId="77777777" w:rsidR="00BE27B3" w:rsidRPr="00BE27B3" w:rsidRDefault="00BE27B3" w:rsidP="00BE27B3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Foreign breeds Median (IQR), kg</w:t>
            </w:r>
          </w:p>
        </w:tc>
        <w:tc>
          <w:tcPr>
            <w:tcW w:w="0" w:type="auto"/>
            <w:hideMark/>
          </w:tcPr>
          <w:p w14:paraId="6A9AC33C" w14:textId="39362AD1" w:rsidR="00BE27B3" w:rsidRPr="00BE27B3" w:rsidRDefault="008A0B42" w:rsidP="00BE27B3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Test Statistic (</w:t>
            </w:r>
            <w:r w:rsidR="00BE27B3" w:rsidRPr="00BE27B3">
              <w:rPr>
                <w:rFonts w:ascii="Aptos" w:hAnsi="Aptos"/>
                <w:sz w:val="24"/>
                <w:szCs w:val="24"/>
              </w:rPr>
              <w:t>W</w:t>
            </w:r>
            <w:r>
              <w:rPr>
                <w:rFonts w:ascii="Aptos" w:hAnsi="Aptos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4E40D599" w14:textId="77777777" w:rsidR="00BE27B3" w:rsidRPr="00BE27B3" w:rsidRDefault="00BE27B3" w:rsidP="00BE27B3">
            <w:pPr>
              <w:spacing w:after="1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p-value</w:t>
            </w:r>
          </w:p>
        </w:tc>
      </w:tr>
      <w:tr w:rsidR="008A0B42" w:rsidRPr="00BE27B3" w14:paraId="3EB3FC05" w14:textId="77777777" w:rsidTr="00BE2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301901" w14:textId="77777777" w:rsidR="00BE27B3" w:rsidRPr="00BE27B3" w:rsidRDefault="00BE27B3" w:rsidP="00BE27B3">
            <w:pPr>
              <w:spacing w:after="160" w:line="360" w:lineRule="auto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Body weight</w:t>
            </w:r>
          </w:p>
        </w:tc>
        <w:tc>
          <w:tcPr>
            <w:tcW w:w="0" w:type="auto"/>
            <w:hideMark/>
          </w:tcPr>
          <w:p w14:paraId="2D3BE639" w14:textId="77777777" w:rsidR="00BE27B3" w:rsidRPr="00BE27B3" w:rsidRDefault="00BE27B3" w:rsidP="00BE27B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5.0 (3.8–8.2)</w:t>
            </w:r>
          </w:p>
        </w:tc>
        <w:tc>
          <w:tcPr>
            <w:tcW w:w="0" w:type="auto"/>
            <w:hideMark/>
          </w:tcPr>
          <w:p w14:paraId="6DFBEEA6" w14:textId="77777777" w:rsidR="00BE27B3" w:rsidRPr="00BE27B3" w:rsidRDefault="00BE27B3" w:rsidP="00BE27B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6.9 (5.1–10.6)</w:t>
            </w:r>
          </w:p>
        </w:tc>
        <w:tc>
          <w:tcPr>
            <w:tcW w:w="0" w:type="auto"/>
            <w:hideMark/>
          </w:tcPr>
          <w:p w14:paraId="74FF48C1" w14:textId="77777777" w:rsidR="00BE27B3" w:rsidRPr="00BE27B3" w:rsidRDefault="00BE27B3" w:rsidP="00BE27B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1096.5</w:t>
            </w:r>
          </w:p>
        </w:tc>
        <w:tc>
          <w:tcPr>
            <w:tcW w:w="0" w:type="auto"/>
            <w:hideMark/>
          </w:tcPr>
          <w:p w14:paraId="009712AC" w14:textId="77777777" w:rsidR="00BE27B3" w:rsidRPr="00BE27B3" w:rsidRDefault="00BE27B3" w:rsidP="00BE27B3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sz w:val="24"/>
                <w:szCs w:val="24"/>
              </w:rPr>
            </w:pPr>
            <w:r w:rsidRPr="00BE27B3">
              <w:rPr>
                <w:rFonts w:ascii="Aptos" w:hAnsi="Aptos"/>
                <w:sz w:val="24"/>
                <w:szCs w:val="24"/>
              </w:rPr>
              <w:t>0.027</w:t>
            </w:r>
          </w:p>
        </w:tc>
      </w:tr>
    </w:tbl>
    <w:p w14:paraId="6B97EC5A" w14:textId="77777777" w:rsidR="00EF6DF0" w:rsidRDefault="00EF6DF0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5015F371" w14:textId="77777777" w:rsidR="00EF6DF0" w:rsidRPr="0018054F" w:rsidRDefault="00EF6DF0" w:rsidP="0018054F">
      <w:pPr>
        <w:spacing w:line="360" w:lineRule="auto"/>
        <w:rPr>
          <w:rFonts w:ascii="Aptos" w:hAnsi="Aptos"/>
          <w:sz w:val="24"/>
          <w:szCs w:val="24"/>
        </w:rPr>
      </w:pPr>
    </w:p>
    <w:p w14:paraId="394EFDC9" w14:textId="77777777" w:rsidR="00720904" w:rsidRPr="00720904" w:rsidRDefault="00720904" w:rsidP="00720904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720904">
        <w:rPr>
          <w:rFonts w:ascii="Aptos" w:hAnsi="Aptos"/>
          <w:b/>
          <w:bCs/>
          <w:sz w:val="24"/>
          <w:szCs w:val="24"/>
        </w:rPr>
        <w:t>Supplementary Text S1. Interpretation of supplementary analyses</w:t>
      </w:r>
    </w:p>
    <w:p w14:paraId="266AD679" w14:textId="76532EC2" w:rsidR="00720904" w:rsidRPr="00720904" w:rsidRDefault="00720904" w:rsidP="00720904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720904">
        <w:rPr>
          <w:rFonts w:ascii="Aptos" w:hAnsi="Aptos"/>
          <w:b/>
          <w:bCs/>
          <w:sz w:val="24"/>
          <w:szCs w:val="24"/>
        </w:rPr>
        <w:t>Supplementary Table 1</w:t>
      </w:r>
      <w:r w:rsidR="009651A8">
        <w:rPr>
          <w:rFonts w:ascii="Aptos" w:hAnsi="Aptos"/>
          <w:b/>
          <w:bCs/>
          <w:sz w:val="24"/>
          <w:szCs w:val="24"/>
        </w:rPr>
        <w:t>.1</w:t>
      </w:r>
    </w:p>
    <w:p w14:paraId="6BB29A40" w14:textId="77777777" w:rsidR="00720904" w:rsidRPr="00720904" w:rsidRDefault="00720904" w:rsidP="00720904">
      <w:pPr>
        <w:spacing w:line="360" w:lineRule="auto"/>
        <w:rPr>
          <w:rFonts w:ascii="Aptos" w:hAnsi="Aptos"/>
          <w:sz w:val="24"/>
          <w:szCs w:val="24"/>
        </w:rPr>
      </w:pPr>
      <w:r w:rsidRPr="00720904">
        <w:rPr>
          <w:rFonts w:ascii="Aptos" w:hAnsi="Aptos"/>
          <w:sz w:val="24"/>
          <w:szCs w:val="24"/>
        </w:rPr>
        <w:t>The multivariable Cox regression model was fitted to explore the independent effects of age and body weight on mortality among CPV-positive dogs. After adjustment for body weight, age was not significantly associated with mortality (HR = 0.974, 95% CI: 0.926–1.025, p = 0.317). Body weight showed a borderline inverse association with mortality risk (HR = 0.895, 95% CI: 0.799–1.002, p = 0.053), suggesting that heavier dogs may have experienced a lower risk of death. Assessment of proportional hazards assumptions using Schoenfeld residuals indicated evidence of non-proportionality for body weight and for the overall model; therefore, these findings should be interpreted cautiously.</w:t>
      </w:r>
    </w:p>
    <w:p w14:paraId="3DD46F3A" w14:textId="7E261AFF" w:rsidR="00720904" w:rsidRPr="00720904" w:rsidRDefault="00720904" w:rsidP="00720904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720904">
        <w:rPr>
          <w:rFonts w:ascii="Aptos" w:hAnsi="Aptos"/>
          <w:b/>
          <w:bCs/>
          <w:sz w:val="24"/>
          <w:szCs w:val="24"/>
        </w:rPr>
        <w:t xml:space="preserve">Supplementary Table </w:t>
      </w:r>
      <w:r w:rsidR="009651A8">
        <w:rPr>
          <w:rFonts w:ascii="Aptos" w:hAnsi="Aptos"/>
          <w:b/>
          <w:bCs/>
          <w:sz w:val="24"/>
          <w:szCs w:val="24"/>
        </w:rPr>
        <w:t>1.</w:t>
      </w:r>
      <w:r w:rsidRPr="00720904">
        <w:rPr>
          <w:rFonts w:ascii="Aptos" w:hAnsi="Aptos"/>
          <w:b/>
          <w:bCs/>
          <w:sz w:val="24"/>
          <w:szCs w:val="24"/>
        </w:rPr>
        <w:t>2</w:t>
      </w:r>
    </w:p>
    <w:p w14:paraId="19BBE627" w14:textId="77777777" w:rsidR="00720904" w:rsidRPr="00720904" w:rsidRDefault="00720904" w:rsidP="00720904">
      <w:pPr>
        <w:spacing w:line="360" w:lineRule="auto"/>
        <w:rPr>
          <w:rFonts w:ascii="Aptos" w:hAnsi="Aptos"/>
          <w:sz w:val="24"/>
          <w:szCs w:val="24"/>
        </w:rPr>
      </w:pPr>
      <w:r w:rsidRPr="00720904">
        <w:rPr>
          <w:rFonts w:ascii="Aptos" w:hAnsi="Aptos"/>
          <w:sz w:val="24"/>
          <w:szCs w:val="24"/>
        </w:rPr>
        <w:t>Spearman's rank correlation analysis demonstrated a moderate positive correlation between age and body weight among CPV-positive dogs (ρ = 0.446, p &lt; 0.001). This finding indicates that older dogs generally tended to be heavier than younger dogs within the study population.</w:t>
      </w:r>
    </w:p>
    <w:p w14:paraId="28CED94E" w14:textId="77777777" w:rsidR="008C5228" w:rsidRDefault="008C5228" w:rsidP="00720904">
      <w:pPr>
        <w:spacing w:line="360" w:lineRule="auto"/>
        <w:rPr>
          <w:rFonts w:ascii="Aptos" w:hAnsi="Aptos"/>
          <w:b/>
          <w:bCs/>
          <w:sz w:val="24"/>
          <w:szCs w:val="24"/>
        </w:rPr>
      </w:pPr>
    </w:p>
    <w:p w14:paraId="58793717" w14:textId="5299ACEA" w:rsidR="00720904" w:rsidRPr="00720904" w:rsidRDefault="00720904" w:rsidP="00720904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720904">
        <w:rPr>
          <w:rFonts w:ascii="Aptos" w:hAnsi="Aptos"/>
          <w:b/>
          <w:bCs/>
          <w:sz w:val="24"/>
          <w:szCs w:val="24"/>
        </w:rPr>
        <w:lastRenderedPageBreak/>
        <w:t xml:space="preserve">Supplementary Table </w:t>
      </w:r>
      <w:r w:rsidR="009651A8">
        <w:rPr>
          <w:rFonts w:ascii="Aptos" w:hAnsi="Aptos"/>
          <w:b/>
          <w:bCs/>
          <w:sz w:val="24"/>
          <w:szCs w:val="24"/>
        </w:rPr>
        <w:t>1.</w:t>
      </w:r>
      <w:r w:rsidRPr="00720904">
        <w:rPr>
          <w:rFonts w:ascii="Aptos" w:hAnsi="Aptos"/>
          <w:b/>
          <w:bCs/>
          <w:sz w:val="24"/>
          <w:szCs w:val="24"/>
        </w:rPr>
        <w:t>3</w:t>
      </w:r>
    </w:p>
    <w:p w14:paraId="3D434DCA" w14:textId="77777777" w:rsidR="00720904" w:rsidRPr="00720904" w:rsidRDefault="00720904" w:rsidP="00720904">
      <w:pPr>
        <w:spacing w:line="360" w:lineRule="auto"/>
        <w:rPr>
          <w:rFonts w:ascii="Aptos" w:hAnsi="Aptos"/>
          <w:sz w:val="24"/>
          <w:szCs w:val="24"/>
        </w:rPr>
      </w:pPr>
      <w:r w:rsidRPr="00720904">
        <w:rPr>
          <w:rFonts w:ascii="Aptos" w:hAnsi="Aptos"/>
          <w:sz w:val="24"/>
          <w:szCs w:val="24"/>
        </w:rPr>
        <w:t>Body weight differed significantly between breed categories. Foreign breeds had a higher median body weight than local breeds (6.9 kg [IQR: 5.1–10.6] versus 5.0 kg [IQR: 3.8–8.2]; Mann–Whitney U statistic = 1096.5, p = 0.027). This finding suggests that breed category may partially explain variation in body weight observed among CPV-positive dogs.</w:t>
      </w:r>
    </w:p>
    <w:p w14:paraId="3D2665AC" w14:textId="737143B4" w:rsidR="00A56C19" w:rsidRPr="00A33C85" w:rsidRDefault="001951A2" w:rsidP="00A33C85">
      <w:pPr>
        <w:spacing w:line="360" w:lineRule="auto"/>
        <w:rPr>
          <w:rFonts w:ascii="Aptos" w:hAnsi="Aptos"/>
          <w:sz w:val="24"/>
          <w:szCs w:val="24"/>
        </w:rPr>
      </w:pPr>
      <w:r w:rsidRPr="001951A2">
        <w:rPr>
          <w:rFonts w:ascii="Aptos" w:hAnsi="Aptos"/>
          <w:sz w:val="24"/>
          <w:szCs w:val="24"/>
        </w:rPr>
        <w:t>.</w:t>
      </w:r>
    </w:p>
    <w:sectPr w:rsidR="00A56C19" w:rsidRPr="00A33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A2"/>
    <w:rsid w:val="00136A1D"/>
    <w:rsid w:val="0018054F"/>
    <w:rsid w:val="00181A52"/>
    <w:rsid w:val="00191A74"/>
    <w:rsid w:val="001951A2"/>
    <w:rsid w:val="003117EA"/>
    <w:rsid w:val="00371646"/>
    <w:rsid w:val="00555D55"/>
    <w:rsid w:val="00600F3B"/>
    <w:rsid w:val="00720904"/>
    <w:rsid w:val="00844646"/>
    <w:rsid w:val="008A0B42"/>
    <w:rsid w:val="008C5228"/>
    <w:rsid w:val="009651A8"/>
    <w:rsid w:val="009A75FB"/>
    <w:rsid w:val="009B623E"/>
    <w:rsid w:val="00A060C0"/>
    <w:rsid w:val="00A33C85"/>
    <w:rsid w:val="00A4704D"/>
    <w:rsid w:val="00A56C19"/>
    <w:rsid w:val="00A756BD"/>
    <w:rsid w:val="00AE7020"/>
    <w:rsid w:val="00B64DB3"/>
    <w:rsid w:val="00BE27B3"/>
    <w:rsid w:val="00D17746"/>
    <w:rsid w:val="00EF6DF0"/>
    <w:rsid w:val="00F4211D"/>
    <w:rsid w:val="00F70E8D"/>
    <w:rsid w:val="00FA4FAD"/>
    <w:rsid w:val="00F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8A271"/>
  <w15:chartTrackingRefBased/>
  <w15:docId w15:val="{34EBEDBB-7A39-4578-A39F-FE0DF30B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1A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1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1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1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1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1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1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1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1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1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1A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1A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5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1A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95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1A2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B62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B623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B62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Opoku</dc:creator>
  <cp:keywords/>
  <dc:description/>
  <cp:lastModifiedBy>Emmanuel Opoku</cp:lastModifiedBy>
  <cp:revision>25</cp:revision>
  <dcterms:created xsi:type="dcterms:W3CDTF">2026-04-06T19:07:00Z</dcterms:created>
  <dcterms:modified xsi:type="dcterms:W3CDTF">2026-06-20T18:45:00Z</dcterms:modified>
</cp:coreProperties>
</file>