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9D63" w14:textId="77777777" w:rsidR="000E393D" w:rsidRDefault="000E393D" w:rsidP="000E393D">
      <w:pPr>
        <w:tabs>
          <w:tab w:val="left" w:pos="3315"/>
        </w:tabs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E393D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5269975E" wp14:editId="37E0D15B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9411223" cy="406717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1223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EBC67" w14:textId="77777777" w:rsidR="00864B8F" w:rsidRPr="00825786" w:rsidRDefault="00864B8F" w:rsidP="000E393D">
      <w:pPr>
        <w:tabs>
          <w:tab w:val="left" w:pos="3315"/>
        </w:tabs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figure 4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 – </w:t>
      </w:r>
      <w:r>
        <w:rPr>
          <w:rFonts w:asciiTheme="majorBidi" w:hAnsiTheme="majorBidi" w:cstheme="majorBidi"/>
          <w:sz w:val="24"/>
          <w:szCs w:val="24"/>
          <w:lang w:val="en-US"/>
        </w:rPr>
        <w:t>Volatile exposure methods (M1 and M2) – Mean zone inhibition values for each volume used (</w:t>
      </w:r>
      <w:r w:rsidRPr="00825786">
        <w:rPr>
          <w:rFonts w:asciiTheme="majorBidi" w:hAnsiTheme="majorBidi" w:cstheme="majorBidi"/>
          <w:sz w:val="24"/>
          <w:szCs w:val="24"/>
          <w:lang w:val="en-US"/>
        </w:rPr>
        <w:t>10µL, 20µL, 40µL, 80µL and 160µL</w:t>
      </w:r>
      <w:r>
        <w:rPr>
          <w:rFonts w:asciiTheme="majorBidi" w:hAnsiTheme="majorBidi" w:cstheme="majorBidi"/>
          <w:sz w:val="24"/>
          <w:szCs w:val="24"/>
          <w:lang w:val="en-US"/>
        </w:rPr>
        <w:t>) divided by bacterial group for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 xml:space="preserve">Lavandula </w:t>
      </w:r>
      <w:r>
        <w:rPr>
          <w:rFonts w:asciiTheme="majorBidi" w:hAnsiTheme="majorBidi" w:cstheme="majorBidi"/>
          <w:i/>
          <w:iCs/>
          <w:sz w:val="24"/>
          <w:szCs w:val="24"/>
        </w:rPr>
        <w:t>angustifo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>lia</w:t>
      </w:r>
      <w:r w:rsidRPr="0018432F">
        <w:rPr>
          <w:rFonts w:asciiTheme="majorBidi" w:hAnsiTheme="majorBidi" w:cstheme="majorBidi"/>
          <w:sz w:val="24"/>
          <w:szCs w:val="24"/>
        </w:rPr>
        <w:t xml:space="preserve"> 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>
        <w:rPr>
          <w:rFonts w:asciiTheme="majorBidi" w:hAnsiTheme="majorBidi" w:cstheme="majorBidi"/>
          <w:i/>
          <w:iCs/>
          <w:sz w:val="24"/>
          <w:szCs w:val="24"/>
        </w:rPr>
        <w:t>Melaleuca alternifo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 xml:space="preserve">lia </w:t>
      </w:r>
      <w:r w:rsidRPr="0018432F">
        <w:rPr>
          <w:rFonts w:asciiTheme="majorBidi" w:hAnsiTheme="majorBidi" w:cstheme="majorBidi"/>
          <w:sz w:val="24"/>
          <w:szCs w:val="24"/>
        </w:rPr>
        <w:t>(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18432F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>bergamot</w:t>
      </w:r>
      <w:r>
        <w:rPr>
          <w:rFonts w:asciiTheme="majorBidi" w:hAnsiTheme="majorBidi" w:cstheme="majorBidi"/>
          <w:sz w:val="24"/>
          <w:szCs w:val="24"/>
          <w:lang w:val="en-US"/>
        </w:rPr>
        <w:t>) essential oils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>. Results ar</w:t>
      </w:r>
      <w:r>
        <w:rPr>
          <w:rFonts w:asciiTheme="majorBidi" w:hAnsiTheme="majorBidi" w:cstheme="majorBidi"/>
          <w:sz w:val="24"/>
          <w:szCs w:val="24"/>
          <w:lang w:val="en-US"/>
        </w:rPr>
        <w:t>e expressed in millimeters (mm).</w:t>
      </w:r>
    </w:p>
    <w:p w14:paraId="09CE824E" w14:textId="77777777" w:rsidR="00EF03CC" w:rsidRDefault="00EF03CC"/>
    <w:sectPr w:rsidR="00EF03CC" w:rsidSect="0082578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8F"/>
    <w:rsid w:val="000E393D"/>
    <w:rsid w:val="001C5922"/>
    <w:rsid w:val="00733802"/>
    <w:rsid w:val="00864B8F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3828"/>
  <w15:chartTrackingRefBased/>
  <w15:docId w15:val="{FD919743-2774-4912-99D9-31AD8143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B8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295</Characters>
  <Application>Microsoft Office Word</Application>
  <DocSecurity>0</DocSecurity>
  <Lines>6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2026-09-02T14:40:00Z</dcterms:created>
  <dcterms:modified xsi:type="dcterms:W3CDTF">2026-09-02T14:40:00Z</dcterms:modified>
</cp:coreProperties>
</file>