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DDFC3" w14:textId="77777777" w:rsidR="00D63761" w:rsidRPr="00414123" w:rsidRDefault="00D63761" w:rsidP="00D6376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63761">
        <w:rPr>
          <w:noProof/>
        </w:rPr>
        <w:drawing>
          <wp:anchor distT="0" distB="0" distL="114300" distR="114300" simplePos="0" relativeHeight="251658240" behindDoc="0" locked="0" layoutInCell="1" allowOverlap="1" wp14:anchorId="57C67951" wp14:editId="7428ED77">
            <wp:simplePos x="0" y="0"/>
            <wp:positionH relativeFrom="column">
              <wp:posOffset>-355691</wp:posOffset>
            </wp:positionH>
            <wp:positionV relativeFrom="paragraph">
              <wp:posOffset>0</wp:posOffset>
            </wp:positionV>
            <wp:extent cx="9745345" cy="3863975"/>
            <wp:effectExtent l="0" t="0" r="8255" b="317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5345" cy="386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Su</w:t>
      </w:r>
      <w:r w:rsidRPr="0041412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pplementary figure 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6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– Volatile exposure method (M2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 xml:space="preserve">) for Gram-positive isolates, for </w:t>
      </w:r>
      <w:r w:rsidRPr="00414123">
        <w:rPr>
          <w:rFonts w:asciiTheme="majorBidi" w:hAnsiTheme="majorBidi" w:cstheme="majorBidi"/>
          <w:i/>
          <w:iCs/>
          <w:sz w:val="24"/>
          <w:szCs w:val="24"/>
        </w:rPr>
        <w:t>Lavandula angustifolia</w:t>
      </w:r>
      <w:r w:rsidRPr="00414123">
        <w:rPr>
          <w:rFonts w:asciiTheme="majorBidi" w:hAnsiTheme="majorBidi" w:cstheme="majorBidi"/>
          <w:sz w:val="24"/>
          <w:szCs w:val="24"/>
        </w:rPr>
        <w:t xml:space="preserve"> 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 xml:space="preserve">(lavender), </w:t>
      </w:r>
      <w:r w:rsidRPr="00414123">
        <w:rPr>
          <w:rFonts w:asciiTheme="majorBidi" w:hAnsiTheme="majorBidi" w:cstheme="majorBidi"/>
          <w:i/>
          <w:iCs/>
          <w:sz w:val="24"/>
          <w:szCs w:val="24"/>
        </w:rPr>
        <w:t xml:space="preserve">Melaleuca alternifolia </w:t>
      </w:r>
      <w:r w:rsidRPr="00414123">
        <w:rPr>
          <w:rFonts w:asciiTheme="majorBidi" w:hAnsiTheme="majorBidi" w:cstheme="majorBidi"/>
          <w:sz w:val="24"/>
          <w:szCs w:val="24"/>
        </w:rPr>
        <w:t>(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 xml:space="preserve">tea tree) and </w:t>
      </w:r>
      <w:r w:rsidRPr="00414123">
        <w:rPr>
          <w:rFonts w:asciiTheme="majorBidi" w:hAnsiTheme="majorBidi" w:cstheme="majorBidi"/>
          <w:i/>
          <w:iCs/>
          <w:sz w:val="24"/>
          <w:szCs w:val="24"/>
          <w:lang w:val="en-US"/>
        </w:rPr>
        <w:t>Citrus bergamia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 xml:space="preserve"> (bergamot) essential oils at 10µL, 20µL, 40µL, 80µL and 160µL. Results are expressed in millimeters (mm) </w:t>
      </w:r>
      <w:r w:rsidRPr="00414123">
        <w:rPr>
          <w:rFonts w:asciiTheme="majorBidi" w:hAnsiTheme="majorBidi" w:cstheme="majorBidi"/>
          <w:b/>
          <w:bCs/>
          <w:sz w:val="24"/>
          <w:szCs w:val="24"/>
          <w:lang w:val="en-US"/>
        </w:rPr>
        <w:t>Legend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>: (*)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>-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>Diameter ≤ 6mm; EO: Essential oil.</w:t>
      </w:r>
    </w:p>
    <w:p w14:paraId="54AE027F" w14:textId="77777777" w:rsidR="00EF03CC" w:rsidRDefault="00EF03CC"/>
    <w:sectPr w:rsidR="00EF03CC" w:rsidSect="00D6376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761"/>
    <w:rsid w:val="0035710F"/>
    <w:rsid w:val="00733802"/>
    <w:rsid w:val="00D63761"/>
    <w:rsid w:val="00EF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65EB3"/>
  <w15:chartTrackingRefBased/>
  <w15:docId w15:val="{8097ABBE-D00D-4273-8014-A9B44CDD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761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1DEC4-CA6F-421E-AB1A-CA85E4859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286</Characters>
  <Application>Microsoft Office Word</Application>
  <DocSecurity>0</DocSecurity>
  <Lines>6</Lines>
  <Paragraphs>2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Microsoft</dc:creator>
  <cp:keywords/>
  <dc:description/>
  <cp:lastModifiedBy>Adriana Belas</cp:lastModifiedBy>
  <cp:revision>2</cp:revision>
  <dcterms:created xsi:type="dcterms:W3CDTF">2026-09-02T14:39:00Z</dcterms:created>
  <dcterms:modified xsi:type="dcterms:W3CDTF">2026-09-02T14:39:00Z</dcterms:modified>
</cp:coreProperties>
</file>