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BA5840" w14:textId="22E1A966" w:rsidR="00520669" w:rsidRPr="00520669" w:rsidRDefault="009F36AD" w:rsidP="00520669">
      <w:r w:rsidRPr="009F36AD">
        <w:rPr>
          <w:noProof/>
        </w:rPr>
        <w:drawing>
          <wp:inline distT="0" distB="0" distL="0" distR="0" wp14:anchorId="183C4333" wp14:editId="6BED9E7B">
            <wp:extent cx="5760720" cy="5026064"/>
            <wp:effectExtent l="0" t="0" r="0" b="3175"/>
            <wp:docPr id="1" name="Obraz 1" descr="F:\plasma miRNA QIAGEN\BMC Veterinary\after review\Supplementary_Figure_S1_relabelled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lasma miRNA QIAGEN\BMC Veterinary\after review\Supplementary_Figure_S1_relabelled (1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26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D8247" w14:textId="10700B04" w:rsidR="00C20E54" w:rsidRPr="00520669" w:rsidRDefault="009F36AD" w:rsidP="009F36A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9F36AD">
        <w:rPr>
          <w:rFonts w:ascii="Times New Roman" w:hAnsi="Times New Roman" w:cs="Times New Roman"/>
          <w:sz w:val="24"/>
          <w:szCs w:val="24"/>
          <w:lang w:val="en-US"/>
        </w:rPr>
        <w:t xml:space="preserve">Supplementary Figure S1. RNA quality assessment of plasma samples prior to library preparation. (A) Cp values of three synthetic spike-in controls (UniSp-101, UniSp-100, UniSp6) across all 18 samples and a no-template blank, confirming absence of reverse transcription or amplification inhibition. (B) Cp values of five endogenous plasma miRNAs across all 18 samples, confirming expression within the expected range. (C) </w:t>
      </w:r>
      <w:proofErr w:type="spellStart"/>
      <w:r w:rsidRPr="009F36AD">
        <w:rPr>
          <w:rFonts w:ascii="Times New Roman" w:hAnsi="Times New Roman" w:cs="Times New Roman"/>
          <w:sz w:val="24"/>
          <w:szCs w:val="24"/>
          <w:lang w:val="en-US"/>
        </w:rPr>
        <w:t>ΔCp</w:t>
      </w:r>
      <w:proofErr w:type="spellEnd"/>
      <w:r w:rsidRPr="009F36AD">
        <w:rPr>
          <w:rFonts w:ascii="Times New Roman" w:hAnsi="Times New Roman" w:cs="Times New Roman"/>
          <w:sz w:val="24"/>
          <w:szCs w:val="24"/>
          <w:lang w:val="en-US"/>
        </w:rPr>
        <w:t xml:space="preserve"> values across all 18 samples, calculated as Cp(miR-23a-3p) − Cp(miR-451a). Because miR-451a is erythrocyte-enriched, hemolysis lowers its Cp and thereby increases </w:t>
      </w:r>
      <w:proofErr w:type="spellStart"/>
      <w:r w:rsidRPr="009F36AD">
        <w:rPr>
          <w:rFonts w:ascii="Times New Roman" w:hAnsi="Times New Roman" w:cs="Times New Roman"/>
          <w:sz w:val="24"/>
          <w:szCs w:val="24"/>
          <w:lang w:val="en-US"/>
        </w:rPr>
        <w:t>ΔCp</w:t>
      </w:r>
      <w:proofErr w:type="spellEnd"/>
      <w:r w:rsidRPr="009F36AD">
        <w:rPr>
          <w:rFonts w:ascii="Times New Roman" w:hAnsi="Times New Roman" w:cs="Times New Roman"/>
          <w:sz w:val="24"/>
          <w:szCs w:val="24"/>
          <w:lang w:val="en-US"/>
        </w:rPr>
        <w:t>; values below 5 indicate no hemolysis and values approaching or exceeding 7 indicate an increased risk. All samples fell below this threshold, indicating absence of significant hemolysis. Samples are labelled by group, timepoint and animal.</w:t>
      </w:r>
    </w:p>
    <w:sectPr w:rsidR="00C20E54" w:rsidRPr="005206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669"/>
    <w:rsid w:val="001E2214"/>
    <w:rsid w:val="00520669"/>
    <w:rsid w:val="006E5AE3"/>
    <w:rsid w:val="009F36AD"/>
    <w:rsid w:val="00C20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9149A"/>
  <w15:chartTrackingRefBased/>
  <w15:docId w15:val="{87F00E34-F166-444A-AE84-F19A4308F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206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206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206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206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06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206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206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206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206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06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206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206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2066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066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206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206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206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206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206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206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06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206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206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2066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206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2066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206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2066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206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Ocłoń</dc:creator>
  <cp:keywords/>
  <dc:description/>
  <cp:lastModifiedBy>dr hab. inż. Ocłoń Ewa prof.UR</cp:lastModifiedBy>
  <cp:revision>2</cp:revision>
  <dcterms:created xsi:type="dcterms:W3CDTF">2026-09-21T11:11:00Z</dcterms:created>
  <dcterms:modified xsi:type="dcterms:W3CDTF">2026-09-21T11:11:00Z</dcterms:modified>
</cp:coreProperties>
</file>