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53D" w:rsidRPr="00EF643A" w:rsidRDefault="00A1153D" w:rsidP="00A1153D">
      <w:pPr>
        <w:rPr>
          <w:lang w:val="en-US"/>
        </w:rPr>
      </w:pPr>
      <w:bookmarkStart w:id="0" w:name="OLE_LINK45"/>
      <w:bookmarkStart w:id="1" w:name="OLE_LINK46"/>
      <w:bookmarkStart w:id="2" w:name="_GoBack"/>
      <w:bookmarkEnd w:id="2"/>
      <w:r w:rsidRPr="005C1AF5">
        <w:rPr>
          <w:lang w:val="en-US"/>
        </w:rPr>
        <w:t xml:space="preserve">We identified three subgroups based on where the majority of energy is utilized: predominantly peripheral [P], predominantly hepatic [H] and both peripheral and hepatic energy expenditure [P+H]. Here we examined the metabolic fluxes and pool sizes corresponding to these different classes. Regardless of where the majority of energy is utilized, the resulting MetS phenotype in terms of plasma and liver biomarkers (see top rows of </w:t>
      </w:r>
      <w:r w:rsidRPr="00D77958">
        <w:fldChar w:fldCharType="begin"/>
      </w:r>
      <w:r w:rsidRPr="005C1AF5">
        <w:rPr>
          <w:lang w:val="en-US"/>
        </w:rPr>
        <w:instrText xml:space="preserve"> REF _Ref501626698 \h  \* MERGEFORMAT </w:instrText>
      </w:r>
      <w:r w:rsidRPr="00D77958">
        <w:fldChar w:fldCharType="separate"/>
      </w:r>
      <w:r w:rsidRPr="0074081E">
        <w:rPr>
          <w:bCs/>
          <w:noProof/>
          <w:lang w:val="en-US"/>
        </w:rPr>
        <w:t>Figure</w:t>
      </w:r>
      <w:r w:rsidRPr="005C1AF5">
        <w:rPr>
          <w:lang w:val="en-US"/>
        </w:rPr>
        <w:t xml:space="preserve"> </w:t>
      </w:r>
      <w:r w:rsidR="003B08A1">
        <w:rPr>
          <w:lang w:val="en-US"/>
        </w:rPr>
        <w:t>S</w:t>
      </w:r>
      <w:r>
        <w:rPr>
          <w:noProof/>
          <w:lang w:val="en-US"/>
        </w:rPr>
        <w:t>1</w:t>
      </w:r>
      <w:r w:rsidRPr="00D77958">
        <w:fldChar w:fldCharType="end"/>
      </w:r>
      <w:r w:rsidRPr="005C1AF5">
        <w:rPr>
          <w:lang w:val="en-US"/>
        </w:rPr>
        <w:t xml:space="preserve">) is equivalent. However, this phenotype can develop with different combinations of underlying metabolic fluxes (see </w:t>
      </w:r>
      <w:r>
        <w:rPr>
          <w:highlight w:val="red"/>
        </w:rPr>
        <w:fldChar w:fldCharType="begin"/>
      </w:r>
      <w:r>
        <w:rPr>
          <w:lang w:val="en-US"/>
        </w:rPr>
        <w:instrText xml:space="preserve"> REF _Ref501623192 \h </w:instrText>
      </w:r>
      <w:r>
        <w:rPr>
          <w:highlight w:val="red"/>
        </w:rPr>
      </w:r>
      <w:r>
        <w:rPr>
          <w:highlight w:val="red"/>
        </w:rPr>
        <w:fldChar w:fldCharType="separate"/>
      </w:r>
      <w:r w:rsidRPr="005C1AF5">
        <w:rPr>
          <w:lang w:val="en-US"/>
        </w:rPr>
        <w:t xml:space="preserve">Figure </w:t>
      </w:r>
      <w:r w:rsidR="003B08A1">
        <w:rPr>
          <w:lang w:val="en-US"/>
        </w:rPr>
        <w:t>S</w:t>
      </w:r>
      <w:r>
        <w:rPr>
          <w:noProof/>
          <w:lang w:val="en-US"/>
        </w:rPr>
        <w:t>2</w:t>
      </w:r>
      <w:r>
        <w:rPr>
          <w:highlight w:val="red"/>
        </w:rPr>
        <w:fldChar w:fldCharType="end"/>
      </w:r>
      <w:r w:rsidRPr="005C1AF5">
        <w:rPr>
          <w:lang w:val="en-US"/>
        </w:rPr>
        <w:t>).</w:t>
      </w:r>
    </w:p>
    <w:p w:rsidR="00A1153D" w:rsidRPr="005C1AF5" w:rsidRDefault="00A1153D" w:rsidP="00A1153D">
      <w:pPr>
        <w:rPr>
          <w:lang w:val="en-US"/>
        </w:rPr>
      </w:pPr>
    </w:p>
    <w:p w:rsidR="00A1153D" w:rsidRDefault="00A1153D" w:rsidP="00A1153D">
      <w:r>
        <w:rPr>
          <w:noProof/>
          <w:lang w:val="en-US"/>
        </w:rPr>
        <w:drawing>
          <wp:inline distT="0" distB="0" distL="0" distR="0" wp14:anchorId="6A84760D" wp14:editId="76B1D0EC">
            <wp:extent cx="5760720" cy="59359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_91 MC-x.png"/>
                    <pic:cNvPicPr/>
                  </pic:nvPicPr>
                  <pic:blipFill>
                    <a:blip r:embed="rId7">
                      <a:extLst>
                        <a:ext uri="{28A0092B-C50C-407E-A947-70E740481C1C}">
                          <a14:useLocalDpi xmlns:a14="http://schemas.microsoft.com/office/drawing/2010/main" val="0"/>
                        </a:ext>
                      </a:extLst>
                    </a:blip>
                    <a:stretch>
                      <a:fillRect/>
                    </a:stretch>
                  </pic:blipFill>
                  <pic:spPr>
                    <a:xfrm>
                      <a:off x="0" y="0"/>
                      <a:ext cx="5760720" cy="5935980"/>
                    </a:xfrm>
                    <a:prstGeom prst="rect">
                      <a:avLst/>
                    </a:prstGeom>
                  </pic:spPr>
                </pic:pic>
              </a:graphicData>
            </a:graphic>
          </wp:inline>
        </w:drawing>
      </w:r>
    </w:p>
    <w:p w:rsidR="00A1153D" w:rsidRPr="005C1AF5" w:rsidRDefault="00EA1611" w:rsidP="00A1153D">
      <w:pPr>
        <w:pStyle w:val="Caption"/>
        <w:rPr>
          <w:b w:val="0"/>
          <w:lang w:val="en-US"/>
        </w:rPr>
      </w:pPr>
      <w:bookmarkStart w:id="3" w:name="_Ref501626698"/>
      <w:r>
        <w:rPr>
          <w:lang w:val="en-US"/>
        </w:rPr>
        <w:t xml:space="preserve">Additional file 2: </w:t>
      </w:r>
      <w:r w:rsidR="00A1153D" w:rsidRPr="005C1AF5">
        <w:rPr>
          <w:lang w:val="en-US"/>
        </w:rPr>
        <w:t xml:space="preserve">Figure </w:t>
      </w:r>
      <w:r>
        <w:rPr>
          <w:lang w:val="en-US"/>
        </w:rPr>
        <w:t>S</w:t>
      </w:r>
      <w:r w:rsidR="00A1153D">
        <w:fldChar w:fldCharType="begin"/>
      </w:r>
      <w:r w:rsidR="00A1153D" w:rsidRPr="005C1AF5">
        <w:rPr>
          <w:lang w:val="en-US"/>
        </w:rPr>
        <w:instrText xml:space="preserve"> SEQ Figure \* ARABIC </w:instrText>
      </w:r>
      <w:r w:rsidR="00A1153D">
        <w:fldChar w:fldCharType="separate"/>
      </w:r>
      <w:r w:rsidR="00A1153D">
        <w:rPr>
          <w:noProof/>
          <w:lang w:val="en-US"/>
        </w:rPr>
        <w:t>1</w:t>
      </w:r>
      <w:r w:rsidR="00A1153D">
        <w:rPr>
          <w:noProof/>
        </w:rPr>
        <w:fldChar w:fldCharType="end"/>
      </w:r>
      <w:bookmarkEnd w:id="3"/>
      <w:r w:rsidR="00A1153D" w:rsidRPr="005C1AF5">
        <w:rPr>
          <w:noProof/>
          <w:lang w:val="en-US"/>
        </w:rPr>
        <w:t xml:space="preserve">: </w:t>
      </w:r>
      <w:r w:rsidR="00A1153D" w:rsidRPr="005C1AF5">
        <w:rPr>
          <w:lang w:val="en-US"/>
        </w:rPr>
        <w:t>Metabolite pool sizes depend on where the majority of energy is utilized.</w:t>
      </w:r>
    </w:p>
    <w:p w:rsidR="00A1153D" w:rsidRPr="00A1153D" w:rsidRDefault="00A1153D" w:rsidP="00A1153D">
      <w:pPr>
        <w:pStyle w:val="Caption"/>
        <w:rPr>
          <w:b w:val="0"/>
          <w:lang w:val="en-US"/>
        </w:rPr>
      </w:pPr>
      <w:r w:rsidRPr="00A1153D">
        <w:rPr>
          <w:b w:val="0"/>
          <w:lang w:val="en-US"/>
        </w:rPr>
        <w:t xml:space="preserve">The mean pool sizes in individuals with predominantly peripheral energy expenditure [P] are depicted in red; mean pool sizes in individuals with predominantly hepatic energy expenditure [H] in blue; and mean pool sizes of individuals with both peripheral and hepatic energy expenditure [P+H] in purple. All pool sizes of plasma metabolites are expressed as concentration in </w:t>
      </w:r>
      <w:proofErr w:type="spellStart"/>
      <w:r w:rsidRPr="00A1153D">
        <w:rPr>
          <w:b w:val="0"/>
          <w:lang w:val="en-US"/>
        </w:rPr>
        <w:t>mM</w:t>
      </w:r>
      <w:proofErr w:type="spellEnd"/>
      <w:r w:rsidRPr="00A1153D">
        <w:rPr>
          <w:b w:val="0"/>
          <w:lang w:val="en-US"/>
        </w:rPr>
        <w:t>; all other pool sizes are expressed in µmol.</w:t>
      </w:r>
    </w:p>
    <w:p w:rsidR="00A1153D" w:rsidRDefault="00A1153D" w:rsidP="00A1153D">
      <w:r>
        <w:rPr>
          <w:noProof/>
          <w:lang w:val="en-US"/>
        </w:rPr>
        <w:lastRenderedPageBreak/>
        <w:drawing>
          <wp:inline distT="0" distB="0" distL="0" distR="0" wp14:anchorId="1EA8E5C6" wp14:editId="5083901B">
            <wp:extent cx="5760720" cy="7902575"/>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_92 MC-j1.png"/>
                    <pic:cNvPicPr/>
                  </pic:nvPicPr>
                  <pic:blipFill>
                    <a:blip r:embed="rId8">
                      <a:extLst>
                        <a:ext uri="{28A0092B-C50C-407E-A947-70E740481C1C}">
                          <a14:useLocalDpi xmlns:a14="http://schemas.microsoft.com/office/drawing/2010/main" val="0"/>
                        </a:ext>
                      </a:extLst>
                    </a:blip>
                    <a:stretch>
                      <a:fillRect/>
                    </a:stretch>
                  </pic:blipFill>
                  <pic:spPr>
                    <a:xfrm>
                      <a:off x="0" y="0"/>
                      <a:ext cx="5760720" cy="7902575"/>
                    </a:xfrm>
                    <a:prstGeom prst="rect">
                      <a:avLst/>
                    </a:prstGeom>
                  </pic:spPr>
                </pic:pic>
              </a:graphicData>
            </a:graphic>
          </wp:inline>
        </w:drawing>
      </w:r>
    </w:p>
    <w:p w:rsidR="00055C3E" w:rsidRDefault="00055C3E" w:rsidP="00A1153D">
      <w:r>
        <w:rPr>
          <w:noProof/>
          <w:lang w:val="en-US"/>
        </w:rPr>
        <w:lastRenderedPageBreak/>
        <w:drawing>
          <wp:inline distT="0" distB="0" distL="0" distR="0">
            <wp:extent cx="5760720" cy="6861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6_93 MC-j2.png"/>
                    <pic:cNvPicPr/>
                  </pic:nvPicPr>
                  <pic:blipFill>
                    <a:blip r:embed="rId9">
                      <a:extLst>
                        <a:ext uri="{28A0092B-C50C-407E-A947-70E740481C1C}">
                          <a14:useLocalDpi xmlns:a14="http://schemas.microsoft.com/office/drawing/2010/main" val="0"/>
                        </a:ext>
                      </a:extLst>
                    </a:blip>
                    <a:stretch>
                      <a:fillRect/>
                    </a:stretch>
                  </pic:blipFill>
                  <pic:spPr>
                    <a:xfrm>
                      <a:off x="0" y="0"/>
                      <a:ext cx="5760720" cy="6861175"/>
                    </a:xfrm>
                    <a:prstGeom prst="rect">
                      <a:avLst/>
                    </a:prstGeom>
                  </pic:spPr>
                </pic:pic>
              </a:graphicData>
            </a:graphic>
          </wp:inline>
        </w:drawing>
      </w:r>
    </w:p>
    <w:p w:rsidR="00A1153D" w:rsidRPr="005C1AF5" w:rsidRDefault="00A1153D" w:rsidP="00A1153D">
      <w:pPr>
        <w:pStyle w:val="Caption"/>
        <w:rPr>
          <w:lang w:val="en-US"/>
        </w:rPr>
      </w:pPr>
      <w:bookmarkStart w:id="4" w:name="_Ref501623192"/>
      <w:r w:rsidRPr="005C1AF5">
        <w:rPr>
          <w:lang w:val="en-US"/>
        </w:rPr>
        <w:t xml:space="preserve">Figure </w:t>
      </w:r>
      <w:r w:rsidR="00EA1611">
        <w:rPr>
          <w:lang w:val="en-US"/>
        </w:rPr>
        <w:t>S</w:t>
      </w:r>
      <w:r>
        <w:fldChar w:fldCharType="begin"/>
      </w:r>
      <w:r w:rsidRPr="005C1AF5">
        <w:rPr>
          <w:lang w:val="en-US"/>
        </w:rPr>
        <w:instrText xml:space="preserve"> SEQ Figure \* ARABIC </w:instrText>
      </w:r>
      <w:r>
        <w:fldChar w:fldCharType="separate"/>
      </w:r>
      <w:r>
        <w:rPr>
          <w:noProof/>
          <w:lang w:val="en-US"/>
        </w:rPr>
        <w:t>2</w:t>
      </w:r>
      <w:r>
        <w:rPr>
          <w:noProof/>
        </w:rPr>
        <w:fldChar w:fldCharType="end"/>
      </w:r>
      <w:bookmarkEnd w:id="4"/>
      <w:r w:rsidRPr="005C1AF5">
        <w:rPr>
          <w:noProof/>
          <w:lang w:val="en-US"/>
        </w:rPr>
        <w:t xml:space="preserve">: </w:t>
      </w:r>
      <w:r w:rsidRPr="005C1AF5">
        <w:rPr>
          <w:lang w:val="en-US"/>
        </w:rPr>
        <w:t xml:space="preserve">Metabolic fluxes depend on where the majority of energy is </w:t>
      </w:r>
      <w:r>
        <w:rPr>
          <w:lang w:val="en-US"/>
        </w:rPr>
        <w:t>consumed</w:t>
      </w:r>
      <w:r w:rsidRPr="005C1AF5">
        <w:rPr>
          <w:lang w:val="en-US"/>
        </w:rPr>
        <w:t>.</w:t>
      </w:r>
    </w:p>
    <w:p w:rsidR="00731DD3" w:rsidRPr="00A1153D" w:rsidRDefault="00A1153D" w:rsidP="00A1153D">
      <w:pPr>
        <w:pStyle w:val="Caption"/>
        <w:rPr>
          <w:b w:val="0"/>
          <w:lang w:val="en-US"/>
        </w:rPr>
      </w:pPr>
      <w:r w:rsidRPr="00A1153D">
        <w:rPr>
          <w:b w:val="0"/>
          <w:lang w:val="en-US"/>
        </w:rPr>
        <w:t>The mean fluxes in individuals with predominantly peripheral energy expenditure [P] are depicted in red; mean fluxes in individuals with predominantly hepatic energy expenditure [H] in blue; and mean fluxes of individuals with both peripheral and hepatic energy expenditure [P+H] in purple. All fluxes are expressed in µ</w:t>
      </w:r>
      <w:proofErr w:type="spellStart"/>
      <w:r w:rsidRPr="00A1153D">
        <w:rPr>
          <w:b w:val="0"/>
          <w:lang w:val="en-US"/>
        </w:rPr>
        <w:t>mol</w:t>
      </w:r>
      <w:proofErr w:type="spellEnd"/>
      <w:r w:rsidRPr="00A1153D">
        <w:rPr>
          <w:b w:val="0"/>
          <w:lang w:val="en-US"/>
        </w:rPr>
        <w:t>/day.</w:t>
      </w:r>
      <w:bookmarkEnd w:id="0"/>
      <w:bookmarkEnd w:id="1"/>
    </w:p>
    <w:sectPr w:rsidR="00731DD3" w:rsidRPr="00A1153D" w:rsidSect="00A1153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8D6" w:rsidRDefault="00B808D6">
      <w:r>
        <w:separator/>
      </w:r>
    </w:p>
  </w:endnote>
  <w:endnote w:type="continuationSeparator" w:id="0">
    <w:p w:rsidR="00B808D6" w:rsidRDefault="00B80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E72" w:rsidRDefault="00B808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8D6" w:rsidRDefault="00B808D6">
      <w:r>
        <w:separator/>
      </w:r>
    </w:p>
  </w:footnote>
  <w:footnote w:type="continuationSeparator" w:id="0">
    <w:p w:rsidR="00B808D6" w:rsidRDefault="00B808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
  </w:docVars>
  <w:rsids>
    <w:rsidRoot w:val="00A1153D"/>
    <w:rsid w:val="00055C3E"/>
    <w:rsid w:val="000B2797"/>
    <w:rsid w:val="00130D84"/>
    <w:rsid w:val="002A4295"/>
    <w:rsid w:val="0032701E"/>
    <w:rsid w:val="003A0BBE"/>
    <w:rsid w:val="003B08A1"/>
    <w:rsid w:val="00412174"/>
    <w:rsid w:val="006039CA"/>
    <w:rsid w:val="006631D4"/>
    <w:rsid w:val="00700F03"/>
    <w:rsid w:val="007442B4"/>
    <w:rsid w:val="007667A3"/>
    <w:rsid w:val="007A0969"/>
    <w:rsid w:val="008E396A"/>
    <w:rsid w:val="009B06FC"/>
    <w:rsid w:val="00A1153D"/>
    <w:rsid w:val="00A365CA"/>
    <w:rsid w:val="00B808D6"/>
    <w:rsid w:val="00BC7495"/>
    <w:rsid w:val="00C053C8"/>
    <w:rsid w:val="00C0618A"/>
    <w:rsid w:val="00D4647F"/>
    <w:rsid w:val="00D677A6"/>
    <w:rsid w:val="00D75C35"/>
    <w:rsid w:val="00D94A60"/>
    <w:rsid w:val="00DB0657"/>
    <w:rsid w:val="00E9379F"/>
    <w:rsid w:val="00EA0F61"/>
    <w:rsid w:val="00EA1611"/>
    <w:rsid w:val="00F3535C"/>
    <w:rsid w:val="00F77546"/>
    <w:rsid w:val="00F85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53D"/>
    <w:pPr>
      <w:spacing w:after="0" w:line="240" w:lineRule="auto"/>
    </w:pPr>
  </w:style>
  <w:style w:type="paragraph" w:styleId="Heading1">
    <w:name w:val="heading 1"/>
    <w:basedOn w:val="Normal"/>
    <w:next w:val="Normal"/>
    <w:link w:val="Heading1Char"/>
    <w:uiPriority w:val="9"/>
    <w:qFormat/>
    <w:rsid w:val="00A1153D"/>
    <w:pPr>
      <w:keepNext/>
      <w:keepLines/>
      <w:spacing w:line="480" w:lineRule="auto"/>
      <w:outlineLvl w:val="0"/>
    </w:pPr>
    <w:rPr>
      <w:rFonts w:eastAsiaTheme="majorEastAsia" w:cstheme="majorBidi"/>
      <w:b/>
      <w:sz w:val="28"/>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53D"/>
    <w:rPr>
      <w:rFonts w:eastAsiaTheme="majorEastAsia" w:cstheme="majorBidi"/>
      <w:b/>
      <w:sz w:val="28"/>
      <w:szCs w:val="32"/>
      <w:u w:val="single"/>
    </w:rPr>
  </w:style>
  <w:style w:type="paragraph" w:styleId="Caption">
    <w:name w:val="caption"/>
    <w:basedOn w:val="Normal"/>
    <w:next w:val="Normal"/>
    <w:uiPriority w:val="35"/>
    <w:unhideWhenUsed/>
    <w:qFormat/>
    <w:rsid w:val="00A1153D"/>
    <w:rPr>
      <w:b/>
      <w:iCs/>
      <w:sz w:val="18"/>
      <w:szCs w:val="18"/>
    </w:rPr>
  </w:style>
  <w:style w:type="paragraph" w:styleId="Footer">
    <w:name w:val="footer"/>
    <w:basedOn w:val="Normal"/>
    <w:link w:val="FooterChar"/>
    <w:uiPriority w:val="99"/>
    <w:unhideWhenUsed/>
    <w:rsid w:val="00A1153D"/>
    <w:pPr>
      <w:tabs>
        <w:tab w:val="center" w:pos="4536"/>
        <w:tab w:val="right" w:pos="9072"/>
      </w:tabs>
    </w:pPr>
  </w:style>
  <w:style w:type="character" w:customStyle="1" w:styleId="FooterChar">
    <w:name w:val="Footer Char"/>
    <w:basedOn w:val="DefaultParagraphFont"/>
    <w:link w:val="Footer"/>
    <w:uiPriority w:val="99"/>
    <w:rsid w:val="00A1153D"/>
  </w:style>
  <w:style w:type="character" w:styleId="LineNumber">
    <w:name w:val="line number"/>
    <w:basedOn w:val="DefaultParagraphFont"/>
    <w:uiPriority w:val="99"/>
    <w:semiHidden/>
    <w:unhideWhenUsed/>
    <w:rsid w:val="00A1153D"/>
  </w:style>
  <w:style w:type="paragraph" w:styleId="BalloonText">
    <w:name w:val="Balloon Text"/>
    <w:basedOn w:val="Normal"/>
    <w:link w:val="BalloonTextChar"/>
    <w:uiPriority w:val="99"/>
    <w:semiHidden/>
    <w:unhideWhenUsed/>
    <w:rsid w:val="00EA1611"/>
    <w:rPr>
      <w:rFonts w:ascii="Tahoma" w:hAnsi="Tahoma" w:cs="Tahoma"/>
      <w:sz w:val="16"/>
      <w:szCs w:val="16"/>
    </w:rPr>
  </w:style>
  <w:style w:type="character" w:customStyle="1" w:styleId="BalloonTextChar">
    <w:name w:val="Balloon Text Char"/>
    <w:basedOn w:val="DefaultParagraphFont"/>
    <w:link w:val="BalloonText"/>
    <w:uiPriority w:val="99"/>
    <w:semiHidden/>
    <w:rsid w:val="00EA16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53D"/>
    <w:pPr>
      <w:spacing w:after="0" w:line="240" w:lineRule="auto"/>
    </w:pPr>
  </w:style>
  <w:style w:type="paragraph" w:styleId="Heading1">
    <w:name w:val="heading 1"/>
    <w:basedOn w:val="Normal"/>
    <w:next w:val="Normal"/>
    <w:link w:val="Heading1Char"/>
    <w:uiPriority w:val="9"/>
    <w:qFormat/>
    <w:rsid w:val="00A1153D"/>
    <w:pPr>
      <w:keepNext/>
      <w:keepLines/>
      <w:spacing w:line="480" w:lineRule="auto"/>
      <w:outlineLvl w:val="0"/>
    </w:pPr>
    <w:rPr>
      <w:rFonts w:eastAsiaTheme="majorEastAsia" w:cstheme="majorBidi"/>
      <w:b/>
      <w:sz w:val="28"/>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53D"/>
    <w:rPr>
      <w:rFonts w:eastAsiaTheme="majorEastAsia" w:cstheme="majorBidi"/>
      <w:b/>
      <w:sz w:val="28"/>
      <w:szCs w:val="32"/>
      <w:u w:val="single"/>
    </w:rPr>
  </w:style>
  <w:style w:type="paragraph" w:styleId="Caption">
    <w:name w:val="caption"/>
    <w:basedOn w:val="Normal"/>
    <w:next w:val="Normal"/>
    <w:uiPriority w:val="35"/>
    <w:unhideWhenUsed/>
    <w:qFormat/>
    <w:rsid w:val="00A1153D"/>
    <w:rPr>
      <w:b/>
      <w:iCs/>
      <w:sz w:val="18"/>
      <w:szCs w:val="18"/>
    </w:rPr>
  </w:style>
  <w:style w:type="paragraph" w:styleId="Footer">
    <w:name w:val="footer"/>
    <w:basedOn w:val="Normal"/>
    <w:link w:val="FooterChar"/>
    <w:uiPriority w:val="99"/>
    <w:unhideWhenUsed/>
    <w:rsid w:val="00A1153D"/>
    <w:pPr>
      <w:tabs>
        <w:tab w:val="center" w:pos="4536"/>
        <w:tab w:val="right" w:pos="9072"/>
      </w:tabs>
    </w:pPr>
  </w:style>
  <w:style w:type="character" w:customStyle="1" w:styleId="FooterChar">
    <w:name w:val="Footer Char"/>
    <w:basedOn w:val="DefaultParagraphFont"/>
    <w:link w:val="Footer"/>
    <w:uiPriority w:val="99"/>
    <w:rsid w:val="00A1153D"/>
  </w:style>
  <w:style w:type="character" w:styleId="LineNumber">
    <w:name w:val="line number"/>
    <w:basedOn w:val="DefaultParagraphFont"/>
    <w:uiPriority w:val="99"/>
    <w:semiHidden/>
    <w:unhideWhenUsed/>
    <w:rsid w:val="00A1153D"/>
  </w:style>
  <w:style w:type="paragraph" w:styleId="BalloonText">
    <w:name w:val="Balloon Text"/>
    <w:basedOn w:val="Normal"/>
    <w:link w:val="BalloonTextChar"/>
    <w:uiPriority w:val="99"/>
    <w:semiHidden/>
    <w:unhideWhenUsed/>
    <w:rsid w:val="00EA1611"/>
    <w:rPr>
      <w:rFonts w:ascii="Tahoma" w:hAnsi="Tahoma" w:cs="Tahoma"/>
      <w:sz w:val="16"/>
      <w:szCs w:val="16"/>
    </w:rPr>
  </w:style>
  <w:style w:type="character" w:customStyle="1" w:styleId="BalloonTextChar">
    <w:name w:val="Balloon Text Char"/>
    <w:basedOn w:val="DefaultParagraphFont"/>
    <w:link w:val="BalloonText"/>
    <w:uiPriority w:val="99"/>
    <w:semiHidden/>
    <w:rsid w:val="00EA16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246</Words>
  <Characters>1384</Characters>
  <Application>Microsoft Office Word</Application>
  <DocSecurity>0</DocSecurity>
  <Lines>20</Lines>
  <Paragraphs>6</Paragraphs>
  <ScaleCrop>false</ScaleCrop>
  <Company>TU/e</Company>
  <LinksUpToDate>false</LinksUpToDate>
  <CharactersWithSpaces>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Rozendaal, Y.J.W.</dc:creator>
  <cp:keywords/>
  <dc:description/>
  <cp:lastModifiedBy>MSARDAN</cp:lastModifiedBy>
  <cp:revision>8</cp:revision>
  <dcterms:created xsi:type="dcterms:W3CDTF">2018-11-01T20:46:00Z</dcterms:created>
  <dcterms:modified xsi:type="dcterms:W3CDTF">2019-02-15T23:34:00Z</dcterms:modified>
</cp:coreProperties>
</file>