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 w:eastAsiaTheme="minorEastAsia"/>
          <w:b/>
          <w:bCs/>
          <w:color w:val="000000"/>
          <w:kern w:val="0"/>
          <w:sz w:val="24"/>
          <w:szCs w:val="24"/>
          <w:lang w:val="en-US" w:eastAsia="zh-CN" w:bidi="ar-SA"/>
        </w:rPr>
        <w:t>Supplemental Data Table S1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V</w:t>
      </w:r>
      <w:r>
        <w:rPr>
          <w:rFonts w:ascii="Times New Roman" w:hAnsi="Times New Roman" w:cs="Times New Roman"/>
          <w:sz w:val="24"/>
          <w:szCs w:val="24"/>
        </w:rPr>
        <w:t>ariants of uncertain significance identi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fied by medical exome sequencing.</w:t>
      </w:r>
    </w:p>
    <w:tbl>
      <w:tblPr>
        <w:tblStyle w:val="5"/>
        <w:tblW w:w="160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1510"/>
        <w:gridCol w:w="2102"/>
        <w:gridCol w:w="2102"/>
        <w:gridCol w:w="2220"/>
        <w:gridCol w:w="1278"/>
        <w:gridCol w:w="3088"/>
        <w:gridCol w:w="1396"/>
        <w:gridCol w:w="12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102" w:type="dxa"/>
            <w:vAlign w:val="bottom"/>
          </w:tcPr>
          <w:p>
            <w:pPr>
              <w:widowControl/>
              <w:pBdr>
                <w:bottom w:val="single" w:color="auto" w:sz="4" w:space="1"/>
              </w:pBdr>
              <w:jc w:val="left"/>
              <w:rPr>
                <w:rFonts w:ascii="Times New Roman" w:hAnsi="Times New Roman" w:cs="Times New Roman"/>
                <w:sz w:val="18"/>
              </w:rPr>
            </w:pPr>
            <w:r>
              <w:rPr>
                <w:rFonts w:hint="eastAsia" w:ascii="Times New Roman" w:hAnsi="Times New Roman" w:cs="Times New Roman"/>
                <w:sz w:val="18"/>
              </w:rPr>
              <w:t>P</w:t>
            </w:r>
            <w:r>
              <w:rPr>
                <w:rFonts w:ascii="Times New Roman" w:hAnsi="Times New Roman" w:cs="Times New Roman"/>
                <w:sz w:val="18"/>
              </w:rPr>
              <w:t>atient</w:t>
            </w:r>
          </w:p>
        </w:tc>
        <w:tc>
          <w:tcPr>
            <w:tcW w:w="1510" w:type="dxa"/>
            <w:vAlign w:val="bottom"/>
          </w:tcPr>
          <w:p>
            <w:pPr>
              <w:widowControl/>
              <w:pBdr>
                <w:bottom w:val="single" w:color="auto" w:sz="4" w:space="1"/>
              </w:pBd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hint="eastAsia" w:ascii="Times New Roman" w:hAnsi="Times New Roman" w:cs="Times New Roman"/>
                <w:sz w:val="18"/>
              </w:rPr>
              <w:t>G</w:t>
            </w:r>
            <w:r>
              <w:rPr>
                <w:rFonts w:ascii="Times New Roman" w:hAnsi="Times New Roman" w:cs="Times New Roman"/>
                <w:sz w:val="18"/>
              </w:rPr>
              <w:t>ene</w:t>
            </w:r>
          </w:p>
        </w:tc>
        <w:tc>
          <w:tcPr>
            <w:tcW w:w="2102" w:type="dxa"/>
            <w:vAlign w:val="bottom"/>
          </w:tcPr>
          <w:p>
            <w:pPr>
              <w:widowControl/>
              <w:pBdr>
                <w:bottom w:val="single" w:color="auto" w:sz="4" w:space="1"/>
              </w:pBdr>
              <w:spacing w:line="240" w:lineRule="atLeast"/>
              <w:jc w:val="center"/>
              <w:rPr>
                <w:rFonts w:hint="default" w:ascii="Times New Roman" w:hAnsi="Times New Roman" w:cs="Times New Roman" w:eastAsiaTheme="minorEastAsia"/>
                <w:sz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Transcript</w:t>
            </w:r>
          </w:p>
        </w:tc>
        <w:tc>
          <w:tcPr>
            <w:tcW w:w="2102" w:type="dxa"/>
            <w:vAlign w:val="bottom"/>
          </w:tcPr>
          <w:p>
            <w:pPr>
              <w:widowControl/>
              <w:pBdr>
                <w:bottom w:val="single" w:color="auto" w:sz="4" w:space="1"/>
              </w:pBdr>
              <w:spacing w:line="240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Nucleotide change</w:t>
            </w:r>
          </w:p>
        </w:tc>
        <w:tc>
          <w:tcPr>
            <w:tcW w:w="2220" w:type="dxa"/>
            <w:vAlign w:val="bottom"/>
          </w:tcPr>
          <w:p>
            <w:pPr>
              <w:widowControl/>
              <w:pBdr>
                <w:bottom w:val="single" w:color="auto" w:sz="4" w:space="1"/>
              </w:pBdr>
              <w:spacing w:line="240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Amino acid change</w:t>
            </w:r>
          </w:p>
        </w:tc>
        <w:tc>
          <w:tcPr>
            <w:tcW w:w="1278" w:type="dxa"/>
            <w:vAlign w:val="bottom"/>
          </w:tcPr>
          <w:p>
            <w:pPr>
              <w:widowControl/>
              <w:pBdr>
                <w:bottom w:val="single" w:color="auto" w:sz="4" w:space="1"/>
              </w:pBdr>
              <w:spacing w:line="240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Het</w:t>
            </w:r>
            <w:r>
              <w:rPr>
                <w:rFonts w:hint="eastAsia" w:ascii="Times New Roman" w:hAnsi="Times New Roman" w:cs="Times New Roman"/>
                <w:sz w:val="18"/>
              </w:rPr>
              <w:t>/</w:t>
            </w:r>
            <w:r>
              <w:rPr>
                <w:rFonts w:ascii="Times New Roman" w:hAnsi="Times New Roman" w:cs="Times New Roman"/>
                <w:sz w:val="18"/>
              </w:rPr>
              <w:t>Hom</w:t>
            </w:r>
          </w:p>
        </w:tc>
        <w:tc>
          <w:tcPr>
            <w:tcW w:w="3088" w:type="dxa"/>
            <w:vAlign w:val="bottom"/>
          </w:tcPr>
          <w:p>
            <w:pPr>
              <w:widowControl/>
              <w:pBdr>
                <w:bottom w:val="single" w:color="auto" w:sz="4" w:space="1"/>
              </w:pBd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Related </w:t>
            </w:r>
            <w:r>
              <w:rPr>
                <w:rFonts w:hint="eastAsia" w:ascii="Times New Roman" w:hAnsi="Times New Roman" w:cs="Times New Roman"/>
                <w:sz w:val="18"/>
              </w:rPr>
              <w:t>d</w:t>
            </w:r>
            <w:r>
              <w:rPr>
                <w:rFonts w:ascii="Times New Roman" w:hAnsi="Times New Roman" w:cs="Times New Roman"/>
                <w:sz w:val="18"/>
              </w:rPr>
              <w:t>isease</w:t>
            </w:r>
          </w:p>
        </w:tc>
        <w:tc>
          <w:tcPr>
            <w:tcW w:w="1396" w:type="dxa"/>
            <w:vAlign w:val="bottom"/>
          </w:tcPr>
          <w:p>
            <w:pPr>
              <w:widowControl/>
              <w:pBdr>
                <w:bottom w:val="single" w:color="auto" w:sz="4" w:space="1"/>
              </w:pBd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hint="eastAsia" w:ascii="Times New Roman" w:hAnsi="Times New Roman" w:cs="Times New Roman"/>
                <w:sz w:val="18"/>
              </w:rPr>
              <w:t>o</w:t>
            </w:r>
            <w:r>
              <w:rPr>
                <w:rFonts w:ascii="Times New Roman" w:hAnsi="Times New Roman" w:cs="Times New Roman"/>
                <w:sz w:val="18"/>
              </w:rPr>
              <w:t>rigin</w:t>
            </w:r>
          </w:p>
        </w:tc>
        <w:tc>
          <w:tcPr>
            <w:tcW w:w="1262" w:type="dxa"/>
            <w:vAlign w:val="bottom"/>
          </w:tcPr>
          <w:p>
            <w:pPr>
              <w:widowControl/>
              <w:pBdr>
                <w:bottom w:val="single" w:color="auto" w:sz="4" w:space="1"/>
              </w:pBd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Literature report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102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25</w:t>
            </w:r>
          </w:p>
        </w:tc>
        <w:tc>
          <w:tcPr>
            <w:tcW w:w="1510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AP4M1</w:t>
            </w:r>
          </w:p>
        </w:tc>
        <w:tc>
          <w:tcPr>
            <w:tcW w:w="2102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NM_004722</w:t>
            </w:r>
          </w:p>
        </w:tc>
        <w:tc>
          <w:tcPr>
            <w:tcW w:w="2102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c.26C&gt;T</w:t>
            </w:r>
          </w:p>
        </w:tc>
        <w:tc>
          <w:tcPr>
            <w:tcW w:w="2220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p.Ser9Phe</w:t>
            </w:r>
          </w:p>
        </w:tc>
        <w:tc>
          <w:tcPr>
            <w:tcW w:w="1278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hom</w:t>
            </w:r>
          </w:p>
        </w:tc>
        <w:tc>
          <w:tcPr>
            <w:tcW w:w="3088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Spastic paraplegia 50</w:t>
            </w:r>
          </w:p>
        </w:tc>
        <w:tc>
          <w:tcPr>
            <w:tcW w:w="1396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Paternal Maternal</w:t>
            </w:r>
          </w:p>
        </w:tc>
        <w:tc>
          <w:tcPr>
            <w:tcW w:w="1262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Novel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102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43</w:t>
            </w:r>
          </w:p>
        </w:tc>
        <w:tc>
          <w:tcPr>
            <w:tcW w:w="1510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SLC9A6</w:t>
            </w:r>
          </w:p>
        </w:tc>
        <w:tc>
          <w:tcPr>
            <w:tcW w:w="2102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NM_006359</w:t>
            </w:r>
          </w:p>
        </w:tc>
        <w:tc>
          <w:tcPr>
            <w:tcW w:w="2102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c.286G</w:t>
            </w: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&gt;</w:t>
            </w: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A</w:t>
            </w:r>
          </w:p>
        </w:tc>
        <w:tc>
          <w:tcPr>
            <w:tcW w:w="2220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p.A</w:t>
            </w: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la</w:t>
            </w: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96T</w:t>
            </w: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hr</w:t>
            </w:r>
          </w:p>
        </w:tc>
        <w:tc>
          <w:tcPr>
            <w:tcW w:w="1278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hemi</w:t>
            </w:r>
          </w:p>
        </w:tc>
        <w:tc>
          <w:tcPr>
            <w:tcW w:w="3088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Trimethylaminuria</w:t>
            </w:r>
          </w:p>
        </w:tc>
        <w:tc>
          <w:tcPr>
            <w:tcW w:w="1396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Maternal</w:t>
            </w:r>
          </w:p>
        </w:tc>
        <w:tc>
          <w:tcPr>
            <w:tcW w:w="1262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Novel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102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47</w:t>
            </w:r>
          </w:p>
        </w:tc>
        <w:tc>
          <w:tcPr>
            <w:tcW w:w="1510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COX15</w:t>
            </w:r>
          </w:p>
        </w:tc>
        <w:tc>
          <w:tcPr>
            <w:tcW w:w="2102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NM_078470</w:t>
            </w:r>
          </w:p>
        </w:tc>
        <w:tc>
          <w:tcPr>
            <w:tcW w:w="2102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c.647C&gt;T</w:t>
            </w:r>
          </w:p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c.583G&gt;C</w:t>
            </w:r>
          </w:p>
        </w:tc>
        <w:tc>
          <w:tcPr>
            <w:tcW w:w="2220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p.P</w:t>
            </w: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ro</w:t>
            </w: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216L</w:t>
            </w: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eu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sz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p.G</w:t>
            </w: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ly</w:t>
            </w: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195</w:t>
            </w: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Arg</w:t>
            </w:r>
          </w:p>
        </w:tc>
        <w:tc>
          <w:tcPr>
            <w:tcW w:w="1278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et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sz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het</w:t>
            </w:r>
          </w:p>
        </w:tc>
        <w:tc>
          <w:tcPr>
            <w:tcW w:w="3088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Cardioencephalomyopathy, fatal infantile, due to cytochrome c oxidase deficiency 2; Leigh syndrome due to cytochrome c oxidase deficiency</w:t>
            </w:r>
          </w:p>
        </w:tc>
        <w:tc>
          <w:tcPr>
            <w:tcW w:w="1396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Paternal</w:t>
            </w:r>
          </w:p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Maternal</w:t>
            </w:r>
          </w:p>
        </w:tc>
        <w:tc>
          <w:tcPr>
            <w:tcW w:w="1262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Novel</w:t>
            </w:r>
          </w:p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</w:rPr>
              <w:t>N</w:t>
            </w:r>
            <w:r>
              <w:rPr>
                <w:rFonts w:ascii="Times New Roman" w:hAnsi="Times New Roman" w:cs="Times New Roman"/>
                <w:sz w:val="18"/>
              </w:rPr>
              <w:t>ovel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102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51</w:t>
            </w:r>
          </w:p>
        </w:tc>
        <w:tc>
          <w:tcPr>
            <w:tcW w:w="1510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SOX3</w:t>
            </w:r>
          </w:p>
        </w:tc>
        <w:tc>
          <w:tcPr>
            <w:tcW w:w="2102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NM_005634</w:t>
            </w:r>
          </w:p>
        </w:tc>
        <w:tc>
          <w:tcPr>
            <w:tcW w:w="2102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c.316G&gt;A</w:t>
            </w:r>
          </w:p>
        </w:tc>
        <w:tc>
          <w:tcPr>
            <w:tcW w:w="2220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p.A</w:t>
            </w: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la</w:t>
            </w: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106T</w:t>
            </w: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hr</w:t>
            </w:r>
          </w:p>
        </w:tc>
        <w:tc>
          <w:tcPr>
            <w:tcW w:w="1278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hemi</w:t>
            </w:r>
          </w:p>
        </w:tc>
        <w:tc>
          <w:tcPr>
            <w:tcW w:w="3088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Mental retardation, X-linked, with isolated growth hormone deficiency; Panhypopituitarism, X-linked</w:t>
            </w:r>
          </w:p>
        </w:tc>
        <w:tc>
          <w:tcPr>
            <w:tcW w:w="1396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Maternal</w:t>
            </w:r>
          </w:p>
        </w:tc>
        <w:tc>
          <w:tcPr>
            <w:tcW w:w="1262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Novel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102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67</w:t>
            </w:r>
          </w:p>
        </w:tc>
        <w:tc>
          <w:tcPr>
            <w:tcW w:w="1510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CC2D1A</w:t>
            </w:r>
          </w:p>
        </w:tc>
        <w:tc>
          <w:tcPr>
            <w:tcW w:w="2102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NM_017721</w:t>
            </w:r>
          </w:p>
        </w:tc>
        <w:tc>
          <w:tcPr>
            <w:tcW w:w="2102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c.270G&gt;C</w:t>
            </w:r>
          </w:p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c.2342G&gt;T</w:t>
            </w:r>
          </w:p>
        </w:tc>
        <w:tc>
          <w:tcPr>
            <w:tcW w:w="2220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p.</w:t>
            </w: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Glu</w:t>
            </w: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90</w:t>
            </w: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Asp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sz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p.</w:t>
            </w: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Gly</w:t>
            </w: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781</w:t>
            </w: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Val</w:t>
            </w:r>
          </w:p>
        </w:tc>
        <w:tc>
          <w:tcPr>
            <w:tcW w:w="1278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et</w:t>
            </w:r>
          </w:p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het</w:t>
            </w:r>
          </w:p>
        </w:tc>
        <w:tc>
          <w:tcPr>
            <w:tcW w:w="3088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Mental retardation, autosomal recessive 3</w:t>
            </w:r>
          </w:p>
        </w:tc>
        <w:tc>
          <w:tcPr>
            <w:tcW w:w="1396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sz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Paternal</w:t>
            </w:r>
          </w:p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lang w:val="en-US" w:eastAsia="zh-CN"/>
              </w:rPr>
              <w:t>Maternal</w:t>
            </w:r>
          </w:p>
        </w:tc>
        <w:tc>
          <w:tcPr>
            <w:tcW w:w="1262" w:type="dxa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Novel</w:t>
            </w:r>
          </w:p>
          <w:p>
            <w:pPr>
              <w:widowControl/>
              <w:jc w:val="center"/>
              <w:rPr>
                <w:rFonts w:hint="eastAsia" w:ascii="Times New Roman" w:hAnsi="Times New Roman" w:cs="Times New Roman"/>
                <w:sz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lang w:val="en-US" w:eastAsia="zh-CN"/>
              </w:rPr>
              <w:t>Novel</w:t>
            </w:r>
          </w:p>
        </w:tc>
      </w:tr>
    </w:tbl>
    <w:p>
      <w:pPr>
        <w:pStyle w:val="7"/>
        <w:rPr>
          <w:sz w:val="21"/>
        </w:rPr>
      </w:pPr>
    </w:p>
    <w:p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E721BA"/>
    <w:rsid w:val="0C6511DD"/>
    <w:rsid w:val="0F6F3EF9"/>
    <w:rsid w:val="1652206F"/>
    <w:rsid w:val="19003763"/>
    <w:rsid w:val="1EEE6B2E"/>
    <w:rsid w:val="1FAE2726"/>
    <w:rsid w:val="220E05AB"/>
    <w:rsid w:val="24372C56"/>
    <w:rsid w:val="3F676B1E"/>
    <w:rsid w:val="59CA504F"/>
    <w:rsid w:val="5A397F26"/>
    <w:rsid w:val="5B9179AE"/>
    <w:rsid w:val="72ED6EA8"/>
    <w:rsid w:val="7CAC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  <w:spacing w:after="200" w:line="276" w:lineRule="auto"/>
    </w:pPr>
    <w:rPr>
      <w:rFonts w:ascii="Times New Roman" w:hAnsi="Times New Roman" w:cs="Times New Roman" w:eastAsiaTheme="minorEastAsia"/>
      <w:color w:val="000000"/>
      <w:sz w:val="24"/>
      <w:szCs w:val="24"/>
      <w:lang w:val="en-US" w:eastAsia="zh-CN" w:bidi="ar-SA"/>
    </w:rPr>
  </w:style>
  <w:style w:type="character" w:customStyle="1" w:styleId="8">
    <w:name w:val="font2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font01"/>
    <w:basedOn w:val="6"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2019-05-22T01:52:00Z</dcterms:created>
  <dc:creator>chen</dc:creator>
  <cp:lastModifiedBy>陈汪洋</cp:lastModifiedBy>
  <dcterms:modified xsi:type="dcterms:W3CDTF">2020-03-31T06:24:34Z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