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w:hAnsi="Times New Roman" w:cs="Times New Roman"/>
          <w:b/>
          <w:bCs/>
          <w:i w:val="0"/>
          <w:iCs w:val="0"/>
          <w:color w:val="auto"/>
          <w:sz w:val="21"/>
          <w:szCs w:val="21"/>
        </w:rPr>
      </w:pPr>
      <w:bookmarkStart w:id="35" w:name="_GoBack"/>
      <w:bookmarkEnd w:id="35"/>
      <w:r>
        <w:rPr>
          <w:rFonts w:hint="default" w:ascii="Times New Roman" w:hAnsi="Times New Roman" w:eastAsia="TimesNewRomanPS-ItalicMT" w:cs="Times New Roman"/>
          <w:b/>
          <w:bCs/>
          <w:i w:val="0"/>
          <w:iCs w:val="0"/>
          <w:color w:val="auto"/>
          <w:kern w:val="0"/>
          <w:sz w:val="21"/>
          <w:szCs w:val="21"/>
          <w:lang w:val="en-US" w:eastAsia="zh-CN" w:bidi="ar"/>
        </w:rPr>
        <w:t>Supplementary data for</w:t>
      </w:r>
    </w:p>
    <w:p>
      <w:pPr>
        <w:keepNext w:val="0"/>
        <w:keepLines w:val="0"/>
        <w:pageBreakBefore w:val="0"/>
        <w:widowControl/>
        <w:suppressLineNumbers/>
        <w:kinsoku/>
        <w:wordWrap/>
        <w:overflowPunct/>
        <w:topLinePunct w:val="0"/>
        <w:autoSpaceDE/>
        <w:autoSpaceDN/>
        <w:bidi w:val="0"/>
        <w:adjustRightInd/>
        <w:snapToGrid/>
        <w:spacing w:line="480" w:lineRule="auto"/>
        <w:jc w:val="both"/>
        <w:rPr>
          <w:rFonts w:ascii="Times New Roman" w:hAnsi="Times New Roman" w:eastAsia="HelveticaNeueLTStd-Bd" w:cs="Times New Roman"/>
          <w:b/>
          <w:bCs/>
          <w:color w:val="auto"/>
          <w:kern w:val="0"/>
          <w:sz w:val="22"/>
          <w:szCs w:val="22"/>
          <w:highlight w:val="none"/>
        </w:rPr>
      </w:pPr>
      <w:r>
        <w:rPr>
          <w:rFonts w:hint="eastAsia" w:ascii="Times New Roman" w:hAnsi="Times New Roman" w:eastAsia="SimSun" w:cs="Times New Roman"/>
          <w:b/>
          <w:bCs/>
          <w:color w:val="auto"/>
          <w:kern w:val="0"/>
          <w:sz w:val="22"/>
          <w:szCs w:val="22"/>
          <w:highlight w:val="none"/>
        </w:rPr>
        <w:t>Novel C</w:t>
      </w:r>
      <w:r>
        <w:rPr>
          <w:rFonts w:hint="eastAsia" w:ascii="Times New Roman" w:hAnsi="Times New Roman" w:eastAsia="HelveticaNeueLTStd-Bd" w:cs="Times New Roman"/>
          <w:b/>
          <w:bCs/>
          <w:color w:val="auto"/>
          <w:kern w:val="0"/>
          <w:sz w:val="22"/>
          <w:szCs w:val="22"/>
          <w:highlight w:val="none"/>
        </w:rPr>
        <w:t xml:space="preserve">ompound </w:t>
      </w:r>
      <w:r>
        <w:rPr>
          <w:rFonts w:hint="eastAsia" w:ascii="Times New Roman" w:hAnsi="Times New Roman" w:eastAsia="SimSun" w:cs="Times New Roman"/>
          <w:b/>
          <w:bCs/>
          <w:color w:val="auto"/>
          <w:kern w:val="0"/>
          <w:sz w:val="22"/>
          <w:szCs w:val="22"/>
          <w:highlight w:val="none"/>
        </w:rPr>
        <w:t>H</w:t>
      </w:r>
      <w:r>
        <w:rPr>
          <w:rFonts w:hint="eastAsia" w:ascii="Times New Roman" w:hAnsi="Times New Roman" w:eastAsia="HelveticaNeueLTStd-Bd" w:cs="Times New Roman"/>
          <w:b/>
          <w:bCs/>
          <w:color w:val="auto"/>
          <w:kern w:val="0"/>
          <w:sz w:val="22"/>
          <w:szCs w:val="22"/>
          <w:highlight w:val="none"/>
        </w:rPr>
        <w:t xml:space="preserve">eterozygous </w:t>
      </w:r>
      <w:r>
        <w:rPr>
          <w:rFonts w:hint="eastAsia" w:ascii="Times New Roman" w:hAnsi="Times New Roman" w:eastAsia="SimSun" w:cs="Times New Roman"/>
          <w:b/>
          <w:bCs/>
          <w:color w:val="auto"/>
          <w:kern w:val="0"/>
          <w:sz w:val="22"/>
          <w:szCs w:val="22"/>
          <w:highlight w:val="none"/>
        </w:rPr>
        <w:t xml:space="preserve">Variants </w:t>
      </w:r>
      <w:r>
        <w:rPr>
          <w:rFonts w:hint="eastAsia" w:ascii="Times New Roman" w:hAnsi="Times New Roman" w:eastAsia="HelveticaNeueLTStd-Bd" w:cs="Times New Roman"/>
          <w:b/>
          <w:bCs/>
          <w:color w:val="auto"/>
          <w:kern w:val="0"/>
          <w:sz w:val="22"/>
          <w:szCs w:val="22"/>
          <w:highlight w:val="none"/>
        </w:rPr>
        <w:t xml:space="preserve">in </w:t>
      </w:r>
      <w:r>
        <w:rPr>
          <w:rFonts w:hint="eastAsia" w:ascii="Times New Roman" w:hAnsi="Times New Roman" w:eastAsia="HelveticaNeueLTStd-Bd" w:cs="Times New Roman"/>
          <w:b/>
          <w:bCs/>
          <w:i/>
          <w:iCs/>
          <w:color w:val="auto"/>
          <w:kern w:val="0"/>
          <w:sz w:val="22"/>
          <w:szCs w:val="22"/>
          <w:highlight w:val="none"/>
        </w:rPr>
        <w:t>PCCB</w:t>
      </w:r>
      <w:r>
        <w:rPr>
          <w:rFonts w:hint="eastAsia" w:ascii="Times New Roman" w:hAnsi="Times New Roman" w:eastAsia="SimSun" w:cs="Times New Roman"/>
          <w:b/>
          <w:bCs/>
          <w:color w:val="auto"/>
          <w:kern w:val="0"/>
          <w:sz w:val="22"/>
          <w:szCs w:val="22"/>
          <w:highlight w:val="none"/>
          <w:lang w:val="en-US" w:eastAsia="zh-CN"/>
        </w:rPr>
        <w:t xml:space="preserve"> Gene </w:t>
      </w:r>
      <w:r>
        <w:rPr>
          <w:rFonts w:hint="eastAsia" w:ascii="Times New Roman" w:hAnsi="Times New Roman" w:eastAsia="HelveticaNeueLTStd-Bd" w:cs="Times New Roman"/>
          <w:b/>
          <w:bCs/>
          <w:color w:val="auto"/>
          <w:kern w:val="0"/>
          <w:sz w:val="22"/>
          <w:szCs w:val="22"/>
          <w:highlight w:val="none"/>
        </w:rPr>
        <w:t>Causing Adult</w:t>
      </w:r>
      <w:r>
        <w:rPr>
          <w:rFonts w:hint="eastAsia" w:ascii="Times New Roman" w:hAnsi="Times New Roman" w:eastAsia="SimSun" w:cs="Times New Roman"/>
          <w:b/>
          <w:bCs/>
          <w:color w:val="auto"/>
          <w:kern w:val="0"/>
          <w:sz w:val="22"/>
          <w:szCs w:val="22"/>
          <w:highlight w:val="none"/>
        </w:rPr>
        <w:t>-o</w:t>
      </w:r>
      <w:r>
        <w:rPr>
          <w:rFonts w:hint="eastAsia" w:ascii="Times New Roman" w:hAnsi="Times New Roman" w:eastAsia="HelveticaNeueLTStd-Bd" w:cs="Times New Roman"/>
          <w:b/>
          <w:bCs/>
          <w:color w:val="auto"/>
          <w:kern w:val="0"/>
          <w:sz w:val="22"/>
          <w:szCs w:val="22"/>
          <w:highlight w:val="none"/>
        </w:rPr>
        <w:t xml:space="preserve">nset Propionic </w:t>
      </w:r>
      <w:r>
        <w:rPr>
          <w:rFonts w:ascii="Times New Roman" w:hAnsi="Times New Roman" w:eastAsia="HelveticaNeueLTStd-Bd" w:cs="Times New Roman"/>
          <w:b/>
          <w:bCs/>
          <w:color w:val="auto"/>
          <w:kern w:val="0"/>
          <w:sz w:val="22"/>
          <w:szCs w:val="22"/>
          <w:highlight w:val="none"/>
        </w:rPr>
        <w:t xml:space="preserve">Acidemia </w:t>
      </w:r>
      <w:r>
        <w:rPr>
          <w:rFonts w:hint="eastAsia" w:ascii="Times New Roman" w:hAnsi="Times New Roman" w:eastAsia="SimSun" w:cs="Times New Roman"/>
          <w:b/>
          <w:bCs/>
          <w:color w:val="auto"/>
          <w:kern w:val="0"/>
          <w:sz w:val="22"/>
          <w:szCs w:val="22"/>
          <w:highlight w:val="none"/>
        </w:rPr>
        <w:t>P</w:t>
      </w:r>
      <w:r>
        <w:rPr>
          <w:rFonts w:hint="eastAsia" w:ascii="Times New Roman" w:hAnsi="Times New Roman" w:eastAsia="HelveticaNeueLTStd-Bd" w:cs="Times New Roman"/>
          <w:b/>
          <w:bCs/>
          <w:color w:val="auto"/>
          <w:kern w:val="0"/>
          <w:sz w:val="22"/>
          <w:szCs w:val="22"/>
          <w:highlight w:val="none"/>
        </w:rPr>
        <w:t xml:space="preserve">resenting with </w:t>
      </w:r>
      <w:r>
        <w:rPr>
          <w:rFonts w:hint="eastAsia" w:ascii="Times New Roman" w:hAnsi="Times New Roman" w:eastAsia="SimSun" w:cs="Times New Roman"/>
          <w:b/>
          <w:bCs/>
          <w:color w:val="auto"/>
          <w:kern w:val="0"/>
          <w:sz w:val="22"/>
          <w:szCs w:val="22"/>
          <w:highlight w:val="none"/>
        </w:rPr>
        <w:t>N</w:t>
      </w:r>
      <w:r>
        <w:rPr>
          <w:rFonts w:hint="eastAsia" w:ascii="Times New Roman" w:hAnsi="Times New Roman" w:eastAsia="HelveticaNeueLTStd-Bd" w:cs="Times New Roman"/>
          <w:b/>
          <w:bCs/>
          <w:color w:val="auto"/>
          <w:kern w:val="0"/>
          <w:sz w:val="22"/>
          <w:szCs w:val="22"/>
          <w:highlight w:val="none"/>
        </w:rPr>
        <w:t xml:space="preserve">europsychiatric </w:t>
      </w:r>
      <w:r>
        <w:rPr>
          <w:rFonts w:hint="eastAsia" w:ascii="Times New Roman" w:hAnsi="Times New Roman" w:eastAsia="SimSun" w:cs="Times New Roman"/>
          <w:b/>
          <w:bCs/>
          <w:color w:val="auto"/>
          <w:kern w:val="0"/>
          <w:sz w:val="22"/>
          <w:szCs w:val="22"/>
          <w:highlight w:val="none"/>
        </w:rPr>
        <w:t>S</w:t>
      </w:r>
      <w:r>
        <w:rPr>
          <w:rFonts w:hint="eastAsia" w:ascii="Times New Roman" w:hAnsi="Times New Roman" w:eastAsia="HelveticaNeueLTStd-Bd" w:cs="Times New Roman"/>
          <w:b/>
          <w:bCs/>
          <w:color w:val="auto"/>
          <w:kern w:val="0"/>
          <w:sz w:val="22"/>
          <w:szCs w:val="22"/>
          <w:highlight w:val="none"/>
        </w:rPr>
        <w:t>ymptoms</w:t>
      </w:r>
      <w:r>
        <w:rPr>
          <w:rFonts w:ascii="Times New Roman" w:hAnsi="Times New Roman" w:eastAsia="HelveticaNeueLTStd-Bd" w:cs="Times New Roman"/>
          <w:b/>
          <w:bCs/>
          <w:color w:val="auto"/>
          <w:kern w:val="0"/>
          <w:sz w:val="22"/>
          <w:szCs w:val="22"/>
          <w:highlight w:val="none"/>
        </w:rPr>
        <w:t xml:space="preserve">: </w:t>
      </w:r>
      <w:r>
        <w:rPr>
          <w:rFonts w:hint="eastAsia" w:ascii="Times New Roman" w:hAnsi="Times New Roman" w:eastAsia="SimSun" w:cs="Times New Roman"/>
          <w:b/>
          <w:bCs/>
          <w:color w:val="auto"/>
          <w:kern w:val="0"/>
          <w:sz w:val="22"/>
          <w:szCs w:val="22"/>
          <w:highlight w:val="none"/>
        </w:rPr>
        <w:t xml:space="preserve">A </w:t>
      </w:r>
      <w:r>
        <w:rPr>
          <w:rFonts w:ascii="Times New Roman" w:hAnsi="Times New Roman" w:eastAsia="HelveticaNeueLTStd-Bd" w:cs="Times New Roman"/>
          <w:b/>
          <w:bCs/>
          <w:color w:val="auto"/>
          <w:kern w:val="0"/>
          <w:sz w:val="22"/>
          <w:szCs w:val="22"/>
          <w:highlight w:val="none"/>
        </w:rPr>
        <w:t>Case Report</w:t>
      </w:r>
      <w:r>
        <w:rPr>
          <w:rFonts w:hint="eastAsia" w:ascii="Times New Roman" w:hAnsi="Times New Roman" w:eastAsia="SimSun" w:cs="Times New Roman"/>
          <w:b/>
          <w:bCs/>
          <w:color w:val="auto"/>
          <w:kern w:val="0"/>
          <w:sz w:val="22"/>
          <w:szCs w:val="22"/>
          <w:highlight w:val="none"/>
        </w:rPr>
        <w:t xml:space="preserve"> and </w:t>
      </w:r>
      <w:r>
        <w:rPr>
          <w:rFonts w:ascii="Times New Roman" w:hAnsi="Times New Roman" w:eastAsia="HelveticaNeueLTStd-Bd" w:cs="Times New Roman"/>
          <w:b/>
          <w:bCs/>
          <w:color w:val="auto"/>
          <w:kern w:val="0"/>
          <w:sz w:val="22"/>
          <w:szCs w:val="22"/>
          <w:highlight w:val="none"/>
        </w:rPr>
        <w:t>Literature Review</w:t>
      </w:r>
    </w:p>
    <w:p>
      <w:pPr>
        <w:suppressLineNumbers/>
        <w:spacing w:line="240" w:lineRule="auto"/>
        <w:jc w:val="left"/>
        <w:rPr>
          <w:rFonts w:ascii="Times New Roman" w:hAnsi="Times New Roman"/>
          <w:color w:val="auto"/>
          <w:sz w:val="24"/>
          <w:highlight w:val="none"/>
        </w:rPr>
      </w:pPr>
      <w:r>
        <w:rPr>
          <w:rFonts w:hint="eastAsia" w:ascii="Times New Roman" w:hAnsi="Times New Roman"/>
          <w:color w:val="auto"/>
          <w:sz w:val="24"/>
          <w:highlight w:val="none"/>
        </w:rPr>
        <w:t>Yingxuan Li</w:t>
      </w:r>
      <w:r>
        <w:rPr>
          <w:rFonts w:ascii="Times New Roman" w:hAnsi="Times New Roman"/>
          <w:color w:val="auto"/>
          <w:sz w:val="24"/>
          <w:highlight w:val="none"/>
        </w:rPr>
        <w:t>, Miaomiao Wang, Zhaoyang Huang</w:t>
      </w:r>
      <w:r>
        <w:rPr>
          <w:rFonts w:hint="eastAsia" w:ascii="Times New Roman" w:hAnsi="Times New Roman"/>
          <w:color w:val="auto"/>
          <w:sz w:val="24"/>
          <w:highlight w:val="none"/>
          <w:vertAlign w:val="superscript"/>
          <w:lang w:val="en-US" w:eastAsia="zh-CN"/>
        </w:rPr>
        <w:t>*,#</w:t>
      </w:r>
      <w:r>
        <w:rPr>
          <w:rFonts w:hint="eastAsia" w:ascii="Times New Roman" w:hAnsi="Times New Roman"/>
          <w:color w:val="auto"/>
          <w:sz w:val="24"/>
          <w:highlight w:val="none"/>
          <w:lang w:val="en-US" w:eastAsia="zh-CN"/>
        </w:rPr>
        <w:t>,</w:t>
      </w:r>
      <w:r>
        <w:rPr>
          <w:rFonts w:ascii="Times New Roman" w:hAnsi="Times New Roman"/>
          <w:color w:val="auto"/>
          <w:sz w:val="24"/>
          <w:highlight w:val="none"/>
        </w:rPr>
        <w:t xml:space="preserve"> Jing Ye</w:t>
      </w:r>
      <w:r>
        <w:rPr>
          <w:rFonts w:hint="eastAsia" w:ascii="Times New Roman" w:hAnsi="Times New Roman"/>
          <w:color w:val="auto"/>
          <w:sz w:val="24"/>
          <w:highlight w:val="none"/>
          <w:vertAlign w:val="superscript"/>
          <w:lang w:val="en-US" w:eastAsia="zh-CN"/>
        </w:rPr>
        <w:t>*,</w:t>
      </w:r>
      <w:r>
        <w:rPr>
          <w:rFonts w:hint="default" w:ascii="Times New Roman" w:hAnsi="Times New Roman" w:cs="Times New Roman"/>
          <w:b w:val="0"/>
          <w:bCs/>
          <w:color w:val="auto"/>
          <w:szCs w:val="24"/>
          <w:highlight w:val="none"/>
          <w:vertAlign w:val="superscript"/>
          <w:lang w:val="en-US" w:eastAsia="zh-CN"/>
        </w:rPr>
        <w:t>#</w:t>
      </w:r>
      <w:r>
        <w:rPr>
          <w:rFonts w:hint="eastAsia" w:ascii="Times New Roman" w:hAnsi="Times New Roman"/>
          <w:color w:val="auto"/>
          <w:sz w:val="24"/>
          <w:highlight w:val="none"/>
          <w:vertAlign w:val="superscript"/>
        </w:rPr>
        <w:t xml:space="preserve"> </w:t>
      </w:r>
      <w:r>
        <w:rPr>
          <w:rFonts w:ascii="Times New Roman" w:hAnsi="Times New Roman"/>
          <w:color w:val="auto"/>
          <w:sz w:val="24"/>
          <w:highlight w:val="none"/>
        </w:rPr>
        <w:t>,Yuping Wang</w:t>
      </w:r>
    </w:p>
    <w:p>
      <w:pPr>
        <w:suppressLineNumbers/>
        <w:spacing w:line="240" w:lineRule="auto"/>
        <w:jc w:val="left"/>
        <w:rPr>
          <w:rFonts w:ascii="Times New Roman" w:hAnsi="Times New Roman"/>
          <w:color w:val="auto"/>
          <w:sz w:val="24"/>
          <w:highlight w:val="none"/>
        </w:rPr>
      </w:pPr>
    </w:p>
    <w:p>
      <w:pPr>
        <w:keepNext w:val="0"/>
        <w:keepLines w:val="0"/>
        <w:pageBreakBefore w:val="0"/>
        <w:widowControl w:val="0"/>
        <w:suppressLineNumbers/>
        <w:kinsoku/>
        <w:wordWrap/>
        <w:overflowPunct/>
        <w:topLinePunct w:val="0"/>
        <w:autoSpaceDE/>
        <w:autoSpaceDN/>
        <w:bidi w:val="0"/>
        <w:adjustRightInd/>
        <w:snapToGrid/>
        <w:spacing w:line="480" w:lineRule="auto"/>
        <w:jc w:val="left"/>
        <w:textAlignment w:val="auto"/>
        <w:rPr>
          <w:rFonts w:ascii="Times New Roman" w:hAnsi="Times New Roman"/>
          <w:color w:val="auto"/>
          <w:sz w:val="24"/>
          <w:highlight w:val="none"/>
        </w:rPr>
      </w:pPr>
      <w:r>
        <w:rPr>
          <w:rFonts w:ascii="Times New Roman" w:hAnsi="Times New Roman"/>
          <w:color w:val="auto"/>
          <w:sz w:val="24"/>
          <w:highlight w:val="none"/>
        </w:rPr>
        <w:t>*: Corresponding author: Zhaoyang Huang, MD.</w:t>
      </w:r>
      <w:r>
        <w:rPr>
          <w:rFonts w:hint="eastAsia"/>
          <w:color w:val="auto"/>
          <w:sz w:val="24"/>
          <w:highlight w:val="none"/>
          <w:lang w:val="en-US" w:eastAsia="zh-CN"/>
        </w:rPr>
        <w:t xml:space="preserve"> </w:t>
      </w:r>
      <w:r>
        <w:rPr>
          <w:rFonts w:ascii="Times New Roman" w:hAnsi="Times New Roman"/>
          <w:color w:val="auto"/>
          <w:sz w:val="24"/>
          <w:highlight w:val="none"/>
        </w:rPr>
        <w:t>Jing Ye, MD.</w:t>
      </w:r>
    </w:p>
    <w:p>
      <w:pPr>
        <w:keepNext w:val="0"/>
        <w:keepLines w:val="0"/>
        <w:pageBreakBefore w:val="0"/>
        <w:widowControl w:val="0"/>
        <w:suppressLineNumbers/>
        <w:kinsoku/>
        <w:wordWrap/>
        <w:overflowPunct/>
        <w:topLinePunct w:val="0"/>
        <w:autoSpaceDE/>
        <w:autoSpaceDN/>
        <w:bidi w:val="0"/>
        <w:adjustRightInd/>
        <w:snapToGrid/>
        <w:spacing w:line="480" w:lineRule="auto"/>
        <w:jc w:val="left"/>
        <w:textAlignment w:val="auto"/>
        <w:rPr>
          <w:rFonts w:ascii="Times New Roman" w:hAnsi="Times New Roman"/>
          <w:color w:val="auto"/>
          <w:sz w:val="24"/>
          <w:highlight w:val="none"/>
        </w:rPr>
      </w:pPr>
      <w:r>
        <w:rPr>
          <w:rFonts w:ascii="Times New Roman" w:hAnsi="Times New Roman"/>
          <w:color w:val="auto"/>
          <w:sz w:val="24"/>
          <w:highlight w:val="none"/>
        </w:rPr>
        <w:t xml:space="preserve">#: Authors Z. Huang and J. Ye contributed equally to this work. </w:t>
      </w:r>
    </w:p>
    <w:p>
      <w:pPr>
        <w:keepNext w:val="0"/>
        <w:keepLines w:val="0"/>
        <w:widowControl/>
        <w:suppressLineNumbers w:val="0"/>
        <w:jc w:val="left"/>
        <w:rPr>
          <w:rFonts w:hint="default" w:ascii="Times New Roman" w:hAnsi="Times New Roman" w:eastAsia="SimSun" w:cs="Times New Roman"/>
          <w:color w:val="000000"/>
          <w:kern w:val="0"/>
          <w:sz w:val="24"/>
          <w:szCs w:val="24"/>
          <w:lang w:val="en-US" w:eastAsia="zh-CN" w:bidi="ar"/>
        </w:rPr>
      </w:pPr>
    </w:p>
    <w:p>
      <w:pPr>
        <w:keepNext w:val="0"/>
        <w:keepLines w:val="0"/>
        <w:widowControl/>
        <w:suppressLineNumbers w:val="0"/>
        <w:jc w:val="left"/>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This file contains the </w:t>
      </w:r>
      <w:r>
        <w:rPr>
          <w:rFonts w:hint="eastAsia" w:cs="Times New Roman"/>
          <w:color w:val="000000"/>
          <w:kern w:val="0"/>
          <w:sz w:val="24"/>
          <w:szCs w:val="24"/>
          <w:lang w:val="en-US" w:eastAsia="zh-CN" w:bidi="ar"/>
        </w:rPr>
        <w:t xml:space="preserve">process of </w:t>
      </w:r>
      <w:r>
        <w:rPr>
          <w:rFonts w:hint="eastAsia" w:ascii="Times New Roman" w:hAnsi="Times New Roman" w:eastAsia="SimSun" w:cs="Times New Roman"/>
          <w:color w:val="000000"/>
          <w:kern w:val="0"/>
          <w:sz w:val="24"/>
          <w:szCs w:val="24"/>
          <w:lang w:val="en-US" w:eastAsia="zh-CN" w:bidi="ar"/>
        </w:rPr>
        <w:t>Whole-exome sequencing for our patient.</w:t>
      </w:r>
    </w:p>
    <w:p>
      <w:pPr>
        <w:rPr>
          <w:rFonts w:ascii="OTNEJMScalaSansSmallLFCap-Bold" w:hAnsi="OTNEJMScalaSansSmallLFCap-Bold"/>
          <w:b/>
          <w:bCs/>
          <w:color w:val="000000"/>
          <w:szCs w:val="28"/>
        </w:rPr>
      </w:pPr>
    </w:p>
    <w:p>
      <w:pPr>
        <w:rPr>
          <w:rFonts w:hint="eastAsia" w:ascii="OTNEJMScalaSansSmallLFCap-Bold" w:hAnsi="OTNEJMScalaSansSmallLFCap-Bold"/>
          <w:b/>
          <w:bCs/>
          <w:color w:val="000000"/>
          <w:szCs w:val="28"/>
        </w:rPr>
      </w:pPr>
      <w:r>
        <w:rPr>
          <w:rFonts w:ascii="OTNEJMScalaSansSmallLFCap-Bold" w:hAnsi="OTNEJMScalaSansSmallLFCap-Bold"/>
          <w:b/>
          <w:bCs/>
          <w:color w:val="000000"/>
          <w:szCs w:val="28"/>
        </w:rPr>
        <w:t>SAMPLES</w:t>
      </w:r>
    </w:p>
    <w:p>
      <w:bookmarkStart w:id="0" w:name="OLE_LINK37"/>
      <w:r>
        <w:t>DNA was isolated from peripher</w:t>
      </w:r>
      <w:r>
        <w:rPr>
          <w:color w:val="auto"/>
        </w:rPr>
        <w:t>al blood</w:t>
      </w:r>
      <w:r>
        <w:rPr>
          <w:rFonts w:hint="eastAsia"/>
          <w:color w:val="auto"/>
        </w:rPr>
        <w:t xml:space="preserve"> </w:t>
      </w:r>
      <w:r>
        <w:rPr>
          <w:color w:val="auto"/>
        </w:rPr>
        <w:t xml:space="preserve">using DNA Isolation Kit </w:t>
      </w:r>
      <w:r>
        <w:rPr>
          <w:rFonts w:hint="eastAsia"/>
          <w:color w:val="auto"/>
        </w:rPr>
        <w:t>(Blood DNA Kit V2 ，CW2553</w:t>
      </w:r>
      <w:r>
        <w:rPr>
          <w:color w:val="auto"/>
        </w:rPr>
        <w:t>). Concentrations</w:t>
      </w:r>
      <w:r>
        <w:rPr>
          <w:rFonts w:hint="eastAsia"/>
          <w:color w:val="auto"/>
        </w:rPr>
        <w:t xml:space="preserve"> </w:t>
      </w:r>
      <w:r>
        <w:rPr>
          <w:color w:val="auto"/>
        </w:rPr>
        <w:t>were determined on a Qubit fluorometer (Invitrogen, Q33216</w:t>
      </w:r>
      <w:r>
        <w:rPr>
          <w:rFonts w:hint="eastAsia"/>
          <w:color w:val="auto"/>
        </w:rPr>
        <w:t>)</w:t>
      </w:r>
      <w:r>
        <w:rPr>
          <w:color w:val="auto"/>
        </w:rPr>
        <w:t xml:space="preserve"> using Qubit dsDNA HS Assay Kit (Invitrogen, Q32851). Agarose gel (1%)</w:t>
      </w:r>
      <w:r>
        <w:rPr>
          <w:rFonts w:hint="eastAsia"/>
          <w:color w:val="auto"/>
        </w:rPr>
        <w:t xml:space="preserve"> </w:t>
      </w:r>
      <w:r>
        <w:rPr>
          <w:color w:val="auto"/>
        </w:rPr>
        <w:t>electrophoresis was performed for qu</w:t>
      </w:r>
      <w:r>
        <w:t>ality control.</w:t>
      </w:r>
    </w:p>
    <w:p>
      <w:r>
        <w:t>1 μg</w:t>
      </w:r>
      <w:r>
        <w:rPr>
          <w:rFonts w:hint="eastAsia"/>
        </w:rPr>
        <w:t xml:space="preserve"> </w:t>
      </w:r>
      <w:r>
        <w:t>of the isolated</w:t>
      </w:r>
      <w:r>
        <w:rPr>
          <w:rFonts w:hint="eastAsia"/>
        </w:rPr>
        <w:t xml:space="preserve"> DNA </w:t>
      </w:r>
      <w:r>
        <w:t>was sheared using the</w:t>
      </w:r>
      <w:r>
        <w:rPr>
          <w:rFonts w:hint="eastAsia"/>
        </w:rPr>
        <w:t xml:space="preserve"> </w:t>
      </w:r>
      <w:r>
        <w:t>following the parameters: duty cycle 10%, intensity 5, cycles per burst 200, time 6 cycles per 60 seconds. This step was performed on a Bioruptor UCD-200 (Diagenode). For all samples, shearing worked very consistently and the size distribution peak was around 200 bp.</w:t>
      </w:r>
      <w:r>
        <w:rPr>
          <w:rFonts w:hint="eastAsia"/>
        </w:rPr>
        <w:t xml:space="preserve"> </w:t>
      </w:r>
      <w:r>
        <w:t>3 μL of the sheared DNA</w:t>
      </w:r>
      <w:r>
        <w:rPr>
          <w:rFonts w:hint="eastAsia"/>
        </w:rPr>
        <w:t xml:space="preserve"> </w:t>
      </w:r>
      <w:r>
        <w:t>was electrophoresed in a 2% agarose gel to confirm the presence of fragments of the desired size range.</w:t>
      </w:r>
    </w:p>
    <w:bookmarkEnd w:id="0"/>
    <w:p>
      <w:pPr>
        <w:rPr>
          <w:rFonts w:hint="eastAsia" w:ascii="OTNEJMScalaSansSmallLFCap-Bold" w:hAnsi="OTNEJMScalaSansSmallLFCap-Bold"/>
          <w:b/>
          <w:bCs/>
          <w:color w:val="000000"/>
          <w:szCs w:val="28"/>
        </w:rPr>
      </w:pPr>
      <w:r>
        <w:rPr>
          <w:rFonts w:ascii="OTNEJMScalaSansSmallLFCap-Bold" w:hAnsi="OTNEJMScalaSansSmallLFCap-Bold"/>
          <w:b/>
          <w:bCs/>
          <w:color w:val="000000"/>
          <w:szCs w:val="28"/>
        </w:rPr>
        <w:t>Library Preparation</w:t>
      </w:r>
    </w:p>
    <w:p>
      <w:bookmarkStart w:id="1" w:name="OLE_LINK38"/>
      <w:r>
        <w:t>DNA libraries were prepared with KAPA Library Preparation Kit (Kapa Biosystems</w:t>
      </w:r>
      <w:r>
        <w:rPr>
          <w:rFonts w:hint="eastAsia"/>
        </w:rPr>
        <w:t>,</w:t>
      </w:r>
      <w:r>
        <w:t xml:space="preserve"> </w:t>
      </w:r>
      <w:r>
        <w:rPr>
          <w:rFonts w:hint="eastAsia"/>
        </w:rPr>
        <w:t>KR0453</w:t>
      </w:r>
      <w:r>
        <w:t>) following the manufacturer’s instructions. The procedure comprises three standard steps: end-repair of fragmented DNA, A-tailing, adapter ligation</w:t>
      </w:r>
      <w:r>
        <w:rPr>
          <w:rFonts w:hint="eastAsia"/>
        </w:rPr>
        <w:t xml:space="preserve"> </w:t>
      </w:r>
      <w:r>
        <w:t>and amplification. Purifications between steps were carried out</w:t>
      </w:r>
      <w:r>
        <w:rPr>
          <w:rFonts w:hint="eastAsia"/>
        </w:rPr>
        <w:t xml:space="preserve"> </w:t>
      </w:r>
      <w:r>
        <w:t>with Agencourt AMPure XP beads. The libraries were estimated with Qubit dsDNA HS Assay kit (Invitrogen, Q32851).</w:t>
      </w:r>
    </w:p>
    <w:p/>
    <w:bookmarkEnd w:id="1"/>
    <w:p>
      <w:pPr>
        <w:pStyle w:val="105"/>
        <w:numPr>
          <w:ilvl w:val="0"/>
          <w:numId w:val="5"/>
        </w:numPr>
        <w:ind w:firstLineChars="0"/>
      </w:pPr>
      <w:r>
        <w:t>End Repair Reaction</w:t>
      </w:r>
    </w:p>
    <w:p>
      <w:pPr>
        <w:ind w:left="426" w:leftChars="152"/>
        <w:rPr>
          <w:szCs w:val="28"/>
        </w:rPr>
      </w:pPr>
      <w:r>
        <w:t>Assemble eac</w:t>
      </w:r>
      <w:r>
        <w:rPr>
          <w:szCs w:val="28"/>
        </w:rPr>
        <w:t>h end repair reaction as follows:</w:t>
      </w:r>
    </w:p>
    <w:tbl>
      <w:tblPr>
        <w:tblStyle w:val="39"/>
        <w:tblW w:w="0" w:type="auto"/>
        <w:jc w:val="center"/>
        <w:tblLayout w:type="autofit"/>
        <w:tblCellMar>
          <w:top w:w="0" w:type="dxa"/>
          <w:left w:w="108" w:type="dxa"/>
          <w:bottom w:w="0" w:type="dxa"/>
          <w:right w:w="108" w:type="dxa"/>
        </w:tblCellMar>
      </w:tblPr>
      <w:tblGrid>
        <w:gridCol w:w="4673"/>
        <w:gridCol w:w="1559"/>
      </w:tblGrid>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rPr>
                <w:szCs w:val="28"/>
              </w:rPr>
            </w:pPr>
            <w:r>
              <w:rPr>
                <w:szCs w:val="28"/>
              </w:rPr>
              <w:t>10</w:t>
            </w:r>
            <w:r>
              <w:t>×</w:t>
            </w:r>
            <w:r>
              <w:rPr>
                <w:szCs w:val="28"/>
              </w:rPr>
              <w:t xml:space="preserve"> KAPA End Repair Buffer</w:t>
            </w:r>
          </w:p>
        </w:tc>
        <w:tc>
          <w:tcPr>
            <w:tcW w:w="1559" w:type="dxa"/>
            <w:tcBorders>
              <w:left w:val="single" w:color="auto" w:sz="4" w:space="0"/>
            </w:tcBorders>
          </w:tcPr>
          <w:p>
            <w:pPr>
              <w:pStyle w:val="105"/>
              <w:ind w:firstLine="0" w:firstLineChars="0"/>
              <w:jc w:val="right"/>
              <w:rPr>
                <w:szCs w:val="28"/>
              </w:rPr>
            </w:pPr>
            <w:r>
              <w:rPr>
                <w:rFonts w:ascii="HelveticaNeueLTStd-Roman" w:hAnsi="HelveticaNeueLTStd-Roman"/>
                <w:color w:val="231F20"/>
                <w:szCs w:val="28"/>
              </w:rPr>
              <w:t>4.5 µl</w:t>
            </w:r>
          </w:p>
        </w:tc>
      </w:tr>
      <w:tr>
        <w:tblPrEx>
          <w:tblCellMar>
            <w:top w:w="0" w:type="dxa"/>
            <w:left w:w="108" w:type="dxa"/>
            <w:bottom w:w="0" w:type="dxa"/>
            <w:right w:w="108" w:type="dxa"/>
          </w:tblCellMar>
        </w:tblPrEx>
        <w:trPr>
          <w:trHeight w:val="330" w:hRule="atLeast"/>
          <w:jc w:val="center"/>
        </w:trPr>
        <w:tc>
          <w:tcPr>
            <w:tcW w:w="4673" w:type="dxa"/>
            <w:tcBorders>
              <w:right w:val="single" w:color="auto" w:sz="4" w:space="0"/>
            </w:tcBorders>
          </w:tcPr>
          <w:p>
            <w:pPr>
              <w:pStyle w:val="105"/>
              <w:ind w:firstLine="0" w:firstLineChars="0"/>
              <w:rPr>
                <w:szCs w:val="28"/>
              </w:rPr>
            </w:pPr>
            <w:r>
              <w:rPr>
                <w:szCs w:val="28"/>
              </w:rPr>
              <w:t>KAPA End Repair Enzyme Mix</w:t>
            </w:r>
          </w:p>
        </w:tc>
        <w:tc>
          <w:tcPr>
            <w:tcW w:w="1559" w:type="dxa"/>
            <w:tcBorders>
              <w:left w:val="single" w:color="auto" w:sz="4" w:space="0"/>
            </w:tcBorders>
          </w:tcPr>
          <w:p>
            <w:pPr>
              <w:pStyle w:val="105"/>
              <w:ind w:firstLine="0" w:firstLineChars="0"/>
              <w:jc w:val="right"/>
              <w:rPr>
                <w:szCs w:val="28"/>
              </w:rPr>
            </w:pPr>
            <w:r>
              <w:rPr>
                <w:rFonts w:ascii="HelveticaNeueLTStd-Roman" w:hAnsi="HelveticaNeueLTStd-Roman"/>
                <w:color w:val="231F20"/>
                <w:szCs w:val="28"/>
              </w:rPr>
              <w:t>2.5 µl</w:t>
            </w:r>
          </w:p>
        </w:tc>
      </w:tr>
      <w:tr>
        <w:tblPrEx>
          <w:tblCellMar>
            <w:top w:w="0" w:type="dxa"/>
            <w:left w:w="108" w:type="dxa"/>
            <w:bottom w:w="0" w:type="dxa"/>
            <w:right w:w="108" w:type="dxa"/>
          </w:tblCellMar>
        </w:tblPrEx>
        <w:trPr>
          <w:trHeight w:val="225" w:hRule="atLeast"/>
          <w:jc w:val="center"/>
        </w:trPr>
        <w:tc>
          <w:tcPr>
            <w:tcW w:w="4673" w:type="dxa"/>
            <w:tcBorders>
              <w:right w:val="single" w:color="auto" w:sz="4" w:space="0"/>
            </w:tcBorders>
          </w:tcPr>
          <w:p>
            <w:pPr>
              <w:pStyle w:val="105"/>
              <w:ind w:firstLine="0" w:firstLineChars="0"/>
              <w:rPr>
                <w:szCs w:val="28"/>
              </w:rPr>
            </w:pPr>
            <w:r>
              <w:rPr>
                <w:szCs w:val="28"/>
              </w:rPr>
              <w:t>Fragmented, double-stranded DNA</w:t>
            </w:r>
          </w:p>
        </w:tc>
        <w:tc>
          <w:tcPr>
            <w:tcW w:w="1559" w:type="dxa"/>
            <w:tcBorders>
              <w:left w:val="single" w:color="auto" w:sz="4" w:space="0"/>
            </w:tcBorders>
          </w:tcPr>
          <w:p>
            <w:pPr>
              <w:pStyle w:val="105"/>
              <w:ind w:firstLine="0" w:firstLineChars="0"/>
              <w:jc w:val="right"/>
              <w:rPr>
                <w:szCs w:val="28"/>
              </w:rPr>
            </w:pPr>
            <w:r>
              <w:rPr>
                <w:szCs w:val="28"/>
              </w:rPr>
              <w:t>35 µl</w:t>
            </w:r>
          </w:p>
        </w:tc>
      </w:tr>
      <w:tr>
        <w:tblPrEx>
          <w:tblCellMar>
            <w:top w:w="0" w:type="dxa"/>
            <w:left w:w="108" w:type="dxa"/>
            <w:bottom w:w="0" w:type="dxa"/>
            <w:right w:w="108" w:type="dxa"/>
          </w:tblCellMar>
        </w:tblPrEx>
        <w:trPr>
          <w:trHeight w:val="210" w:hRule="atLeast"/>
          <w:jc w:val="center"/>
        </w:trPr>
        <w:tc>
          <w:tcPr>
            <w:tcW w:w="4673" w:type="dxa"/>
            <w:tcBorders>
              <w:bottom w:val="single" w:color="auto" w:sz="4" w:space="0"/>
              <w:right w:val="single" w:color="auto" w:sz="4" w:space="0"/>
            </w:tcBorders>
          </w:tcPr>
          <w:p>
            <w:pPr>
              <w:pStyle w:val="105"/>
              <w:ind w:firstLine="0" w:firstLineChars="0"/>
              <w:rPr>
                <w:szCs w:val="28"/>
              </w:rPr>
            </w:pPr>
            <w:r>
              <w:rPr>
                <w:szCs w:val="28"/>
              </w:rPr>
              <w:t>Water</w:t>
            </w:r>
          </w:p>
        </w:tc>
        <w:tc>
          <w:tcPr>
            <w:tcW w:w="1559" w:type="dxa"/>
            <w:tcBorders>
              <w:left w:val="single" w:color="auto" w:sz="4" w:space="0"/>
              <w:bottom w:val="single" w:color="auto" w:sz="4" w:space="0"/>
            </w:tcBorders>
          </w:tcPr>
          <w:p>
            <w:pPr>
              <w:jc w:val="right"/>
              <w:rPr>
                <w:szCs w:val="28"/>
              </w:rPr>
            </w:pPr>
            <w:r>
              <w:rPr>
                <w:rFonts w:ascii="HelveticaNeueLTStd-Roman" w:hAnsi="HelveticaNeueLTStd-Roman"/>
                <w:color w:val="231F20"/>
                <w:szCs w:val="28"/>
              </w:rPr>
              <w:t>3 µl</w:t>
            </w:r>
          </w:p>
        </w:tc>
      </w:tr>
      <w:tr>
        <w:tblPrEx>
          <w:tblCellMar>
            <w:top w:w="0" w:type="dxa"/>
            <w:left w:w="108" w:type="dxa"/>
            <w:bottom w:w="0" w:type="dxa"/>
            <w:right w:w="108" w:type="dxa"/>
          </w:tblCellMar>
        </w:tblPrEx>
        <w:trPr>
          <w:trHeight w:val="225" w:hRule="atLeast"/>
          <w:jc w:val="center"/>
        </w:trPr>
        <w:tc>
          <w:tcPr>
            <w:tcW w:w="4673" w:type="dxa"/>
            <w:tcBorders>
              <w:top w:val="single" w:color="auto" w:sz="4" w:space="0"/>
              <w:right w:val="single" w:color="auto" w:sz="4" w:space="0"/>
            </w:tcBorders>
          </w:tcPr>
          <w:p>
            <w:pPr>
              <w:pStyle w:val="105"/>
              <w:ind w:firstLine="0" w:firstLineChars="0"/>
            </w:pPr>
            <w:r>
              <w:t>Total reaction volume</w:t>
            </w:r>
          </w:p>
        </w:tc>
        <w:tc>
          <w:tcPr>
            <w:tcW w:w="1559" w:type="dxa"/>
            <w:tcBorders>
              <w:top w:val="single" w:color="auto" w:sz="4" w:space="0"/>
              <w:left w:val="single" w:color="auto" w:sz="4" w:space="0"/>
            </w:tcBorders>
          </w:tcPr>
          <w:p>
            <w:pPr>
              <w:pStyle w:val="105"/>
              <w:ind w:firstLine="0" w:firstLineChars="0"/>
              <w:jc w:val="right"/>
              <w:rPr>
                <w:szCs w:val="28"/>
              </w:rPr>
            </w:pPr>
            <w:r>
              <w:t>45 µl</w:t>
            </w:r>
          </w:p>
        </w:tc>
      </w:tr>
    </w:tbl>
    <w:p>
      <w:pPr>
        <w:ind w:left="426" w:leftChars="152"/>
      </w:pPr>
      <w:r>
        <w:t xml:space="preserve">Mix, and incubate at 20 °C for 30 min. </w:t>
      </w:r>
    </w:p>
    <w:p>
      <w:pPr>
        <w:ind w:left="426" w:leftChars="152"/>
        <w:rPr>
          <w:szCs w:val="28"/>
        </w:rPr>
      </w:pPr>
      <w:r>
        <w:t>Proceed</w:t>
      </w:r>
      <w:r>
        <w:rPr>
          <w:rFonts w:hint="eastAsia"/>
        </w:rPr>
        <w:t xml:space="preserve"> </w:t>
      </w:r>
      <w:r>
        <w:t xml:space="preserve">immediately to End Repair Cleanup, </w:t>
      </w:r>
      <w:r>
        <w:rPr>
          <w:szCs w:val="28"/>
        </w:rPr>
        <w:t>as follows:</w:t>
      </w:r>
    </w:p>
    <w:tbl>
      <w:tblPr>
        <w:tblStyle w:val="39"/>
        <w:tblW w:w="0" w:type="auto"/>
        <w:jc w:val="center"/>
        <w:tblLayout w:type="autofit"/>
        <w:tblCellMar>
          <w:top w:w="0" w:type="dxa"/>
          <w:left w:w="108" w:type="dxa"/>
          <w:bottom w:w="0" w:type="dxa"/>
          <w:right w:w="108" w:type="dxa"/>
        </w:tblCellMar>
      </w:tblPr>
      <w:tblGrid>
        <w:gridCol w:w="4673"/>
        <w:gridCol w:w="1559"/>
      </w:tblGrid>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rPr>
                <w:szCs w:val="28"/>
              </w:rPr>
            </w:pPr>
            <w:r>
              <w:t>End repair reaction</w:t>
            </w:r>
          </w:p>
        </w:tc>
        <w:tc>
          <w:tcPr>
            <w:tcW w:w="1559" w:type="dxa"/>
            <w:tcBorders>
              <w:left w:val="single" w:color="auto" w:sz="4" w:space="0"/>
            </w:tcBorders>
          </w:tcPr>
          <w:p>
            <w:pPr>
              <w:pStyle w:val="105"/>
              <w:ind w:firstLine="0" w:firstLineChars="0"/>
              <w:jc w:val="right"/>
              <w:rPr>
                <w:szCs w:val="28"/>
              </w:rPr>
            </w:pPr>
            <w:r>
              <w:t>45 µl</w:t>
            </w:r>
          </w:p>
        </w:tc>
      </w:tr>
      <w:tr>
        <w:tblPrEx>
          <w:tblCellMar>
            <w:top w:w="0" w:type="dxa"/>
            <w:left w:w="108" w:type="dxa"/>
            <w:bottom w:w="0" w:type="dxa"/>
            <w:right w:w="108" w:type="dxa"/>
          </w:tblCellMar>
        </w:tblPrEx>
        <w:trPr>
          <w:trHeight w:val="225" w:hRule="atLeast"/>
          <w:jc w:val="center"/>
        </w:trPr>
        <w:tc>
          <w:tcPr>
            <w:tcW w:w="4673" w:type="dxa"/>
            <w:tcBorders>
              <w:right w:val="single" w:color="auto" w:sz="4" w:space="0"/>
            </w:tcBorders>
          </w:tcPr>
          <w:p>
            <w:pPr>
              <w:pStyle w:val="105"/>
              <w:ind w:firstLine="0" w:firstLineChars="0"/>
              <w:rPr>
                <w:szCs w:val="28"/>
              </w:rPr>
            </w:pPr>
            <w:r>
              <w:t>Agencourt® AMPure® XP reagent</w:t>
            </w:r>
          </w:p>
        </w:tc>
        <w:tc>
          <w:tcPr>
            <w:tcW w:w="1559" w:type="dxa"/>
            <w:tcBorders>
              <w:left w:val="single" w:color="auto" w:sz="4" w:space="0"/>
            </w:tcBorders>
          </w:tcPr>
          <w:p>
            <w:pPr>
              <w:pStyle w:val="105"/>
              <w:ind w:firstLine="0" w:firstLineChars="0"/>
              <w:jc w:val="right"/>
              <w:rPr>
                <w:szCs w:val="28"/>
              </w:rPr>
            </w:pPr>
            <w:r>
              <w:t>80 µl</w:t>
            </w:r>
          </w:p>
        </w:tc>
      </w:tr>
      <w:tr>
        <w:tblPrEx>
          <w:tblCellMar>
            <w:top w:w="0" w:type="dxa"/>
            <w:left w:w="108" w:type="dxa"/>
            <w:bottom w:w="0" w:type="dxa"/>
            <w:right w:w="108" w:type="dxa"/>
          </w:tblCellMar>
        </w:tblPrEx>
        <w:trPr>
          <w:trHeight w:val="225" w:hRule="atLeast"/>
          <w:jc w:val="center"/>
        </w:trPr>
        <w:tc>
          <w:tcPr>
            <w:tcW w:w="4673" w:type="dxa"/>
            <w:tcBorders>
              <w:top w:val="single" w:color="auto" w:sz="4" w:space="0"/>
              <w:right w:val="single" w:color="auto" w:sz="4" w:space="0"/>
            </w:tcBorders>
          </w:tcPr>
          <w:p>
            <w:pPr>
              <w:pStyle w:val="105"/>
              <w:ind w:firstLine="0" w:firstLineChars="0"/>
            </w:pPr>
            <w:r>
              <w:t>Total volume per tube</w:t>
            </w:r>
          </w:p>
        </w:tc>
        <w:tc>
          <w:tcPr>
            <w:tcW w:w="1559" w:type="dxa"/>
            <w:tcBorders>
              <w:top w:val="single" w:color="auto" w:sz="4" w:space="0"/>
              <w:left w:val="single" w:color="auto" w:sz="4" w:space="0"/>
            </w:tcBorders>
          </w:tcPr>
          <w:p>
            <w:pPr>
              <w:pStyle w:val="105"/>
              <w:ind w:firstLine="0" w:firstLineChars="0"/>
              <w:jc w:val="right"/>
              <w:rPr>
                <w:szCs w:val="28"/>
              </w:rPr>
            </w:pPr>
            <w:r>
              <w:t>125 µl</w:t>
            </w:r>
          </w:p>
        </w:tc>
      </w:tr>
    </w:tbl>
    <w:p>
      <w:pPr>
        <w:ind w:left="426" w:leftChars="152"/>
      </w:pPr>
      <w:r>
        <w:t>Mix thoroughly by pipetting up and down multiple</w:t>
      </w:r>
      <w:r>
        <w:rPr>
          <w:rFonts w:hint="eastAsia"/>
        </w:rPr>
        <w:t xml:space="preserve"> </w:t>
      </w:r>
      <w:r>
        <w:t>times, and incubate the tube at 37℃</w:t>
      </w:r>
      <w:r>
        <w:rPr>
          <w:rFonts w:hint="eastAsia"/>
        </w:rPr>
        <w:t xml:space="preserve"> </w:t>
      </w:r>
      <w:r>
        <w:t>for 2 min. Place the tube on a magnet to capture the</w:t>
      </w:r>
      <w:r>
        <w:rPr>
          <w:rFonts w:hint="eastAsia"/>
        </w:rPr>
        <w:t xml:space="preserve"> </w:t>
      </w:r>
      <w:r>
        <w:t>beads, incubate until the liquid is clear, and carefully remove and discard the supernatant. Keeping the tube on the magnet, add 200 µl</w:t>
      </w:r>
      <w:r>
        <w:rPr>
          <w:rFonts w:hint="eastAsia"/>
        </w:rPr>
        <w:t xml:space="preserve"> </w:t>
      </w:r>
      <w:r>
        <w:t>of 80% ethanol, incubate the tube at room temperature for</w:t>
      </w:r>
      <w:r>
        <w:rPr>
          <w:rFonts w:hint="eastAsia"/>
        </w:rPr>
        <w:t xml:space="preserve"> 30 sec, </w:t>
      </w:r>
      <w:r>
        <w:t>carefully remove and discard the ethanol, repeat this step. Allow the beads to dry at room temperature,</w:t>
      </w:r>
      <w:r>
        <w:rPr>
          <w:rFonts w:hint="eastAsia"/>
        </w:rPr>
        <w:t xml:space="preserve"> </w:t>
      </w:r>
      <w:r>
        <w:t>sufficiently for all the ethanol to evaporate.</w:t>
      </w:r>
    </w:p>
    <w:p>
      <w:pPr>
        <w:pStyle w:val="105"/>
        <w:numPr>
          <w:ilvl w:val="0"/>
          <w:numId w:val="5"/>
        </w:numPr>
        <w:ind w:firstLineChars="0"/>
      </w:pPr>
      <w:r>
        <w:t>A-Tailing Reaction</w:t>
      </w:r>
    </w:p>
    <w:p>
      <w:pPr>
        <w:pStyle w:val="105"/>
        <w:ind w:left="360" w:firstLine="0" w:firstLineChars="0"/>
      </w:pPr>
      <w:r>
        <w:t>Add 50µl of A-Tailing Master Mix (10× KAPA A-Tailing Buffer 5 µl,</w:t>
      </w:r>
      <w:r>
        <w:rPr>
          <w:rFonts w:hint="eastAsia"/>
        </w:rPr>
        <w:t xml:space="preserve"> </w:t>
      </w:r>
      <w:r>
        <w:t>KAPA A-Tailing Enzyme 3 µl, Water 42 µl) to the tube containing beads with</w:t>
      </w:r>
      <w:r>
        <w:rPr>
          <w:rFonts w:hint="eastAsia"/>
        </w:rPr>
        <w:t xml:space="preserve"> </w:t>
      </w:r>
      <w:r>
        <w:t>end-repaired DNA, and incubate at 30 °C for 30 min. Proceed immediately</w:t>
      </w:r>
      <w:r>
        <w:rPr>
          <w:rFonts w:hint="eastAsia"/>
        </w:rPr>
        <w:t xml:space="preserve"> </w:t>
      </w:r>
      <w:r>
        <w:t>to A-Tailing Cleanup.</w:t>
      </w:r>
    </w:p>
    <w:tbl>
      <w:tblPr>
        <w:tblStyle w:val="39"/>
        <w:tblW w:w="0" w:type="auto"/>
        <w:jc w:val="center"/>
        <w:tblLayout w:type="autofit"/>
        <w:tblCellMar>
          <w:top w:w="0" w:type="dxa"/>
          <w:left w:w="108" w:type="dxa"/>
          <w:bottom w:w="0" w:type="dxa"/>
          <w:right w:w="108" w:type="dxa"/>
        </w:tblCellMar>
      </w:tblPr>
      <w:tblGrid>
        <w:gridCol w:w="4673"/>
        <w:gridCol w:w="1559"/>
      </w:tblGrid>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rPr>
                <w:szCs w:val="28"/>
              </w:rPr>
            </w:pPr>
            <w:r>
              <w:t>10× KAPA A-Tailing Buffer</w:t>
            </w:r>
          </w:p>
        </w:tc>
        <w:tc>
          <w:tcPr>
            <w:tcW w:w="1559" w:type="dxa"/>
            <w:tcBorders>
              <w:left w:val="single" w:color="auto" w:sz="4" w:space="0"/>
            </w:tcBorders>
          </w:tcPr>
          <w:p>
            <w:pPr>
              <w:pStyle w:val="105"/>
              <w:ind w:firstLine="0" w:firstLineChars="0"/>
              <w:jc w:val="right"/>
              <w:rPr>
                <w:szCs w:val="28"/>
              </w:rPr>
            </w:pPr>
            <w:r>
              <w:t>2.5 µl</w:t>
            </w:r>
          </w:p>
        </w:tc>
      </w:tr>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pPr>
            <w:r>
              <w:t>KAPA A-Tailing Enzyme</w:t>
            </w:r>
          </w:p>
        </w:tc>
        <w:tc>
          <w:tcPr>
            <w:tcW w:w="1559" w:type="dxa"/>
            <w:tcBorders>
              <w:left w:val="single" w:color="auto" w:sz="4" w:space="0"/>
            </w:tcBorders>
          </w:tcPr>
          <w:p>
            <w:pPr>
              <w:pStyle w:val="105"/>
              <w:ind w:firstLine="0" w:firstLineChars="0"/>
              <w:jc w:val="right"/>
            </w:pPr>
            <w:r>
              <w:t>1.5 µl</w:t>
            </w:r>
          </w:p>
        </w:tc>
      </w:tr>
      <w:tr>
        <w:tblPrEx>
          <w:tblCellMar>
            <w:top w:w="0" w:type="dxa"/>
            <w:left w:w="108" w:type="dxa"/>
            <w:bottom w:w="0" w:type="dxa"/>
            <w:right w:w="108" w:type="dxa"/>
          </w:tblCellMar>
        </w:tblPrEx>
        <w:trPr>
          <w:trHeight w:val="225" w:hRule="atLeast"/>
          <w:jc w:val="center"/>
        </w:trPr>
        <w:tc>
          <w:tcPr>
            <w:tcW w:w="4673" w:type="dxa"/>
            <w:tcBorders>
              <w:right w:val="single" w:color="auto" w:sz="4" w:space="0"/>
            </w:tcBorders>
          </w:tcPr>
          <w:p>
            <w:pPr>
              <w:pStyle w:val="105"/>
              <w:ind w:firstLine="0" w:firstLineChars="0"/>
              <w:rPr>
                <w:szCs w:val="28"/>
              </w:rPr>
            </w:pPr>
            <w:r>
              <w:t>Water</w:t>
            </w:r>
          </w:p>
        </w:tc>
        <w:tc>
          <w:tcPr>
            <w:tcW w:w="1559" w:type="dxa"/>
            <w:tcBorders>
              <w:left w:val="single" w:color="auto" w:sz="4" w:space="0"/>
            </w:tcBorders>
          </w:tcPr>
          <w:p>
            <w:pPr>
              <w:pStyle w:val="105"/>
              <w:ind w:firstLine="0" w:firstLineChars="0"/>
              <w:jc w:val="right"/>
              <w:rPr>
                <w:szCs w:val="28"/>
              </w:rPr>
            </w:pPr>
            <w:r>
              <w:t>15 µl</w:t>
            </w:r>
          </w:p>
        </w:tc>
      </w:tr>
      <w:tr>
        <w:tblPrEx>
          <w:tblCellMar>
            <w:top w:w="0" w:type="dxa"/>
            <w:left w:w="108" w:type="dxa"/>
            <w:bottom w:w="0" w:type="dxa"/>
            <w:right w:w="108" w:type="dxa"/>
          </w:tblCellMar>
        </w:tblPrEx>
        <w:trPr>
          <w:trHeight w:val="225" w:hRule="atLeast"/>
          <w:jc w:val="center"/>
        </w:trPr>
        <w:tc>
          <w:tcPr>
            <w:tcW w:w="4673" w:type="dxa"/>
            <w:tcBorders>
              <w:top w:val="single" w:color="auto" w:sz="4" w:space="0"/>
              <w:right w:val="single" w:color="auto" w:sz="4" w:space="0"/>
            </w:tcBorders>
          </w:tcPr>
          <w:p>
            <w:pPr>
              <w:pStyle w:val="105"/>
              <w:ind w:firstLine="0" w:firstLineChars="0"/>
            </w:pPr>
            <w:r>
              <w:t>Total volume per tube</w:t>
            </w:r>
          </w:p>
        </w:tc>
        <w:tc>
          <w:tcPr>
            <w:tcW w:w="1559" w:type="dxa"/>
            <w:tcBorders>
              <w:top w:val="single" w:color="auto" w:sz="4" w:space="0"/>
              <w:left w:val="single" w:color="auto" w:sz="4" w:space="0"/>
            </w:tcBorders>
          </w:tcPr>
          <w:p>
            <w:pPr>
              <w:pStyle w:val="105"/>
              <w:ind w:firstLine="0" w:firstLineChars="0"/>
              <w:jc w:val="right"/>
              <w:rPr>
                <w:szCs w:val="28"/>
              </w:rPr>
            </w:pPr>
            <w:r>
              <w:t>25 µl</w:t>
            </w:r>
          </w:p>
        </w:tc>
      </w:tr>
    </w:tbl>
    <w:p>
      <w:pPr>
        <w:ind w:left="283" w:leftChars="101"/>
      </w:pPr>
      <w:r>
        <w:rPr>
          <w:rFonts w:hint="eastAsia"/>
        </w:rPr>
        <w:t xml:space="preserve">Add </w:t>
      </w:r>
      <w:r>
        <w:t>45 µl of PEG/NaCl SPRI® Solution to the tube containing the 25 µl A-tailing</w:t>
      </w:r>
      <w:r>
        <w:rPr>
          <w:rFonts w:hint="eastAsia"/>
        </w:rPr>
        <w:t xml:space="preserve"> </w:t>
      </w:r>
      <w:r>
        <w:t>reaction with beads, mix and incubate the tube at 37℃ for</w:t>
      </w:r>
      <w:r>
        <w:rPr>
          <w:rFonts w:hint="eastAsia"/>
        </w:rPr>
        <w:t xml:space="preserve"> 2 </w:t>
      </w:r>
      <w:r>
        <w:t>min. Place the tube on a magnet to capture the</w:t>
      </w:r>
      <w:r>
        <w:rPr>
          <w:rFonts w:hint="eastAsia"/>
        </w:rPr>
        <w:t xml:space="preserve"> </w:t>
      </w:r>
      <w:r>
        <w:t>beads, incubate until the liquid is clear, and carefully remove and discard the supernatant. Keeping the tube on the magnet, add 200 µl</w:t>
      </w:r>
      <w:r>
        <w:rPr>
          <w:rFonts w:hint="eastAsia"/>
        </w:rPr>
        <w:t xml:space="preserve"> </w:t>
      </w:r>
      <w:r>
        <w:t>of 80% ethanol, incubate the tube at room temperature for</w:t>
      </w:r>
      <w:r>
        <w:rPr>
          <w:rFonts w:hint="eastAsia"/>
        </w:rPr>
        <w:t xml:space="preserve"> 30 sec, </w:t>
      </w:r>
      <w:r>
        <w:t>carefully remove and discard the ethanol, repeat this step. Allow the beads to dry at room temperature,</w:t>
      </w:r>
      <w:r>
        <w:rPr>
          <w:rFonts w:hint="eastAsia"/>
        </w:rPr>
        <w:t xml:space="preserve"> </w:t>
      </w:r>
      <w:r>
        <w:t>sufficiently for all the ethanol to evaporate.</w:t>
      </w:r>
    </w:p>
    <w:p>
      <w:pPr>
        <w:pStyle w:val="105"/>
        <w:numPr>
          <w:ilvl w:val="0"/>
          <w:numId w:val="5"/>
        </w:numPr>
        <w:ind w:firstLineChars="0"/>
      </w:pPr>
      <w:r>
        <w:t>Adapter Ligation Reaction</w:t>
      </w:r>
    </w:p>
    <w:p>
      <w:pPr>
        <w:pStyle w:val="105"/>
        <w:ind w:left="360" w:firstLine="0" w:firstLineChars="0"/>
      </w:pPr>
      <w:r>
        <w:t>Add 45 µl of Ligation Master Mix and 5 µl of Adapter to the tube containing the dried beads with A-tailed DNA, mix, and incubate at 20 °C for 15 min. Proceed immediately to Adapter Ligation Cleanup.</w:t>
      </w:r>
    </w:p>
    <w:tbl>
      <w:tblPr>
        <w:tblStyle w:val="39"/>
        <w:tblW w:w="0" w:type="auto"/>
        <w:jc w:val="center"/>
        <w:tblLayout w:type="autofit"/>
        <w:tblCellMar>
          <w:top w:w="0" w:type="dxa"/>
          <w:left w:w="108" w:type="dxa"/>
          <w:bottom w:w="0" w:type="dxa"/>
          <w:right w:w="108" w:type="dxa"/>
        </w:tblCellMar>
      </w:tblPr>
      <w:tblGrid>
        <w:gridCol w:w="4673"/>
        <w:gridCol w:w="1559"/>
      </w:tblGrid>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rPr>
                <w:szCs w:val="28"/>
              </w:rPr>
            </w:pPr>
            <w:r>
              <w:t>5× Kappa Ligation buffer</w:t>
            </w:r>
          </w:p>
        </w:tc>
        <w:tc>
          <w:tcPr>
            <w:tcW w:w="1559" w:type="dxa"/>
            <w:tcBorders>
              <w:left w:val="single" w:color="auto" w:sz="4" w:space="0"/>
            </w:tcBorders>
          </w:tcPr>
          <w:p>
            <w:pPr>
              <w:pStyle w:val="105"/>
              <w:ind w:firstLine="0" w:firstLineChars="0"/>
              <w:jc w:val="right"/>
              <w:rPr>
                <w:szCs w:val="28"/>
              </w:rPr>
            </w:pPr>
            <w:r>
              <w:t>5 µl</w:t>
            </w:r>
          </w:p>
        </w:tc>
      </w:tr>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pPr>
            <w:r>
              <w:t>Kappa T4 DNA ligase</w:t>
            </w:r>
          </w:p>
        </w:tc>
        <w:tc>
          <w:tcPr>
            <w:tcW w:w="1559" w:type="dxa"/>
            <w:tcBorders>
              <w:left w:val="single" w:color="auto" w:sz="4" w:space="0"/>
            </w:tcBorders>
          </w:tcPr>
          <w:p>
            <w:pPr>
              <w:pStyle w:val="105"/>
              <w:ind w:firstLine="0" w:firstLineChars="0"/>
              <w:jc w:val="right"/>
            </w:pPr>
            <w:r>
              <w:t>2.5 µl</w:t>
            </w:r>
          </w:p>
        </w:tc>
      </w:tr>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pPr>
            <w:r>
              <w:t>Adapter</w:t>
            </w:r>
          </w:p>
        </w:tc>
        <w:tc>
          <w:tcPr>
            <w:tcW w:w="1559" w:type="dxa"/>
            <w:tcBorders>
              <w:left w:val="single" w:color="auto" w:sz="4" w:space="0"/>
            </w:tcBorders>
          </w:tcPr>
          <w:p>
            <w:pPr>
              <w:pStyle w:val="105"/>
              <w:ind w:firstLine="0" w:firstLineChars="0"/>
              <w:jc w:val="right"/>
            </w:pPr>
            <w:r>
              <w:t>2.5 µl</w:t>
            </w:r>
          </w:p>
        </w:tc>
      </w:tr>
      <w:tr>
        <w:tblPrEx>
          <w:tblCellMar>
            <w:top w:w="0" w:type="dxa"/>
            <w:left w:w="108" w:type="dxa"/>
            <w:bottom w:w="0" w:type="dxa"/>
            <w:right w:w="108" w:type="dxa"/>
          </w:tblCellMar>
        </w:tblPrEx>
        <w:trPr>
          <w:trHeight w:val="435" w:hRule="atLeast"/>
          <w:jc w:val="center"/>
        </w:trPr>
        <w:tc>
          <w:tcPr>
            <w:tcW w:w="4673" w:type="dxa"/>
            <w:tcBorders>
              <w:right w:val="single" w:color="auto" w:sz="4" w:space="0"/>
            </w:tcBorders>
          </w:tcPr>
          <w:p>
            <w:pPr>
              <w:pStyle w:val="105"/>
              <w:ind w:firstLine="0" w:firstLineChars="0"/>
              <w:rPr>
                <w:szCs w:val="28"/>
              </w:rPr>
            </w:pPr>
            <w:r>
              <w:t>Water</w:t>
            </w:r>
          </w:p>
        </w:tc>
        <w:tc>
          <w:tcPr>
            <w:tcW w:w="1559" w:type="dxa"/>
            <w:tcBorders>
              <w:left w:val="single" w:color="auto" w:sz="4" w:space="0"/>
            </w:tcBorders>
          </w:tcPr>
          <w:p>
            <w:pPr>
              <w:pStyle w:val="105"/>
              <w:ind w:firstLine="0" w:firstLineChars="0"/>
              <w:jc w:val="right"/>
              <w:rPr>
                <w:szCs w:val="28"/>
              </w:rPr>
            </w:pPr>
            <w:r>
              <w:t>15 µl</w:t>
            </w:r>
          </w:p>
        </w:tc>
      </w:tr>
      <w:tr>
        <w:tblPrEx>
          <w:tblCellMar>
            <w:top w:w="0" w:type="dxa"/>
            <w:left w:w="108" w:type="dxa"/>
            <w:bottom w:w="0" w:type="dxa"/>
            <w:right w:w="108" w:type="dxa"/>
          </w:tblCellMar>
        </w:tblPrEx>
        <w:trPr>
          <w:trHeight w:val="225" w:hRule="atLeast"/>
          <w:jc w:val="center"/>
        </w:trPr>
        <w:tc>
          <w:tcPr>
            <w:tcW w:w="4673" w:type="dxa"/>
            <w:tcBorders>
              <w:top w:val="single" w:color="auto" w:sz="4" w:space="0"/>
              <w:right w:val="single" w:color="auto" w:sz="4" w:space="0"/>
            </w:tcBorders>
          </w:tcPr>
          <w:p>
            <w:pPr>
              <w:pStyle w:val="105"/>
              <w:ind w:firstLine="0" w:firstLineChars="0"/>
            </w:pPr>
            <w:r>
              <w:t>Total volume per tube</w:t>
            </w:r>
          </w:p>
        </w:tc>
        <w:tc>
          <w:tcPr>
            <w:tcW w:w="1559" w:type="dxa"/>
            <w:tcBorders>
              <w:top w:val="single" w:color="auto" w:sz="4" w:space="0"/>
              <w:left w:val="single" w:color="auto" w:sz="4" w:space="0"/>
            </w:tcBorders>
          </w:tcPr>
          <w:p>
            <w:pPr>
              <w:pStyle w:val="105"/>
              <w:ind w:firstLine="0" w:firstLineChars="0"/>
              <w:jc w:val="right"/>
              <w:rPr>
                <w:szCs w:val="28"/>
              </w:rPr>
            </w:pPr>
            <w:r>
              <w:t>25 µl</w:t>
            </w:r>
          </w:p>
        </w:tc>
      </w:tr>
    </w:tbl>
    <w:p>
      <w:pPr>
        <w:pStyle w:val="105"/>
        <w:ind w:left="360" w:firstLine="0" w:firstLineChars="0"/>
      </w:pPr>
      <w:bookmarkStart w:id="2" w:name="OLE_LINK39"/>
      <w:r>
        <w:rPr>
          <w:rFonts w:hint="eastAsia"/>
        </w:rPr>
        <w:t xml:space="preserve">Add </w:t>
      </w:r>
      <w:r>
        <w:t>50 µl of PEG/NaCl SPRI® Solution to the tube containing the 50 µl ligation reaction with beads, mix and incubate the tube at 37℃ for</w:t>
      </w:r>
      <w:r>
        <w:rPr>
          <w:rFonts w:hint="eastAsia"/>
        </w:rPr>
        <w:t xml:space="preserve"> 2 </w:t>
      </w:r>
      <w:r>
        <w:t>min. Place the tube on a magnet to capture the</w:t>
      </w:r>
      <w:r>
        <w:rPr>
          <w:rFonts w:hint="eastAsia"/>
        </w:rPr>
        <w:t xml:space="preserve"> </w:t>
      </w:r>
      <w:r>
        <w:t>beads, incubate until the liquid is clear, and carefully remove and discard the supernatant. Keeping the tube on the magnet, add 200 µl</w:t>
      </w:r>
      <w:r>
        <w:rPr>
          <w:rFonts w:hint="eastAsia"/>
        </w:rPr>
        <w:t xml:space="preserve"> </w:t>
      </w:r>
      <w:r>
        <w:t>of 80% ethanol, incubate the tube at room temperature for</w:t>
      </w:r>
      <w:r>
        <w:rPr>
          <w:rFonts w:hint="eastAsia"/>
        </w:rPr>
        <w:t xml:space="preserve"> 30 sec, </w:t>
      </w:r>
      <w:r>
        <w:t>carefully remove and discard the ethanol, repeat this step. Allow the beads to dry at room temperature,</w:t>
      </w:r>
      <w:r>
        <w:rPr>
          <w:rFonts w:hint="eastAsia"/>
        </w:rPr>
        <w:t xml:space="preserve"> </w:t>
      </w:r>
      <w:r>
        <w:t xml:space="preserve">sufficiently for all the ethanol to evaporate. </w:t>
      </w:r>
    </w:p>
    <w:bookmarkEnd w:id="2"/>
    <w:p>
      <w:pPr>
        <w:pStyle w:val="105"/>
        <w:numPr>
          <w:ilvl w:val="0"/>
          <w:numId w:val="5"/>
        </w:numPr>
        <w:ind w:firstLineChars="0"/>
      </w:pPr>
      <w:bookmarkStart w:id="3" w:name="OLE_LINK40"/>
      <w:r>
        <w:t>Library Amplification Reaction</w:t>
      </w:r>
    </w:p>
    <w:bookmarkEnd w:id="3"/>
    <w:p>
      <w:pPr>
        <w:pStyle w:val="105"/>
        <w:ind w:left="360" w:firstLine="0" w:firstLineChars="0"/>
      </w:pPr>
      <w:r>
        <w:t>Thoroughly resuspend the beads in 25 µl of water, incubate the tube at room temperature for 2 min. Place the tube on a magnet to capture the beads, incubate until the liquid is clear, transfer the clear supernatant to a new tube and proceed with library amplification.</w:t>
      </w:r>
    </w:p>
    <w:p>
      <w:pPr>
        <w:ind w:firstLine="420" w:firstLineChars="150"/>
      </w:pPr>
      <w:r>
        <w:t>Assemble each library amplification reaction as</w:t>
      </w:r>
      <w:r>
        <w:rPr>
          <w:rFonts w:hint="eastAsia"/>
        </w:rPr>
        <w:t xml:space="preserve"> </w:t>
      </w:r>
      <w:r>
        <w:t>follows:</w:t>
      </w:r>
    </w:p>
    <w:tbl>
      <w:tblPr>
        <w:tblStyle w:val="39"/>
        <w:tblW w:w="0" w:type="auto"/>
        <w:jc w:val="center"/>
        <w:tblLayout w:type="autofit"/>
        <w:tblCellMar>
          <w:top w:w="0" w:type="dxa"/>
          <w:left w:w="108" w:type="dxa"/>
          <w:bottom w:w="0" w:type="dxa"/>
          <w:right w:w="108" w:type="dxa"/>
        </w:tblCellMar>
      </w:tblPr>
      <w:tblGrid>
        <w:gridCol w:w="5666"/>
        <w:gridCol w:w="1848"/>
      </w:tblGrid>
      <w:tr>
        <w:trPr>
          <w:trHeight w:val="435" w:hRule="atLeast"/>
          <w:jc w:val="center"/>
        </w:trPr>
        <w:tc>
          <w:tcPr>
            <w:tcW w:w="5666" w:type="dxa"/>
            <w:tcBorders>
              <w:right w:val="single" w:color="auto" w:sz="4" w:space="0"/>
            </w:tcBorders>
          </w:tcPr>
          <w:p>
            <w:pPr>
              <w:pStyle w:val="105"/>
              <w:ind w:firstLine="0" w:firstLineChars="0"/>
              <w:rPr>
                <w:szCs w:val="28"/>
              </w:rPr>
            </w:pPr>
            <w:r>
              <w:t>Library DNA</w:t>
            </w:r>
          </w:p>
        </w:tc>
        <w:tc>
          <w:tcPr>
            <w:tcW w:w="1848" w:type="dxa"/>
            <w:tcBorders>
              <w:left w:val="single" w:color="auto" w:sz="4" w:space="0"/>
            </w:tcBorders>
          </w:tcPr>
          <w:p>
            <w:pPr>
              <w:ind w:firstLine="420" w:firstLineChars="150"/>
              <w:jc w:val="right"/>
            </w:pPr>
            <w:r>
              <w:t>10 µl</w:t>
            </w:r>
          </w:p>
        </w:tc>
      </w:tr>
      <w:tr>
        <w:tblPrEx>
          <w:tblCellMar>
            <w:top w:w="0" w:type="dxa"/>
            <w:left w:w="108" w:type="dxa"/>
            <w:bottom w:w="0" w:type="dxa"/>
            <w:right w:w="108" w:type="dxa"/>
          </w:tblCellMar>
        </w:tblPrEx>
        <w:trPr>
          <w:trHeight w:val="435" w:hRule="atLeast"/>
          <w:jc w:val="center"/>
        </w:trPr>
        <w:tc>
          <w:tcPr>
            <w:tcW w:w="5666" w:type="dxa"/>
            <w:tcBorders>
              <w:right w:val="single" w:color="auto" w:sz="4" w:space="0"/>
            </w:tcBorders>
          </w:tcPr>
          <w:p>
            <w:pPr>
              <w:pStyle w:val="105"/>
              <w:ind w:firstLine="0" w:firstLineChars="0"/>
            </w:pPr>
            <w:r>
              <w:t>2× KAPA HiFi HotStart ReadyMix</w:t>
            </w:r>
          </w:p>
        </w:tc>
        <w:tc>
          <w:tcPr>
            <w:tcW w:w="1848" w:type="dxa"/>
            <w:tcBorders>
              <w:left w:val="single" w:color="auto" w:sz="4" w:space="0"/>
            </w:tcBorders>
          </w:tcPr>
          <w:p>
            <w:pPr>
              <w:pStyle w:val="105"/>
              <w:ind w:firstLine="0" w:firstLineChars="0"/>
              <w:jc w:val="right"/>
            </w:pPr>
            <w:r>
              <w:t>12.5 µl</w:t>
            </w:r>
          </w:p>
        </w:tc>
      </w:tr>
      <w:tr>
        <w:trPr>
          <w:trHeight w:val="435" w:hRule="atLeast"/>
          <w:jc w:val="center"/>
        </w:trPr>
        <w:tc>
          <w:tcPr>
            <w:tcW w:w="5666" w:type="dxa"/>
            <w:tcBorders>
              <w:right w:val="single" w:color="auto" w:sz="4" w:space="0"/>
            </w:tcBorders>
          </w:tcPr>
          <w:p>
            <w:pPr>
              <w:pStyle w:val="105"/>
              <w:ind w:firstLine="0" w:firstLineChars="0"/>
            </w:pPr>
            <w:r>
              <w:t>PCR Primer Premix (5 µM each primer)</w:t>
            </w:r>
          </w:p>
        </w:tc>
        <w:tc>
          <w:tcPr>
            <w:tcW w:w="1848" w:type="dxa"/>
            <w:tcBorders>
              <w:left w:val="single" w:color="auto" w:sz="4" w:space="0"/>
            </w:tcBorders>
          </w:tcPr>
          <w:p>
            <w:pPr>
              <w:pStyle w:val="105"/>
              <w:ind w:firstLine="0" w:firstLineChars="0"/>
              <w:jc w:val="right"/>
            </w:pPr>
            <w:r>
              <w:t>1 µl</w:t>
            </w:r>
          </w:p>
        </w:tc>
      </w:tr>
      <w:tr>
        <w:trPr>
          <w:trHeight w:val="435" w:hRule="atLeast"/>
          <w:jc w:val="center"/>
        </w:trPr>
        <w:tc>
          <w:tcPr>
            <w:tcW w:w="5666" w:type="dxa"/>
            <w:tcBorders>
              <w:right w:val="single" w:color="auto" w:sz="4" w:space="0"/>
            </w:tcBorders>
          </w:tcPr>
          <w:p>
            <w:pPr>
              <w:pStyle w:val="105"/>
              <w:ind w:firstLine="0" w:firstLineChars="0"/>
            </w:pPr>
            <w:r>
              <w:rPr>
                <w:rFonts w:hint="eastAsia"/>
              </w:rPr>
              <w:t>Water</w:t>
            </w:r>
          </w:p>
        </w:tc>
        <w:tc>
          <w:tcPr>
            <w:tcW w:w="1848" w:type="dxa"/>
            <w:tcBorders>
              <w:left w:val="single" w:color="auto" w:sz="4" w:space="0"/>
            </w:tcBorders>
          </w:tcPr>
          <w:p>
            <w:pPr>
              <w:pStyle w:val="105"/>
              <w:ind w:firstLine="0" w:firstLineChars="0"/>
              <w:jc w:val="right"/>
            </w:pPr>
            <w:r>
              <w:rPr>
                <w:rFonts w:hint="eastAsia"/>
              </w:rPr>
              <w:t>1.5</w:t>
            </w:r>
            <w:r>
              <w:t xml:space="preserve"> µl</w:t>
            </w:r>
          </w:p>
        </w:tc>
      </w:tr>
      <w:tr>
        <w:tblPrEx>
          <w:tblCellMar>
            <w:top w:w="0" w:type="dxa"/>
            <w:left w:w="108" w:type="dxa"/>
            <w:bottom w:w="0" w:type="dxa"/>
            <w:right w:w="108" w:type="dxa"/>
          </w:tblCellMar>
        </w:tblPrEx>
        <w:trPr>
          <w:trHeight w:val="225" w:hRule="atLeast"/>
          <w:jc w:val="center"/>
        </w:trPr>
        <w:tc>
          <w:tcPr>
            <w:tcW w:w="5666" w:type="dxa"/>
            <w:tcBorders>
              <w:top w:val="single" w:color="auto" w:sz="4" w:space="0"/>
              <w:right w:val="single" w:color="auto" w:sz="4" w:space="0"/>
            </w:tcBorders>
          </w:tcPr>
          <w:p>
            <w:pPr>
              <w:pStyle w:val="105"/>
              <w:ind w:firstLine="0" w:firstLineChars="0"/>
            </w:pPr>
            <w:r>
              <w:t>Total volume per tube</w:t>
            </w:r>
          </w:p>
        </w:tc>
        <w:tc>
          <w:tcPr>
            <w:tcW w:w="1848" w:type="dxa"/>
            <w:tcBorders>
              <w:top w:val="single" w:color="auto" w:sz="4" w:space="0"/>
              <w:left w:val="single" w:color="auto" w:sz="4" w:space="0"/>
            </w:tcBorders>
          </w:tcPr>
          <w:p>
            <w:pPr>
              <w:pStyle w:val="105"/>
              <w:ind w:firstLine="0" w:firstLineChars="0"/>
              <w:jc w:val="right"/>
              <w:rPr>
                <w:szCs w:val="28"/>
              </w:rPr>
            </w:pPr>
            <w:r>
              <w:t>25 µl</w:t>
            </w:r>
          </w:p>
        </w:tc>
      </w:tr>
    </w:tbl>
    <w:p>
      <w:pPr>
        <w:ind w:firstLine="420" w:firstLineChars="150"/>
      </w:pPr>
      <w:r>
        <w:drawing>
          <wp:anchor distT="0" distB="0" distL="114300" distR="114300" simplePos="0" relativeHeight="251659264" behindDoc="0" locked="0" layoutInCell="1" allowOverlap="1">
            <wp:simplePos x="0" y="0"/>
            <wp:positionH relativeFrom="column">
              <wp:posOffset>1962150</wp:posOffset>
            </wp:positionH>
            <wp:positionV relativeFrom="paragraph">
              <wp:posOffset>438150</wp:posOffset>
            </wp:positionV>
            <wp:extent cx="2241550" cy="1612900"/>
            <wp:effectExtent l="0" t="0" r="6350" b="635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241665" cy="1612983"/>
                    </a:xfrm>
                    <a:prstGeom prst="rect">
                      <a:avLst/>
                    </a:prstGeom>
                  </pic:spPr>
                </pic:pic>
              </a:graphicData>
            </a:graphic>
          </wp:anchor>
        </w:drawing>
      </w:r>
      <w:r>
        <w:t>Perform PCR with the thermocycling parameters:</w:t>
      </w:r>
    </w:p>
    <w:p>
      <w:pPr>
        <w:ind w:firstLine="420" w:firstLineChars="150"/>
        <w:jc w:val="center"/>
      </w:pPr>
    </w:p>
    <w:p>
      <w:pPr>
        <w:ind w:left="425" w:leftChars="150" w:hanging="5" w:hangingChars="2"/>
      </w:pPr>
      <w:bookmarkStart w:id="4" w:name="OLE_LINK42"/>
      <w:bookmarkStart w:id="5" w:name="OLE_LINK41"/>
      <w:r>
        <w:rPr>
          <w:rFonts w:hint="eastAsia"/>
        </w:rPr>
        <w:t xml:space="preserve">Add </w:t>
      </w:r>
      <w:r>
        <w:t>45</w:t>
      </w:r>
      <w:r>
        <w:rPr>
          <w:rFonts w:hint="eastAsia"/>
        </w:rPr>
        <w:t xml:space="preserve"> µl of </w:t>
      </w:r>
      <w:r>
        <w:t>Agencourt</w:t>
      </w:r>
      <w:r>
        <w:rPr>
          <w:vertAlign w:val="superscript"/>
        </w:rPr>
        <w:t>®</w:t>
      </w:r>
      <w:r>
        <w:t xml:space="preserve"> AMPure</w:t>
      </w:r>
      <w:r>
        <w:rPr>
          <w:vertAlign w:val="superscript"/>
        </w:rPr>
        <w:t>®</w:t>
      </w:r>
      <w:r>
        <w:t xml:space="preserve"> XP reagent</w:t>
      </w:r>
      <w:r>
        <w:rPr>
          <w:rFonts w:hint="eastAsia"/>
        </w:rPr>
        <w:t xml:space="preserve"> to the tube containing the </w:t>
      </w:r>
      <w:r>
        <w:t>25</w:t>
      </w:r>
      <w:r>
        <w:rPr>
          <w:rFonts w:hint="eastAsia"/>
        </w:rPr>
        <w:t xml:space="preserve"> µl ligation reaction with beads, mix and incubate the tube at 37℃ for 2 min. Place the tube on a magnet to capture the beads, incubate until the liquid is clear, and carefully remove and di</w:t>
      </w:r>
      <w:r>
        <w:t>scard the supernatant. Keeping the tube on the magnet, add 200 µl of 80% ethanol, incubate the tube at room temperature for 30 sec, carefully remove and discard the ethanol, repeat this step. Allow the beads to dry at room temperature, sufficiently for all the ethanol to evaporate. Thoroughly resuspend the beads in 25 µl of water, incubate the tube at room temperature for 2 min. Place the tube on a magnet to capture the beads, incubate until the liquid is clear, transfer the clear supernatant to a new tube, and proceed with array capture</w:t>
      </w:r>
      <w:bookmarkEnd w:id="4"/>
      <w:bookmarkEnd w:id="5"/>
      <w:r>
        <w:t>.</w:t>
      </w:r>
    </w:p>
    <w:p>
      <w:pPr>
        <w:ind w:left="425" w:leftChars="150" w:hanging="5" w:hangingChars="2"/>
      </w:pPr>
    </w:p>
    <w:p>
      <w:pPr>
        <w:rPr>
          <w:rFonts w:ascii="OTNEJMScalaSansSmallLFCap-Bold" w:hAnsi="OTNEJMScalaSansSmallLFCap-Bold"/>
          <w:b/>
          <w:bCs/>
          <w:color w:val="auto"/>
          <w:szCs w:val="28"/>
        </w:rPr>
      </w:pPr>
      <w:bookmarkStart w:id="6" w:name="OLE_LINK43"/>
    </w:p>
    <w:p>
      <w:pPr>
        <w:rPr>
          <w:rFonts w:hint="eastAsia" w:ascii="OTNEJMScalaSansSmallLFCap-Bold" w:hAnsi="OTNEJMScalaSansSmallLFCap-Bold"/>
          <w:b/>
          <w:bCs/>
          <w:color w:val="auto"/>
          <w:szCs w:val="28"/>
        </w:rPr>
      </w:pPr>
      <w:r>
        <w:rPr>
          <w:rFonts w:ascii="OTNEJMScalaSansSmallLFCap-Bold" w:hAnsi="OTNEJMScalaSansSmallLFCap-Bold"/>
          <w:b/>
          <w:bCs/>
          <w:color w:val="auto"/>
          <w:szCs w:val="28"/>
        </w:rPr>
        <w:t>Array capture</w:t>
      </w:r>
    </w:p>
    <w:bookmarkEnd w:id="6"/>
    <w:p>
      <w:pPr>
        <w:rPr>
          <w:color w:val="auto"/>
        </w:rPr>
      </w:pPr>
      <w:bookmarkStart w:id="7" w:name="OLE_LINK71"/>
      <w:bookmarkStart w:id="8" w:name="OLE_LINK70"/>
      <w:bookmarkStart w:id="9" w:name="OLE_LINK63"/>
      <w:bookmarkStart w:id="10" w:name="OLE_LINK30"/>
      <w:bookmarkStart w:id="11" w:name="OLE_LINK66"/>
      <w:bookmarkStart w:id="12" w:name="OLE_LINK61"/>
      <w:bookmarkStart w:id="13" w:name="OLE_LINK62"/>
      <w:r>
        <w:rPr>
          <w:color w:val="auto"/>
        </w:rPr>
        <w:t>Hybridization of pooled libraries to the capture probes and</w:t>
      </w:r>
      <w:r>
        <w:rPr>
          <w:rFonts w:hint="eastAsia"/>
          <w:color w:val="auto"/>
        </w:rPr>
        <w:t xml:space="preserve"> </w:t>
      </w:r>
      <w:r>
        <w:rPr>
          <w:color w:val="auto"/>
        </w:rPr>
        <w:t xml:space="preserve">removal of non-hybridized </w:t>
      </w:r>
      <w:bookmarkStart w:id="14" w:name="OLE_LINK79"/>
      <w:bookmarkStart w:id="15" w:name="OLE_LINK81"/>
      <w:bookmarkStart w:id="16" w:name="OLE_LINK80"/>
      <w:r>
        <w:rPr>
          <w:color w:val="auto"/>
        </w:rPr>
        <w:t>library</w:t>
      </w:r>
      <w:bookmarkEnd w:id="14"/>
      <w:bookmarkEnd w:id="15"/>
      <w:bookmarkEnd w:id="16"/>
      <w:r>
        <w:rPr>
          <w:color w:val="auto"/>
        </w:rPr>
        <w:t xml:space="preserve"> molecules were carried out</w:t>
      </w:r>
      <w:r>
        <w:rPr>
          <w:rFonts w:hint="eastAsia"/>
          <w:color w:val="auto"/>
        </w:rPr>
        <w:t xml:space="preserve"> </w:t>
      </w:r>
      <w:r>
        <w:rPr>
          <w:color w:val="auto"/>
        </w:rPr>
        <w:t>according to the</w:t>
      </w:r>
      <w:bookmarkEnd w:id="7"/>
      <w:bookmarkEnd w:id="8"/>
      <w:r>
        <w:rPr>
          <w:color w:val="auto"/>
        </w:rPr>
        <w:t xml:space="preserve"> SeqCap hybrid Mix system</w:t>
      </w:r>
    </w:p>
    <w:bookmarkEnd w:id="9"/>
    <w:bookmarkEnd w:id="10"/>
    <w:p>
      <w:pPr>
        <w:rPr>
          <w:color w:val="auto"/>
        </w:rPr>
      </w:pPr>
      <w:bookmarkStart w:id="17" w:name="OLE_LINK95"/>
      <w:bookmarkStart w:id="18" w:name="OLE_LINK94"/>
      <w:bookmarkStart w:id="19" w:name="OLE_LINK73"/>
      <w:bookmarkStart w:id="20" w:name="OLE_LINK72"/>
      <w:bookmarkStart w:id="21" w:name="OLE_LINK45"/>
      <w:r>
        <w:rPr>
          <w:color w:val="auto"/>
        </w:rPr>
        <w:t>The capture array hybridization method involves mixing the pooled product</w:t>
      </w:r>
      <w:r>
        <w:rPr>
          <w:rFonts w:hint="eastAsia"/>
          <w:color w:val="auto"/>
        </w:rPr>
        <w:t xml:space="preserve"> </w:t>
      </w:r>
      <w:r>
        <w:rPr>
          <w:color w:val="auto"/>
        </w:rPr>
        <w:t>with a buffer solution,</w:t>
      </w:r>
      <w:bookmarkEnd w:id="17"/>
      <w:bookmarkEnd w:id="18"/>
      <w:r>
        <w:rPr>
          <w:color w:val="auto"/>
        </w:rPr>
        <w:t xml:space="preserve"> </w:t>
      </w:r>
      <w:bookmarkStart w:id="22" w:name="OLE_LINK93"/>
      <w:r>
        <w:rPr>
          <w:color w:val="auto"/>
        </w:rPr>
        <w:t>then</w:t>
      </w:r>
      <w:r>
        <w:rPr>
          <w:rFonts w:hint="eastAsia"/>
          <w:color w:val="auto"/>
        </w:rPr>
        <w:t xml:space="preserve"> </w:t>
      </w:r>
      <w:r>
        <w:rPr>
          <w:color w:val="auto"/>
        </w:rPr>
        <w:t>incubate the hybridization mixture for 2</w:t>
      </w:r>
      <w:r>
        <w:rPr>
          <w:rFonts w:hint="eastAsia"/>
          <w:color w:val="auto"/>
        </w:rPr>
        <w:t>0</w:t>
      </w:r>
      <w:r>
        <w:rPr>
          <w:color w:val="auto"/>
        </w:rPr>
        <w:t xml:space="preserve"> hours at 65°C</w:t>
      </w:r>
      <w:bookmarkEnd w:id="19"/>
      <w:bookmarkEnd w:id="20"/>
      <w:r>
        <w:rPr>
          <w:color w:val="auto"/>
        </w:rPr>
        <w:t>.</w:t>
      </w:r>
    </w:p>
    <w:bookmarkEnd w:id="11"/>
    <w:bookmarkEnd w:id="21"/>
    <w:bookmarkEnd w:id="22"/>
    <w:p/>
    <w:p>
      <w:pPr>
        <w:rPr>
          <w:rFonts w:hint="eastAsia"/>
        </w:rPr>
      </w:pPr>
    </w:p>
    <w:tbl>
      <w:tblPr>
        <w:tblStyle w:val="39"/>
        <w:tblW w:w="0" w:type="auto"/>
        <w:jc w:val="center"/>
        <w:tblLayout w:type="autofit"/>
        <w:tblCellMar>
          <w:top w:w="0" w:type="dxa"/>
          <w:left w:w="108" w:type="dxa"/>
          <w:bottom w:w="0" w:type="dxa"/>
          <w:right w:w="108" w:type="dxa"/>
        </w:tblCellMar>
      </w:tblPr>
      <w:tblGrid>
        <w:gridCol w:w="5666"/>
        <w:gridCol w:w="1848"/>
      </w:tblGrid>
      <w:tr>
        <w:tblPrEx>
          <w:tblCellMar>
            <w:top w:w="0" w:type="dxa"/>
            <w:left w:w="108" w:type="dxa"/>
            <w:bottom w:w="0" w:type="dxa"/>
            <w:right w:w="108" w:type="dxa"/>
          </w:tblCellMar>
        </w:tblPrEx>
        <w:trPr>
          <w:trHeight w:val="435" w:hRule="atLeast"/>
          <w:jc w:val="center"/>
        </w:trPr>
        <w:tc>
          <w:tcPr>
            <w:tcW w:w="5666" w:type="dxa"/>
            <w:tcBorders>
              <w:right w:val="single" w:color="auto" w:sz="4" w:space="0"/>
            </w:tcBorders>
          </w:tcPr>
          <w:p>
            <w:pPr>
              <w:pStyle w:val="105"/>
              <w:ind w:firstLine="0" w:firstLineChars="0"/>
              <w:rPr>
                <w:szCs w:val="28"/>
              </w:rPr>
            </w:pPr>
            <w:r>
              <w:t>SeqCap 2×Hybridization Buffer</w:t>
            </w:r>
          </w:p>
        </w:tc>
        <w:tc>
          <w:tcPr>
            <w:tcW w:w="1848" w:type="dxa"/>
            <w:tcBorders>
              <w:left w:val="single" w:color="auto" w:sz="4" w:space="0"/>
            </w:tcBorders>
          </w:tcPr>
          <w:p>
            <w:pPr>
              <w:ind w:firstLine="420" w:firstLineChars="150"/>
              <w:jc w:val="right"/>
            </w:pPr>
            <w:r>
              <w:rPr>
                <w:rFonts w:hint="eastAsia"/>
              </w:rPr>
              <w:t>8.5</w:t>
            </w:r>
            <w:r>
              <w:t xml:space="preserve"> µl</w:t>
            </w:r>
          </w:p>
        </w:tc>
      </w:tr>
      <w:tr>
        <w:tblPrEx>
          <w:tblCellMar>
            <w:top w:w="0" w:type="dxa"/>
            <w:left w:w="108" w:type="dxa"/>
            <w:bottom w:w="0" w:type="dxa"/>
            <w:right w:w="108" w:type="dxa"/>
          </w:tblCellMar>
        </w:tblPrEx>
        <w:trPr>
          <w:trHeight w:val="435" w:hRule="atLeast"/>
          <w:jc w:val="center"/>
        </w:trPr>
        <w:tc>
          <w:tcPr>
            <w:tcW w:w="5666" w:type="dxa"/>
            <w:tcBorders>
              <w:right w:val="single" w:color="auto" w:sz="4" w:space="0"/>
            </w:tcBorders>
          </w:tcPr>
          <w:p>
            <w:pPr>
              <w:pStyle w:val="105"/>
              <w:ind w:firstLine="0" w:firstLineChars="0"/>
            </w:pPr>
            <w:bookmarkStart w:id="23" w:name="_Hlk10471363"/>
            <w:r>
              <w:t>SeqCap Hybridization Component A</w:t>
            </w:r>
          </w:p>
        </w:tc>
        <w:tc>
          <w:tcPr>
            <w:tcW w:w="1848" w:type="dxa"/>
            <w:tcBorders>
              <w:left w:val="single" w:color="auto" w:sz="4" w:space="0"/>
            </w:tcBorders>
          </w:tcPr>
          <w:p>
            <w:pPr>
              <w:pStyle w:val="105"/>
              <w:ind w:firstLine="0" w:firstLineChars="0"/>
              <w:jc w:val="right"/>
            </w:pPr>
            <w:r>
              <w:rPr>
                <w:rFonts w:hint="eastAsia"/>
              </w:rPr>
              <w:t>3.4</w:t>
            </w:r>
            <w:r>
              <w:t xml:space="preserve"> µl</w:t>
            </w:r>
          </w:p>
        </w:tc>
      </w:tr>
      <w:bookmarkEnd w:id="23"/>
      <w:tr>
        <w:tblPrEx>
          <w:tblCellMar>
            <w:top w:w="0" w:type="dxa"/>
            <w:left w:w="108" w:type="dxa"/>
            <w:bottom w:w="0" w:type="dxa"/>
            <w:right w:w="108" w:type="dxa"/>
          </w:tblCellMar>
        </w:tblPrEx>
        <w:trPr>
          <w:trHeight w:val="435" w:hRule="atLeast"/>
          <w:jc w:val="center"/>
        </w:trPr>
        <w:tc>
          <w:tcPr>
            <w:tcW w:w="5666" w:type="dxa"/>
            <w:tcBorders>
              <w:right w:val="single" w:color="auto" w:sz="4" w:space="0"/>
            </w:tcBorders>
          </w:tcPr>
          <w:p>
            <w:bookmarkStart w:id="24" w:name="OLE_LINK88"/>
            <w:bookmarkStart w:id="25" w:name="OLE_LINK87"/>
            <w:r>
              <w:t>Nuclease-Free Water</w:t>
            </w:r>
            <w:r>
              <w:rPr>
                <w:rFonts w:hint="eastAsia"/>
              </w:rPr>
              <w:t xml:space="preserve"> </w:t>
            </w:r>
            <w:bookmarkEnd w:id="24"/>
            <w:bookmarkEnd w:id="25"/>
          </w:p>
        </w:tc>
        <w:tc>
          <w:tcPr>
            <w:tcW w:w="1848" w:type="dxa"/>
            <w:tcBorders>
              <w:left w:val="single" w:color="auto" w:sz="4" w:space="0"/>
            </w:tcBorders>
          </w:tcPr>
          <w:p>
            <w:pPr>
              <w:pStyle w:val="105"/>
              <w:ind w:firstLine="0" w:firstLineChars="0"/>
              <w:jc w:val="right"/>
            </w:pPr>
            <w:r>
              <w:rPr>
                <w:rFonts w:hint="eastAsia"/>
              </w:rPr>
              <w:t>1.1</w:t>
            </w:r>
            <w:r>
              <w:t xml:space="preserve"> </w:t>
            </w:r>
            <w:bookmarkStart w:id="26" w:name="OLE_LINK85"/>
            <w:bookmarkStart w:id="27" w:name="OLE_LINK86"/>
            <w:r>
              <w:t>μL</w:t>
            </w:r>
            <w:bookmarkEnd w:id="26"/>
            <w:bookmarkEnd w:id="27"/>
          </w:p>
        </w:tc>
      </w:tr>
      <w:tr>
        <w:tblPrEx>
          <w:tblCellMar>
            <w:top w:w="0" w:type="dxa"/>
            <w:left w:w="108" w:type="dxa"/>
            <w:bottom w:w="0" w:type="dxa"/>
            <w:right w:w="108" w:type="dxa"/>
          </w:tblCellMar>
        </w:tblPrEx>
        <w:trPr>
          <w:trHeight w:val="435" w:hRule="atLeast"/>
          <w:jc w:val="center"/>
        </w:trPr>
        <w:tc>
          <w:tcPr>
            <w:tcW w:w="5666" w:type="dxa"/>
            <w:tcBorders>
              <w:right w:val="single" w:color="auto" w:sz="4" w:space="0"/>
            </w:tcBorders>
          </w:tcPr>
          <w:p>
            <w:r>
              <w:t>probe</w:t>
            </w:r>
          </w:p>
        </w:tc>
        <w:tc>
          <w:tcPr>
            <w:tcW w:w="1848" w:type="dxa"/>
            <w:tcBorders>
              <w:left w:val="single" w:color="auto" w:sz="4" w:space="0"/>
            </w:tcBorders>
          </w:tcPr>
          <w:p>
            <w:pPr>
              <w:pStyle w:val="105"/>
              <w:ind w:firstLine="0" w:firstLineChars="0"/>
              <w:jc w:val="right"/>
              <w:rPr>
                <w:rFonts w:hint="eastAsia"/>
              </w:rPr>
            </w:pPr>
            <w:r>
              <w:t xml:space="preserve">4 </w:t>
            </w:r>
            <w:bookmarkStart w:id="28" w:name="OLE_LINK89"/>
            <w:bookmarkStart w:id="29" w:name="OLE_LINK90"/>
            <w:r>
              <w:t>μL</w:t>
            </w:r>
            <w:bookmarkEnd w:id="28"/>
            <w:bookmarkEnd w:id="29"/>
          </w:p>
        </w:tc>
      </w:tr>
      <w:tr>
        <w:tblPrEx>
          <w:tblCellMar>
            <w:top w:w="0" w:type="dxa"/>
            <w:left w:w="108" w:type="dxa"/>
            <w:bottom w:w="0" w:type="dxa"/>
            <w:right w:w="108" w:type="dxa"/>
          </w:tblCellMar>
        </w:tblPrEx>
        <w:trPr>
          <w:trHeight w:val="435" w:hRule="atLeast"/>
          <w:jc w:val="center"/>
        </w:trPr>
        <w:tc>
          <w:tcPr>
            <w:tcW w:w="5666" w:type="dxa"/>
            <w:tcBorders>
              <w:right w:val="single" w:color="auto" w:sz="4" w:space="0"/>
            </w:tcBorders>
          </w:tcPr>
          <w:p>
            <w:r>
              <w:t>Nuclease-Free Water</w:t>
            </w:r>
          </w:p>
        </w:tc>
        <w:tc>
          <w:tcPr>
            <w:tcW w:w="1848" w:type="dxa"/>
            <w:tcBorders>
              <w:left w:val="single" w:color="auto" w:sz="4" w:space="0"/>
            </w:tcBorders>
          </w:tcPr>
          <w:p>
            <w:pPr>
              <w:pStyle w:val="105"/>
              <w:ind w:firstLine="0" w:firstLineChars="0"/>
              <w:jc w:val="right"/>
              <w:rPr>
                <w:rFonts w:hint="eastAsia"/>
              </w:rPr>
            </w:pPr>
            <w:r>
              <w:rPr>
                <w:rFonts w:hint="eastAsia"/>
              </w:rPr>
              <w:t>3</w:t>
            </w:r>
            <w:r>
              <w:t xml:space="preserve"> μL</w:t>
            </w:r>
          </w:p>
        </w:tc>
      </w:tr>
      <w:tr>
        <w:tblPrEx>
          <w:tblCellMar>
            <w:top w:w="0" w:type="dxa"/>
            <w:left w:w="108" w:type="dxa"/>
            <w:bottom w:w="0" w:type="dxa"/>
            <w:right w:w="108" w:type="dxa"/>
          </w:tblCellMar>
        </w:tblPrEx>
        <w:trPr>
          <w:trHeight w:val="225" w:hRule="atLeast"/>
          <w:jc w:val="center"/>
        </w:trPr>
        <w:tc>
          <w:tcPr>
            <w:tcW w:w="5666" w:type="dxa"/>
            <w:tcBorders>
              <w:top w:val="single" w:color="auto" w:sz="4" w:space="0"/>
              <w:right w:val="single" w:color="auto" w:sz="4" w:space="0"/>
            </w:tcBorders>
          </w:tcPr>
          <w:p>
            <w:pPr>
              <w:pStyle w:val="105"/>
              <w:ind w:firstLine="0" w:firstLineChars="0"/>
            </w:pPr>
            <w:r>
              <w:t>Total volume per tube</w:t>
            </w:r>
          </w:p>
        </w:tc>
        <w:tc>
          <w:tcPr>
            <w:tcW w:w="1848" w:type="dxa"/>
            <w:tcBorders>
              <w:top w:val="single" w:color="auto" w:sz="4" w:space="0"/>
              <w:left w:val="single" w:color="auto" w:sz="4" w:space="0"/>
            </w:tcBorders>
          </w:tcPr>
          <w:p>
            <w:pPr>
              <w:pStyle w:val="105"/>
              <w:ind w:firstLine="0" w:firstLineChars="0"/>
              <w:jc w:val="right"/>
              <w:rPr>
                <w:szCs w:val="28"/>
              </w:rPr>
            </w:pPr>
            <w:r>
              <w:t>20 µl</w:t>
            </w:r>
          </w:p>
        </w:tc>
      </w:tr>
      <w:bookmarkEnd w:id="12"/>
      <w:bookmarkEnd w:id="13"/>
    </w:tbl>
    <w:p>
      <w:bookmarkStart w:id="30" w:name="OLE_LINK67"/>
      <w:bookmarkStart w:id="31" w:name="OLE_LINK48"/>
    </w:p>
    <w:p>
      <w:r>
        <w:t>Library molecules fished out by hybridization were carried out with Dynabeads</w:t>
      </w:r>
      <w:r>
        <w:rPr>
          <w:vertAlign w:val="superscript"/>
        </w:rPr>
        <w:t>®</w:t>
      </w:r>
      <w:r>
        <w:t xml:space="preserve"> MyOne™ Streptavidin T1 (Invitrogen, #65601), and thoroughly resuspend the beads in 40 µl of water. </w:t>
      </w:r>
    </w:p>
    <w:bookmarkEnd w:id="30"/>
    <w:bookmarkEnd w:id="31"/>
    <w:p>
      <w:bookmarkStart w:id="32" w:name="OLE_LINK49"/>
      <w:r>
        <w:t>20 µl of the captured library were amplified</w:t>
      </w:r>
      <w:r>
        <w:rPr>
          <w:rFonts w:hint="eastAsia"/>
        </w:rPr>
        <w:t>,</w:t>
      </w:r>
      <w:r>
        <w:t xml:space="preserve"> as</w:t>
      </w:r>
      <w:r>
        <w:rPr>
          <w:rFonts w:hint="eastAsia"/>
        </w:rPr>
        <w:t xml:space="preserve"> </w:t>
      </w:r>
      <w:r>
        <w:t>follows: 2× KAPA HiFi HotStart ReadyMix 21μL</w:t>
      </w:r>
      <w:r>
        <w:rPr>
          <w:rFonts w:hint="eastAsia"/>
        </w:rPr>
        <w:t>,</w:t>
      </w:r>
      <w:r>
        <w:t xml:space="preserve"> 5 µM primer 1μL, 20 μL captured library beads suspension. PCR amplification</w:t>
      </w:r>
      <w:r>
        <w:rPr>
          <w:rFonts w:hint="eastAsia"/>
        </w:rPr>
        <w:t xml:space="preserve"> </w:t>
      </w:r>
      <w:r>
        <w:t xml:space="preserve">program was </w:t>
      </w:r>
      <w:r>
        <w:rPr>
          <w:rFonts w:hint="eastAsia"/>
        </w:rPr>
        <w:t>98℃ 2 min; 98℃ 30 s;</w:t>
      </w:r>
      <w:r>
        <w:t xml:space="preserve"> </w:t>
      </w:r>
      <w:r>
        <w:rPr>
          <w:rFonts w:hint="eastAsia"/>
        </w:rPr>
        <w:t>65℃ 30 s;</w:t>
      </w:r>
      <w:r>
        <w:t xml:space="preserve"> </w:t>
      </w:r>
      <w:r>
        <w:rPr>
          <w:rFonts w:hint="eastAsia"/>
        </w:rPr>
        <w:t>72℃ 30 s,</w:t>
      </w:r>
      <w:r>
        <w:t xml:space="preserve"> </w:t>
      </w:r>
      <w:r>
        <w:rPr>
          <w:rFonts w:hint="eastAsia"/>
        </w:rPr>
        <w:t xml:space="preserve">13 </w:t>
      </w:r>
      <w:r>
        <w:t>cycles</w:t>
      </w:r>
      <w:r>
        <w:rPr>
          <w:rFonts w:hint="eastAsia"/>
        </w:rPr>
        <w:t>;</w:t>
      </w:r>
      <w:r>
        <w:t xml:space="preserve"> </w:t>
      </w:r>
      <w:r>
        <w:rPr>
          <w:rFonts w:hint="eastAsia"/>
        </w:rPr>
        <w:t>72℃ 4 min.</w:t>
      </w:r>
      <w:r>
        <w:t xml:space="preserve"> </w:t>
      </w:r>
      <w:bookmarkStart w:id="33" w:name="OLE_LINK50"/>
      <w:r>
        <w:t>Purifications between steps were carried out</w:t>
      </w:r>
      <w:r>
        <w:rPr>
          <w:rFonts w:hint="eastAsia"/>
        </w:rPr>
        <w:t xml:space="preserve"> </w:t>
      </w:r>
      <w:r>
        <w:t>with Agencourt AMPure XP beads, and thoroughly resuspend the beads in 35 µl of water. Place the tube on a magnet to capture the beads, incubate until the liquid is clear, transfer the clear supernatant to a new tube.</w:t>
      </w:r>
      <w:r>
        <w:rPr>
          <w:rFonts w:hint="eastAsia"/>
        </w:rPr>
        <w:t xml:space="preserve"> </w:t>
      </w:r>
      <w:r>
        <w:t>The libraries were estimated with Qubit dsDNA HS Assay kit (Invitrogen, Q32851).</w:t>
      </w:r>
    </w:p>
    <w:bookmarkEnd w:id="32"/>
    <w:bookmarkEnd w:id="33"/>
    <w:p>
      <w:pPr>
        <w:rPr>
          <w:color w:val="0070C0"/>
          <w:highlight w:val="none"/>
        </w:rPr>
      </w:pPr>
    </w:p>
    <w:p>
      <w:pPr>
        <w:rPr>
          <w:rFonts w:hint="eastAsia" w:ascii="OTNEJMScalaSansSmallLFCap-Bold" w:hAnsi="OTNEJMScalaSansSmallLFCap-Bold"/>
          <w:b/>
          <w:bCs/>
          <w:color w:val="auto"/>
          <w:szCs w:val="28"/>
          <w:highlight w:val="none"/>
        </w:rPr>
      </w:pPr>
      <w:r>
        <w:rPr>
          <w:rFonts w:ascii="OTNEJMScalaSansSmallLFCap-Bold" w:hAnsi="OTNEJMScalaSansSmallLFCap-Bold"/>
          <w:b/>
          <w:bCs/>
          <w:color w:val="auto"/>
          <w:szCs w:val="28"/>
          <w:highlight w:val="none"/>
        </w:rPr>
        <w:t>Sequencing</w:t>
      </w:r>
    </w:p>
    <w:p>
      <w:pPr>
        <w:rPr>
          <w:rFonts w:ascii="OTNEJMScalaSansSmallLFCap-Bold" w:hAnsi="OTNEJMScalaSansSmallLFCap-Bold"/>
          <w:bCs/>
          <w:color w:val="000000"/>
          <w:szCs w:val="28"/>
        </w:rPr>
      </w:pPr>
      <w:bookmarkStart w:id="34" w:name="OLE_LINK44"/>
      <w:r>
        <w:rPr>
          <w:rFonts w:ascii="OTNEJMScalaSansSmallLFCap-Bold" w:hAnsi="OTNEJMScalaSansSmallLFCap-Bold"/>
          <w:bCs/>
          <w:color w:val="000000"/>
          <w:szCs w:val="28"/>
        </w:rPr>
        <w:t>Sample dilution, flowcell loading and sequencing were performed according to the Illumina specifications. DNA libraries were sequenced on the illumina novaseq platform as paired-end 200-bp reads.</w:t>
      </w:r>
      <w:bookmarkEnd w:id="34"/>
    </w:p>
    <w:p>
      <w:pPr>
        <w:rPr>
          <w:rFonts w:hint="default" w:ascii="OTNEJMScalaSansSmallLFCap-Bold" w:hAnsi="OTNEJMScalaSansSmallLFCap-Bold"/>
          <w:bCs/>
          <w:color w:val="000000"/>
          <w:szCs w:val="28"/>
          <w:lang w:val="en-US" w:eastAsia="zh-CN"/>
        </w:rPr>
      </w:pPr>
    </w:p>
    <w:sectPr>
      <w:pgSz w:w="11906" w:h="16838"/>
      <w:pgMar w:top="1134" w:right="1134" w:bottom="1134" w:left="1134" w:header="851" w:footer="992" w:gutter="0"/>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imSun">
    <w:panose1 w:val="02010600030101010101"/>
    <w:charset w:val="02"/>
    <w:family w:val="roman"/>
    <w:pitch w:val="default"/>
    <w:sig w:usb0="00000003" w:usb1="288F0000" w:usb2="00000006" w:usb3="00000000" w:csb0="00040001" w:csb1="00000000"/>
  </w:font>
  <w:font w:name="Sabon">
    <w:altName w:val="Times New Roman"/>
    <w:panose1 w:val="00000000000000000000"/>
    <w:charset w:val="00"/>
    <w:family w:val="auto"/>
    <w:pitch w:val="default"/>
    <w:sig w:usb0="00000000" w:usb1="00000000" w:usb2="00000000" w:usb3="00000000" w:csb0="0000009F" w:csb1="00000000"/>
  </w:font>
  <w:font w:name="Arial Bold">
    <w:altName w:val="Arial"/>
    <w:panose1 w:val="020B0704020202020204"/>
    <w:charset w:val="00"/>
    <w:family w:val="auto"/>
    <w:pitch w:val="default"/>
    <w:sig w:usb0="00000000" w:usb1="00000000" w:usb2="00000000" w:usb3="00000000" w:csb0="000000FF" w:csb1="00000000"/>
  </w:font>
  <w:font w:name="NewsGothicMT-BoldItalic">
    <w:altName w:val="Arial"/>
    <w:panose1 w:val="00000000000000000000"/>
    <w:charset w:val="00"/>
    <w:family w:val="auto"/>
    <w:pitch w:val="default"/>
    <w:sig w:usb0="00000000" w:usb1="00000000" w:usb2="00000000" w:usb3="00000000" w:csb0="00000001" w:csb1="00000000"/>
  </w:font>
  <w:font w:name="Sendnya">
    <w:altName w:val="Segoe Print"/>
    <w:panose1 w:val="00000400000000000000"/>
    <w:charset w:val="01"/>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TimesNewRomanPS-ItalicMT">
    <w:altName w:val="Segoe Print"/>
    <w:panose1 w:val="00000000000000000000"/>
    <w:charset w:val="00"/>
    <w:family w:val="auto"/>
    <w:pitch w:val="default"/>
    <w:sig w:usb0="00000000" w:usb1="00000000" w:usb2="00000000" w:usb3="00000000" w:csb0="00000000" w:csb1="00000000"/>
  </w:font>
  <w:font w:name="HelveticaNeueLTStd-Bd">
    <w:altName w:val="Segoe Print"/>
    <w:panose1 w:val="00000000000000000000"/>
    <w:charset w:val="00"/>
    <w:family w:val="auto"/>
    <w:pitch w:val="default"/>
    <w:sig w:usb0="00000000" w:usb1="00000000" w:usb2="00000000" w:usb3="00000000" w:csb0="00000000" w:csb1="00000000"/>
  </w:font>
  <w:font w:name="OTNEJMScalaSansSmallLFCap-Bold">
    <w:altName w:val="Times New Roman"/>
    <w:panose1 w:val="00000000000000000000"/>
    <w:charset w:val="00"/>
    <w:family w:val="roman"/>
    <w:pitch w:val="default"/>
    <w:sig w:usb0="00000000" w:usb1="00000000" w:usb2="00000000" w:usb3="00000000" w:csb0="00000000" w:csb1="00000000"/>
  </w:font>
  <w:font w:name="HelveticaNeueLTStd-Roman">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4"/>
      <w:lvlText w:val="%1."/>
      <w:lvlJc w:val="left"/>
      <w:pPr>
        <w:tabs>
          <w:tab w:val="left" w:pos="360"/>
        </w:tabs>
        <w:ind w:left="360" w:hanging="360"/>
      </w:pPr>
      <w:rPr>
        <w:rFonts w:hint="default" w:ascii="Arial" w:hAnsi="Arial"/>
        <w:b w:val="0"/>
        <w:i w:val="0"/>
      </w:rPr>
    </w:lvl>
  </w:abstractNum>
  <w:abstractNum w:abstractNumId="1">
    <w:nsid w:val="FFFFFF89"/>
    <w:multiLevelType w:val="singleLevel"/>
    <w:tmpl w:val="FFFFFF89"/>
    <w:lvl w:ilvl="0" w:tentative="0">
      <w:start w:val="1"/>
      <w:numFmt w:val="bullet"/>
      <w:pStyle w:val="16"/>
      <w:lvlText w:val=""/>
      <w:lvlJc w:val="left"/>
      <w:pPr>
        <w:tabs>
          <w:tab w:val="left" w:pos="1008"/>
        </w:tabs>
        <w:ind w:left="936" w:hanging="288"/>
      </w:pPr>
      <w:rPr>
        <w:rFonts w:hint="default" w:ascii="Symbol" w:hAnsi="Symbol"/>
      </w:rPr>
    </w:lvl>
  </w:abstractNum>
  <w:abstractNum w:abstractNumId="2">
    <w:nsid w:val="00544CAA"/>
    <w:multiLevelType w:val="multilevel"/>
    <w:tmpl w:val="00544CAA"/>
    <w:lvl w:ilvl="0" w:tentative="0">
      <w:start w:val="1"/>
      <w:numFmt w:val="decimal"/>
      <w:pStyle w:val="2"/>
      <w:lvlText w:val="%1."/>
      <w:lvlJc w:val="left"/>
      <w:pPr>
        <w:tabs>
          <w:tab w:val="left" w:pos="0"/>
        </w:tabs>
        <w:ind w:left="0" w:firstLine="0"/>
      </w:pPr>
      <w:rPr>
        <w:rFonts w:hint="default"/>
      </w:rPr>
    </w:lvl>
    <w:lvl w:ilvl="1" w:tentative="0">
      <w:start w:val="1"/>
      <w:numFmt w:val="decimal"/>
      <w:pStyle w:val="4"/>
      <w:lvlText w:val="%1.%2."/>
      <w:lvlJc w:val="left"/>
      <w:pPr>
        <w:tabs>
          <w:tab w:val="left" w:pos="1626"/>
        </w:tabs>
        <w:ind w:left="1626" w:hanging="576"/>
      </w:pPr>
      <w:rPr>
        <w:rFonts w:hint="default"/>
      </w:rPr>
    </w:lvl>
    <w:lvl w:ilvl="2" w:tentative="0">
      <w:start w:val="1"/>
      <w:numFmt w:val="decimal"/>
      <w:pStyle w:val="5"/>
      <w:lvlText w:val="%1.%2.%3."/>
      <w:lvlJc w:val="left"/>
      <w:pPr>
        <w:tabs>
          <w:tab w:val="left" w:pos="2130"/>
        </w:tabs>
        <w:ind w:left="1914" w:hanging="504"/>
      </w:pPr>
      <w:rPr>
        <w:rFonts w:hint="default"/>
      </w:rPr>
    </w:lvl>
    <w:lvl w:ilvl="3" w:tentative="0">
      <w:start w:val="1"/>
      <w:numFmt w:val="decimal"/>
      <w:pStyle w:val="6"/>
      <w:lvlText w:val="%1.%2.%3.%4."/>
      <w:lvlJc w:val="left"/>
      <w:pPr>
        <w:tabs>
          <w:tab w:val="left" w:pos="2850"/>
        </w:tabs>
        <w:ind w:left="2418" w:hanging="648"/>
      </w:pPr>
      <w:rPr>
        <w:rFonts w:hint="eastAsia"/>
        <w:b w:val="0"/>
        <w:bCs w:val="0"/>
        <w:i w:val="0"/>
        <w:iCs w:val="0"/>
        <w:caps w:val="0"/>
        <w:smallCaps w:val="0"/>
        <w:strike w:val="0"/>
        <w:dstrike w:val="0"/>
        <w:color w:val="000000"/>
        <w:spacing w:val="0"/>
        <w:position w:val="0"/>
        <w:u w:val="none"/>
      </w:rPr>
    </w:lvl>
    <w:lvl w:ilvl="4" w:tentative="0">
      <w:start w:val="1"/>
      <w:numFmt w:val="decimal"/>
      <w:pStyle w:val="7"/>
      <w:lvlText w:val="%1.%2.%3.%4.%5."/>
      <w:lvlJc w:val="left"/>
      <w:pPr>
        <w:tabs>
          <w:tab w:val="left" w:pos="690"/>
        </w:tabs>
        <w:ind w:left="2490" w:hanging="360"/>
      </w:pPr>
      <w:rPr>
        <w:rFonts w:hint="default"/>
      </w:rPr>
    </w:lvl>
    <w:lvl w:ilvl="5" w:tentative="0">
      <w:start w:val="1"/>
      <w:numFmt w:val="decimal"/>
      <w:pStyle w:val="8"/>
      <w:lvlText w:val="%1.%2.%3.%4.%5.%6."/>
      <w:lvlJc w:val="left"/>
      <w:pPr>
        <w:tabs>
          <w:tab w:val="left" w:pos="-1170"/>
        </w:tabs>
        <w:ind w:left="2490" w:firstLine="0"/>
      </w:pPr>
      <w:rPr>
        <w:rFonts w:hint="default"/>
      </w:rPr>
    </w:lvl>
    <w:lvl w:ilvl="6" w:tentative="0">
      <w:start w:val="1"/>
      <w:numFmt w:val="decimal"/>
      <w:pStyle w:val="9"/>
      <w:lvlText w:val="%1.%2.%3.%4.%5.%6.%7."/>
      <w:lvlJc w:val="left"/>
      <w:pPr>
        <w:tabs>
          <w:tab w:val="left" w:pos="3714"/>
        </w:tabs>
        <w:ind w:left="3714" w:hanging="864"/>
      </w:pPr>
      <w:rPr>
        <w:rFonts w:hint="default"/>
      </w:rPr>
    </w:lvl>
    <w:lvl w:ilvl="7" w:tentative="0">
      <w:start w:val="1"/>
      <w:numFmt w:val="decimal"/>
      <w:lvlText w:val="%1.%2.%3.%4.%5.%6.%7.%8."/>
      <w:lvlJc w:val="left"/>
      <w:pPr>
        <w:tabs>
          <w:tab w:val="left" w:pos="4434"/>
        </w:tabs>
        <w:ind w:left="4434" w:hanging="1224"/>
      </w:pPr>
      <w:rPr>
        <w:rFonts w:hint="default"/>
      </w:rPr>
    </w:lvl>
    <w:lvl w:ilvl="8" w:tentative="0">
      <w:start w:val="1"/>
      <w:numFmt w:val="decimal"/>
      <w:lvlText w:val="%1.%2.%3.%4.%5.%6.%7.%8.%9."/>
      <w:lvlJc w:val="left"/>
      <w:pPr>
        <w:tabs>
          <w:tab w:val="left" w:pos="5010"/>
        </w:tabs>
        <w:ind w:left="5010" w:hanging="1440"/>
      </w:pPr>
      <w:rPr>
        <w:rFonts w:hint="default"/>
      </w:rPr>
    </w:lvl>
  </w:abstractNum>
  <w:abstractNum w:abstractNumId="3">
    <w:nsid w:val="4BFC44F2"/>
    <w:multiLevelType w:val="multilevel"/>
    <w:tmpl w:val="4BFC44F2"/>
    <w:lvl w:ilvl="0" w:tentative="0">
      <w:start w:val="1"/>
      <w:numFmt w:val="bullet"/>
      <w:pStyle w:val="65"/>
      <w:lvlText w:val="-"/>
      <w:lvlJc w:val="left"/>
      <w:pPr>
        <w:tabs>
          <w:tab w:val="left" w:pos="720"/>
        </w:tabs>
        <w:ind w:left="720" w:hanging="360"/>
      </w:pPr>
      <w:rPr>
        <w:rFonts w:hint="default"/>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4">
    <w:nsid w:val="685D1047"/>
    <w:multiLevelType w:val="multilevel"/>
    <w:tmpl w:val="685D104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B8C"/>
    <w:rsid w:val="00087B10"/>
    <w:rsid w:val="000B57DC"/>
    <w:rsid w:val="00113C5C"/>
    <w:rsid w:val="00190057"/>
    <w:rsid w:val="001A177B"/>
    <w:rsid w:val="00217209"/>
    <w:rsid w:val="0039465F"/>
    <w:rsid w:val="00471201"/>
    <w:rsid w:val="00516B8C"/>
    <w:rsid w:val="006D09F7"/>
    <w:rsid w:val="0074110B"/>
    <w:rsid w:val="008D14C4"/>
    <w:rsid w:val="009634A4"/>
    <w:rsid w:val="00980737"/>
    <w:rsid w:val="00A85E22"/>
    <w:rsid w:val="00AD1692"/>
    <w:rsid w:val="00AE3D54"/>
    <w:rsid w:val="00BF272C"/>
    <w:rsid w:val="00C77A50"/>
    <w:rsid w:val="00D01755"/>
    <w:rsid w:val="00D56FAE"/>
    <w:rsid w:val="00DA0F34"/>
    <w:rsid w:val="00DE36C4"/>
    <w:rsid w:val="00DE532C"/>
    <w:rsid w:val="00FB3D0F"/>
    <w:rsid w:val="00FF332C"/>
    <w:rsid w:val="0A2C76A2"/>
    <w:rsid w:val="0F131757"/>
    <w:rsid w:val="123621FB"/>
    <w:rsid w:val="17564210"/>
    <w:rsid w:val="1CF72EE9"/>
    <w:rsid w:val="2204511A"/>
    <w:rsid w:val="257975D8"/>
    <w:rsid w:val="268A213D"/>
    <w:rsid w:val="2BB52258"/>
    <w:rsid w:val="2FC811BD"/>
    <w:rsid w:val="315D311E"/>
    <w:rsid w:val="39A17655"/>
    <w:rsid w:val="3B694663"/>
    <w:rsid w:val="419D11D8"/>
    <w:rsid w:val="479C1684"/>
    <w:rsid w:val="4B631ED2"/>
    <w:rsid w:val="4EC46356"/>
    <w:rsid w:val="51876EE2"/>
    <w:rsid w:val="52880CB8"/>
    <w:rsid w:val="53CF0F18"/>
    <w:rsid w:val="57065B74"/>
    <w:rsid w:val="5B26227D"/>
    <w:rsid w:val="5C53797A"/>
    <w:rsid w:val="5F781CA5"/>
    <w:rsid w:val="6AC80EEA"/>
    <w:rsid w:val="6E6B55CB"/>
    <w:rsid w:val="732A38D6"/>
    <w:rsid w:val="74326156"/>
    <w:rsid w:val="7AAB1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sz w:val="28"/>
      <w:szCs w:val="24"/>
      <w:lang w:val="en-US" w:eastAsia="zh-CN" w:bidi="ar-SA"/>
    </w:rPr>
  </w:style>
  <w:style w:type="paragraph" w:styleId="2">
    <w:name w:val="heading 1"/>
    <w:basedOn w:val="3"/>
    <w:next w:val="3"/>
    <w:link w:val="60"/>
    <w:qFormat/>
    <w:uiPriority w:val="0"/>
    <w:pPr>
      <w:keepNext/>
      <w:keepLines/>
      <w:numPr>
        <w:ilvl w:val="0"/>
        <w:numId w:val="1"/>
      </w:numPr>
      <w:spacing w:before="120" w:beforeLines="50" w:after="120" w:afterLines="50"/>
      <w:jc w:val="both"/>
      <w:outlineLvl w:val="0"/>
    </w:pPr>
    <w:rPr>
      <w:rFonts w:cs="Arial"/>
      <w:b/>
      <w:bCs/>
      <w:caps/>
      <w:kern w:val="32"/>
      <w:szCs w:val="22"/>
    </w:rPr>
  </w:style>
  <w:style w:type="paragraph" w:styleId="4">
    <w:name w:val="heading 2"/>
    <w:basedOn w:val="2"/>
    <w:next w:val="3"/>
    <w:link w:val="93"/>
    <w:qFormat/>
    <w:uiPriority w:val="0"/>
    <w:pPr>
      <w:numPr>
        <w:ilvl w:val="1"/>
      </w:numPr>
      <w:spacing w:line="264" w:lineRule="auto"/>
      <w:outlineLvl w:val="1"/>
    </w:pPr>
    <w:rPr>
      <w:b w:val="0"/>
      <w:bCs w:val="0"/>
      <w:iCs/>
      <w:caps w:val="0"/>
      <w:szCs w:val="28"/>
    </w:rPr>
  </w:style>
  <w:style w:type="paragraph" w:styleId="5">
    <w:name w:val="heading 3"/>
    <w:basedOn w:val="4"/>
    <w:next w:val="3"/>
    <w:link w:val="94"/>
    <w:qFormat/>
    <w:uiPriority w:val="0"/>
    <w:pPr>
      <w:numPr>
        <w:ilvl w:val="2"/>
      </w:numPr>
      <w:outlineLvl w:val="2"/>
    </w:pPr>
    <w:rPr>
      <w:bCs/>
      <w:szCs w:val="26"/>
    </w:rPr>
  </w:style>
  <w:style w:type="paragraph" w:styleId="6">
    <w:name w:val="heading 4"/>
    <w:basedOn w:val="5"/>
    <w:next w:val="3"/>
    <w:link w:val="95"/>
    <w:qFormat/>
    <w:uiPriority w:val="0"/>
    <w:pPr>
      <w:numPr>
        <w:ilvl w:val="3"/>
      </w:numPr>
      <w:outlineLvl w:val="3"/>
    </w:pPr>
    <w:rPr>
      <w:bCs w:val="0"/>
      <w:szCs w:val="28"/>
    </w:rPr>
  </w:style>
  <w:style w:type="paragraph" w:styleId="7">
    <w:name w:val="heading 5"/>
    <w:basedOn w:val="6"/>
    <w:next w:val="3"/>
    <w:link w:val="96"/>
    <w:qFormat/>
    <w:uiPriority w:val="0"/>
    <w:pPr>
      <w:numPr>
        <w:ilvl w:val="4"/>
      </w:numPr>
      <w:spacing w:before="40"/>
      <w:outlineLvl w:val="4"/>
    </w:pPr>
    <w:rPr>
      <w:bCs/>
      <w:iCs w:val="0"/>
      <w:szCs w:val="22"/>
    </w:rPr>
  </w:style>
  <w:style w:type="paragraph" w:styleId="8">
    <w:name w:val="heading 6"/>
    <w:basedOn w:val="7"/>
    <w:next w:val="3"/>
    <w:link w:val="97"/>
    <w:qFormat/>
    <w:uiPriority w:val="0"/>
    <w:pPr>
      <w:numPr>
        <w:ilvl w:val="5"/>
      </w:numPr>
      <w:tabs>
        <w:tab w:val="left" w:pos="5500"/>
      </w:tabs>
      <w:outlineLvl w:val="5"/>
    </w:pPr>
    <w:rPr>
      <w:bCs w:val="0"/>
    </w:rPr>
  </w:style>
  <w:style w:type="paragraph" w:styleId="9">
    <w:name w:val="heading 7"/>
    <w:basedOn w:val="8"/>
    <w:next w:val="3"/>
    <w:link w:val="98"/>
    <w:qFormat/>
    <w:uiPriority w:val="0"/>
    <w:pPr>
      <w:numPr>
        <w:ilvl w:val="6"/>
      </w:numPr>
      <w:tabs>
        <w:tab w:val="clear" w:pos="5500"/>
      </w:tabs>
      <w:outlineLvl w:val="6"/>
    </w:pPr>
  </w:style>
  <w:style w:type="paragraph" w:styleId="10">
    <w:name w:val="heading 8"/>
    <w:basedOn w:val="1"/>
    <w:next w:val="1"/>
    <w:link w:val="99"/>
    <w:qFormat/>
    <w:uiPriority w:val="0"/>
    <w:pPr>
      <w:spacing w:before="240" w:after="60"/>
      <w:outlineLvl w:val="7"/>
    </w:pPr>
    <w:rPr>
      <w:rFonts w:cs="Arial"/>
      <w:i/>
      <w:iCs/>
      <w:szCs w:val="22"/>
    </w:rPr>
  </w:style>
  <w:style w:type="paragraph" w:styleId="11">
    <w:name w:val="heading 9"/>
    <w:basedOn w:val="1"/>
    <w:next w:val="1"/>
    <w:link w:val="100"/>
    <w:qFormat/>
    <w:uiPriority w:val="0"/>
    <w:pPr>
      <w:spacing w:before="240" w:after="60"/>
      <w:outlineLvl w:val="8"/>
    </w:pPr>
    <w:rPr>
      <w:rFonts w:cs="Arial"/>
      <w:szCs w:val="22"/>
    </w:rPr>
  </w:style>
  <w:style w:type="character" w:default="1" w:styleId="42">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50"/>
    <w:qFormat/>
    <w:uiPriority w:val="0"/>
    <w:pPr>
      <w:spacing w:after="240"/>
      <w:ind w:left="720"/>
    </w:pPr>
  </w:style>
  <w:style w:type="paragraph" w:styleId="12">
    <w:name w:val="toc 7"/>
    <w:basedOn w:val="1"/>
    <w:next w:val="1"/>
    <w:semiHidden/>
    <w:qFormat/>
    <w:uiPriority w:val="0"/>
    <w:pPr>
      <w:keepLines/>
      <w:spacing w:after="240"/>
      <w:ind w:left="1440"/>
    </w:pPr>
    <w:rPr>
      <w:rFonts w:cs="Arial"/>
      <w:sz w:val="24"/>
    </w:rPr>
  </w:style>
  <w:style w:type="paragraph" w:styleId="13">
    <w:name w:val="List Number 2"/>
    <w:basedOn w:val="1"/>
    <w:qFormat/>
    <w:uiPriority w:val="0"/>
    <w:pPr>
      <w:keepLines/>
      <w:tabs>
        <w:tab w:val="left" w:pos="360"/>
      </w:tabs>
      <w:spacing w:after="240"/>
    </w:pPr>
    <w:rPr>
      <w:rFonts w:cs="Arial"/>
      <w:szCs w:val="22"/>
    </w:rPr>
  </w:style>
  <w:style w:type="paragraph" w:styleId="14">
    <w:name w:val="List Number"/>
    <w:basedOn w:val="3"/>
    <w:qFormat/>
    <w:uiPriority w:val="0"/>
    <w:pPr>
      <w:keepLines/>
      <w:numPr>
        <w:ilvl w:val="0"/>
        <w:numId w:val="2"/>
      </w:numPr>
      <w:spacing w:line="260" w:lineRule="exact"/>
    </w:pPr>
  </w:style>
  <w:style w:type="paragraph" w:styleId="15">
    <w:name w:val="Normal Indent"/>
    <w:basedOn w:val="1"/>
    <w:qFormat/>
    <w:uiPriority w:val="0"/>
    <w:pPr>
      <w:overflowPunct w:val="0"/>
      <w:autoSpaceDE w:val="0"/>
      <w:autoSpaceDN w:val="0"/>
      <w:adjustRightInd w:val="0"/>
      <w:ind w:firstLine="420"/>
      <w:textAlignment w:val="baseline"/>
    </w:pPr>
    <w:rPr>
      <w:sz w:val="20"/>
      <w:szCs w:val="20"/>
    </w:rPr>
  </w:style>
  <w:style w:type="paragraph" w:styleId="16">
    <w:name w:val="List Bullet"/>
    <w:basedOn w:val="3"/>
    <w:qFormat/>
    <w:uiPriority w:val="0"/>
    <w:pPr>
      <w:keepLines/>
      <w:numPr>
        <w:ilvl w:val="0"/>
        <w:numId w:val="3"/>
      </w:numPr>
      <w:spacing w:before="120" w:after="120" w:line="260" w:lineRule="exact"/>
    </w:pPr>
  </w:style>
  <w:style w:type="paragraph" w:styleId="17">
    <w:name w:val="Document Map"/>
    <w:basedOn w:val="1"/>
    <w:link w:val="111"/>
    <w:semiHidden/>
    <w:qFormat/>
    <w:uiPriority w:val="0"/>
    <w:pPr>
      <w:shd w:val="clear" w:color="auto" w:fill="000080"/>
    </w:pPr>
  </w:style>
  <w:style w:type="paragraph" w:styleId="18">
    <w:name w:val="annotation text"/>
    <w:basedOn w:val="1"/>
    <w:link w:val="109"/>
    <w:qFormat/>
    <w:uiPriority w:val="0"/>
    <w:pPr>
      <w:widowControl w:val="0"/>
    </w:pPr>
    <w:rPr>
      <w:kern w:val="2"/>
      <w:sz w:val="21"/>
    </w:rPr>
  </w:style>
  <w:style w:type="paragraph" w:styleId="19">
    <w:name w:val="Body Text 3"/>
    <w:basedOn w:val="1"/>
    <w:link w:val="115"/>
    <w:qFormat/>
    <w:uiPriority w:val="0"/>
    <w:pPr>
      <w:overflowPunct w:val="0"/>
      <w:autoSpaceDE w:val="0"/>
      <w:autoSpaceDN w:val="0"/>
      <w:adjustRightInd w:val="0"/>
      <w:spacing w:before="120"/>
      <w:textAlignment w:val="baseline"/>
    </w:pPr>
    <w:rPr>
      <w:rFonts w:ascii="Sabon" w:hAnsi="Sabon"/>
      <w:b/>
      <w:sz w:val="20"/>
      <w:szCs w:val="20"/>
    </w:rPr>
  </w:style>
  <w:style w:type="paragraph" w:styleId="20">
    <w:name w:val="Block Text"/>
    <w:basedOn w:val="1"/>
    <w:qFormat/>
    <w:uiPriority w:val="0"/>
    <w:pPr>
      <w:tabs>
        <w:tab w:val="left" w:pos="0"/>
        <w:tab w:val="left" w:pos="567"/>
        <w:tab w:val="left" w:pos="1134"/>
        <w:tab w:val="left" w:pos="1440"/>
        <w:tab w:val="left" w:pos="2160"/>
        <w:tab w:val="left" w:pos="2880"/>
        <w:tab w:val="left" w:pos="3600"/>
        <w:tab w:val="left" w:pos="4320"/>
        <w:tab w:val="left" w:pos="5040"/>
        <w:tab w:val="left" w:pos="5760"/>
        <w:tab w:val="left" w:pos="6480"/>
        <w:tab w:val="left" w:pos="7200"/>
        <w:tab w:val="left" w:pos="7920"/>
      </w:tabs>
      <w:suppressAutoHyphens/>
      <w:ind w:left="1134" w:right="-29" w:hanging="1134"/>
      <w:jc w:val="both"/>
    </w:pPr>
    <w:rPr>
      <w:spacing w:val="-2"/>
      <w:sz w:val="20"/>
      <w:szCs w:val="20"/>
    </w:rPr>
  </w:style>
  <w:style w:type="paragraph" w:styleId="21">
    <w:name w:val="toc 5"/>
    <w:basedOn w:val="1"/>
    <w:next w:val="1"/>
    <w:semiHidden/>
    <w:qFormat/>
    <w:uiPriority w:val="0"/>
    <w:pPr>
      <w:ind w:left="960"/>
    </w:pPr>
    <w:rPr>
      <w:sz w:val="24"/>
    </w:rPr>
  </w:style>
  <w:style w:type="paragraph" w:styleId="22">
    <w:name w:val="toc 3"/>
    <w:basedOn w:val="23"/>
    <w:next w:val="1"/>
    <w:semiHidden/>
    <w:qFormat/>
    <w:uiPriority w:val="0"/>
    <w:pPr>
      <w:tabs>
        <w:tab w:val="right" w:leader="dot" w:pos="8640"/>
      </w:tabs>
      <w:ind w:left="1728" w:hanging="792"/>
    </w:pPr>
  </w:style>
  <w:style w:type="paragraph" w:styleId="23">
    <w:name w:val="toc 2"/>
    <w:basedOn w:val="24"/>
    <w:next w:val="1"/>
    <w:semiHidden/>
    <w:qFormat/>
    <w:uiPriority w:val="0"/>
    <w:pPr>
      <w:tabs>
        <w:tab w:val="right" w:leader="dot" w:pos="8640"/>
      </w:tabs>
      <w:ind w:left="936" w:hanging="576"/>
    </w:pPr>
    <w:rPr>
      <w:bCs w:val="0"/>
      <w:caps w:val="0"/>
    </w:rPr>
  </w:style>
  <w:style w:type="paragraph" w:styleId="24">
    <w:name w:val="toc 1"/>
    <w:basedOn w:val="3"/>
    <w:next w:val="1"/>
    <w:semiHidden/>
    <w:qFormat/>
    <w:uiPriority w:val="0"/>
    <w:pPr>
      <w:keepLines/>
      <w:tabs>
        <w:tab w:val="right" w:leader="dot" w:pos="8640"/>
      </w:tabs>
      <w:spacing w:line="260" w:lineRule="exact"/>
      <w:ind w:left="360" w:right="360" w:hanging="360"/>
    </w:pPr>
    <w:rPr>
      <w:bCs/>
      <w:caps/>
      <w:color w:val="0000FF"/>
    </w:rPr>
  </w:style>
  <w:style w:type="paragraph" w:styleId="25">
    <w:name w:val="toc 8"/>
    <w:basedOn w:val="1"/>
    <w:next w:val="1"/>
    <w:semiHidden/>
    <w:qFormat/>
    <w:uiPriority w:val="0"/>
    <w:pPr>
      <w:ind w:left="1680"/>
    </w:pPr>
    <w:rPr>
      <w:sz w:val="24"/>
    </w:rPr>
  </w:style>
  <w:style w:type="paragraph" w:styleId="26">
    <w:name w:val="Date"/>
    <w:basedOn w:val="1"/>
    <w:next w:val="1"/>
    <w:link w:val="110"/>
    <w:qFormat/>
    <w:uiPriority w:val="0"/>
    <w:pPr>
      <w:ind w:left="100" w:leftChars="2500"/>
    </w:pPr>
  </w:style>
  <w:style w:type="paragraph" w:styleId="27">
    <w:name w:val="Balloon Text"/>
    <w:basedOn w:val="1"/>
    <w:link w:val="107"/>
    <w:semiHidden/>
    <w:qFormat/>
    <w:uiPriority w:val="0"/>
    <w:rPr>
      <w:sz w:val="18"/>
      <w:szCs w:val="18"/>
    </w:rPr>
  </w:style>
  <w:style w:type="paragraph" w:styleId="28">
    <w:name w:val="footer"/>
    <w:basedOn w:val="3"/>
    <w:link w:val="113"/>
    <w:qFormat/>
    <w:uiPriority w:val="0"/>
    <w:pPr>
      <w:tabs>
        <w:tab w:val="center" w:pos="4320"/>
        <w:tab w:val="right" w:pos="8640"/>
      </w:tabs>
      <w:spacing w:after="0"/>
    </w:pPr>
  </w:style>
  <w:style w:type="paragraph" w:styleId="29">
    <w:name w:val="header"/>
    <w:basedOn w:val="3"/>
    <w:link w:val="91"/>
    <w:qFormat/>
    <w:uiPriority w:val="0"/>
    <w:pPr>
      <w:tabs>
        <w:tab w:val="right" w:pos="8640"/>
      </w:tabs>
      <w:spacing w:after="0" w:line="260" w:lineRule="exact"/>
    </w:pPr>
  </w:style>
  <w:style w:type="paragraph" w:styleId="30">
    <w:name w:val="toc 4"/>
    <w:basedOn w:val="23"/>
    <w:next w:val="1"/>
    <w:semiHidden/>
    <w:qFormat/>
    <w:uiPriority w:val="0"/>
    <w:pPr>
      <w:ind w:left="1728" w:firstLine="0"/>
    </w:pPr>
  </w:style>
  <w:style w:type="paragraph" w:styleId="31">
    <w:name w:val="List"/>
    <w:basedOn w:val="1"/>
    <w:qFormat/>
    <w:uiPriority w:val="0"/>
    <w:pPr>
      <w:keepLines/>
      <w:spacing w:after="240"/>
      <w:ind w:left="360" w:hanging="360"/>
    </w:pPr>
    <w:rPr>
      <w:rFonts w:cs="Arial"/>
      <w:szCs w:val="22"/>
    </w:rPr>
  </w:style>
  <w:style w:type="paragraph" w:styleId="32">
    <w:name w:val="footnote text"/>
    <w:basedOn w:val="1"/>
    <w:link w:val="101"/>
    <w:semiHidden/>
    <w:qFormat/>
    <w:uiPriority w:val="0"/>
    <w:rPr>
      <w:sz w:val="20"/>
      <w:szCs w:val="20"/>
    </w:rPr>
  </w:style>
  <w:style w:type="paragraph" w:styleId="33">
    <w:name w:val="toc 6"/>
    <w:basedOn w:val="1"/>
    <w:next w:val="1"/>
    <w:semiHidden/>
    <w:qFormat/>
    <w:uiPriority w:val="0"/>
    <w:pPr>
      <w:keepLines/>
      <w:spacing w:after="240"/>
      <w:ind w:left="1200"/>
    </w:pPr>
    <w:rPr>
      <w:rFonts w:cs="Arial"/>
      <w:sz w:val="24"/>
    </w:rPr>
  </w:style>
  <w:style w:type="paragraph" w:styleId="34">
    <w:name w:val="table of figures"/>
    <w:basedOn w:val="3"/>
    <w:next w:val="1"/>
    <w:semiHidden/>
    <w:qFormat/>
    <w:uiPriority w:val="0"/>
    <w:pPr>
      <w:tabs>
        <w:tab w:val="right" w:leader="dot" w:pos="8640"/>
      </w:tabs>
      <w:spacing w:line="260" w:lineRule="exact"/>
      <w:ind w:left="1080" w:hanging="1080"/>
    </w:pPr>
  </w:style>
  <w:style w:type="paragraph" w:styleId="35">
    <w:name w:val="toc 9"/>
    <w:basedOn w:val="1"/>
    <w:next w:val="1"/>
    <w:semiHidden/>
    <w:qFormat/>
    <w:uiPriority w:val="0"/>
    <w:pPr>
      <w:ind w:left="1920"/>
    </w:pPr>
    <w:rPr>
      <w:sz w:val="24"/>
    </w:rPr>
  </w:style>
  <w:style w:type="paragraph" w:styleId="36">
    <w:name w:val="HTML Preformatted"/>
    <w:basedOn w:val="1"/>
    <w:link w:val="6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0"/>
    </w:pPr>
    <w:rPr>
      <w:rFonts w:ascii="Courier New" w:hAnsi="Courier New" w:cs="Courier New"/>
      <w:sz w:val="24"/>
    </w:rPr>
  </w:style>
  <w:style w:type="paragraph" w:styleId="37">
    <w:name w:val="Normal (Web)"/>
    <w:basedOn w:val="1"/>
    <w:qFormat/>
    <w:uiPriority w:val="99"/>
    <w:pPr>
      <w:spacing w:before="100" w:beforeAutospacing="1" w:after="100" w:afterAutospacing="1"/>
    </w:pPr>
    <w:rPr>
      <w:rFonts w:ascii="SimSun" w:hAnsi="SimSun" w:cs="SimSun"/>
      <w:sz w:val="24"/>
    </w:rPr>
  </w:style>
  <w:style w:type="paragraph" w:styleId="38">
    <w:name w:val="Title"/>
    <w:basedOn w:val="1"/>
    <w:link w:val="68"/>
    <w:qFormat/>
    <w:uiPriority w:val="0"/>
    <w:pPr>
      <w:spacing w:before="240" w:after="60"/>
      <w:jc w:val="center"/>
      <w:outlineLvl w:val="0"/>
    </w:pPr>
    <w:rPr>
      <w:rFonts w:cs="Arial"/>
      <w:b/>
      <w:bCs/>
      <w:kern w:val="28"/>
      <w:sz w:val="32"/>
      <w:szCs w:val="32"/>
    </w:rPr>
  </w:style>
  <w:style w:type="table" w:styleId="40">
    <w:name w:val="Table Grid"/>
    <w:basedOn w:val="39"/>
    <w:qFormat/>
    <w:uiPriority w:val="0"/>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1">
    <w:name w:val="Table Simple 1"/>
    <w:basedOn w:val="39"/>
    <w:qFormat/>
    <w:uiPriority w:val="0"/>
    <w:rPr>
      <w:sz w:val="20"/>
      <w:szCs w:val="20"/>
    </w:r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character" w:styleId="43">
    <w:name w:val="Strong"/>
    <w:qFormat/>
    <w:uiPriority w:val="22"/>
    <w:rPr>
      <w:b/>
      <w:bCs/>
    </w:rPr>
  </w:style>
  <w:style w:type="character" w:styleId="44">
    <w:name w:val="page number"/>
    <w:qFormat/>
    <w:uiPriority w:val="0"/>
    <w:rPr>
      <w:sz w:val="22"/>
    </w:rPr>
  </w:style>
  <w:style w:type="character" w:styleId="45">
    <w:name w:val="Emphasis"/>
    <w:qFormat/>
    <w:uiPriority w:val="20"/>
    <w:rPr>
      <w:color w:val="CC0000"/>
    </w:rPr>
  </w:style>
  <w:style w:type="character" w:styleId="46">
    <w:name w:val="Hyperlink"/>
    <w:qFormat/>
    <w:uiPriority w:val="0"/>
    <w:rPr>
      <w:color w:val="0000FF"/>
      <w:u w:val="single"/>
    </w:rPr>
  </w:style>
  <w:style w:type="character" w:styleId="47">
    <w:name w:val="annotation reference"/>
    <w:basedOn w:val="42"/>
    <w:qFormat/>
    <w:uiPriority w:val="0"/>
    <w:rPr>
      <w:sz w:val="21"/>
      <w:szCs w:val="21"/>
    </w:rPr>
  </w:style>
  <w:style w:type="paragraph" w:customStyle="1" w:styleId="48">
    <w:name w:val="Appendix"/>
    <w:next w:val="1"/>
    <w:qFormat/>
    <w:uiPriority w:val="0"/>
    <w:pPr>
      <w:spacing w:before="60" w:after="240"/>
      <w:jc w:val="center"/>
    </w:pPr>
    <w:rPr>
      <w:rFonts w:ascii="Arial Bold" w:hAnsi="Arial Bold" w:eastAsia="SimSun" w:cs="Times New Roman"/>
      <w:b/>
      <w:caps/>
      <w:sz w:val="22"/>
      <w:szCs w:val="24"/>
      <w:lang w:val="en-US" w:eastAsia="en-US" w:bidi="ar-SA"/>
    </w:rPr>
  </w:style>
  <w:style w:type="paragraph" w:customStyle="1" w:styleId="49">
    <w:name w:val="Appendix Table Title"/>
    <w:basedOn w:val="1"/>
    <w:qFormat/>
    <w:uiPriority w:val="0"/>
    <w:pPr>
      <w:keepLines/>
      <w:spacing w:after="240"/>
      <w:jc w:val="center"/>
    </w:pPr>
    <w:rPr>
      <w:sz w:val="32"/>
      <w:szCs w:val="20"/>
    </w:rPr>
  </w:style>
  <w:style w:type="character" w:customStyle="1" w:styleId="50">
    <w:name w:val="正文文本 字符"/>
    <w:basedOn w:val="42"/>
    <w:link w:val="3"/>
    <w:qFormat/>
    <w:uiPriority w:val="0"/>
    <w:rPr>
      <w:rFonts w:ascii="Arial" w:hAnsi="Arial" w:eastAsia="SimSun" w:cs="Times New Roman"/>
      <w:kern w:val="0"/>
      <w:sz w:val="22"/>
      <w:szCs w:val="24"/>
      <w:lang w:eastAsia="en-US"/>
    </w:rPr>
  </w:style>
  <w:style w:type="paragraph" w:customStyle="1" w:styleId="51">
    <w:name w:val="Body Text-2"/>
    <w:basedOn w:val="3"/>
    <w:qFormat/>
    <w:uiPriority w:val="0"/>
    <w:pPr>
      <w:ind w:left="1440"/>
    </w:pPr>
    <w:rPr>
      <w:rFonts w:cs="Arial"/>
      <w:szCs w:val="22"/>
    </w:rPr>
  </w:style>
  <w:style w:type="paragraph" w:customStyle="1" w:styleId="52">
    <w:name w:val="Boxed Text"/>
    <w:basedOn w:val="1"/>
    <w:next w:val="1"/>
    <w:qFormat/>
    <w:uiPriority w:val="0"/>
    <w:pPr>
      <w:keepNext/>
      <w:keepLines/>
      <w:pBdr>
        <w:top w:val="single" w:color="auto" w:sz="12" w:space="1"/>
        <w:left w:val="single" w:color="auto" w:sz="12" w:space="1"/>
        <w:bottom w:val="single" w:color="auto" w:sz="12" w:space="1"/>
        <w:right w:val="single" w:color="auto" w:sz="12" w:space="1"/>
      </w:pBdr>
      <w:spacing w:after="240" w:line="240" w:lineRule="atLeast"/>
      <w:ind w:left="1440" w:right="1440"/>
    </w:pPr>
    <w:rPr>
      <w:sz w:val="18"/>
      <w:szCs w:val="20"/>
    </w:rPr>
  </w:style>
  <w:style w:type="paragraph" w:customStyle="1" w:styleId="53">
    <w:name w:val="claire-正文"/>
    <w:basedOn w:val="3"/>
    <w:qFormat/>
    <w:uiPriority w:val="0"/>
    <w:pPr>
      <w:spacing w:before="120" w:after="120"/>
    </w:pPr>
    <w:rPr>
      <w:rFonts w:hAnsi="SimSun" w:cs="Arial"/>
      <w:spacing w:val="4"/>
      <w:szCs w:val="22"/>
    </w:rPr>
  </w:style>
  <w:style w:type="paragraph" w:customStyle="1" w:styleId="54">
    <w:name w:val="Default"/>
    <w:qFormat/>
    <w:uiPriority w:val="0"/>
    <w:pPr>
      <w:autoSpaceDE w:val="0"/>
      <w:autoSpaceDN w:val="0"/>
      <w:adjustRightInd w:val="0"/>
    </w:pPr>
    <w:rPr>
      <w:rFonts w:ascii="NewsGothicMT-BoldItalic" w:hAnsi="NewsGothicMT-BoldItalic" w:eastAsia="SimSun" w:cs="NewsGothicMT-BoldItalic"/>
      <w:sz w:val="20"/>
      <w:szCs w:val="20"/>
      <w:lang w:val="en-US" w:eastAsia="zh-CN" w:bidi="ar-SA"/>
    </w:rPr>
  </w:style>
  <w:style w:type="paragraph" w:customStyle="1" w:styleId="55">
    <w:name w:val="Figure Caption"/>
    <w:basedOn w:val="1"/>
    <w:qFormat/>
    <w:uiPriority w:val="0"/>
    <w:pPr>
      <w:keepNext/>
      <w:tabs>
        <w:tab w:val="left" w:pos="1728"/>
        <w:tab w:val="left" w:pos="1800"/>
      </w:tabs>
      <w:spacing w:before="120"/>
      <w:ind w:left="1728" w:hanging="1728"/>
    </w:pPr>
    <w:rPr>
      <w:rFonts w:ascii="Arial Bold" w:hAnsi="Arial Bold" w:cs="Arial"/>
      <w:b/>
      <w:bCs/>
      <w:szCs w:val="22"/>
    </w:rPr>
  </w:style>
  <w:style w:type="paragraph" w:customStyle="1" w:styleId="56">
    <w:name w:val="Figure Holder"/>
    <w:basedOn w:val="3"/>
    <w:next w:val="3"/>
    <w:qFormat/>
    <w:uiPriority w:val="0"/>
    <w:pPr>
      <w:keepLines/>
      <w:spacing w:line="240" w:lineRule="atLeast"/>
      <w:jc w:val="center"/>
    </w:pPr>
  </w:style>
  <w:style w:type="paragraph" w:customStyle="1" w:styleId="57">
    <w:name w:val="Figure Note"/>
    <w:basedOn w:val="3"/>
    <w:next w:val="3"/>
    <w:qFormat/>
    <w:uiPriority w:val="0"/>
    <w:rPr>
      <w:sz w:val="20"/>
    </w:rPr>
  </w:style>
  <w:style w:type="paragraph" w:customStyle="1" w:styleId="58">
    <w:name w:val="Figure Title"/>
    <w:basedOn w:val="1"/>
    <w:qFormat/>
    <w:uiPriority w:val="0"/>
    <w:pPr>
      <w:keepNext/>
      <w:keepLines/>
      <w:spacing w:after="120"/>
    </w:pPr>
    <w:rPr>
      <w:rFonts w:cs="Arial"/>
      <w:b/>
      <w:bCs/>
      <w:sz w:val="24"/>
      <w:szCs w:val="20"/>
    </w:rPr>
  </w:style>
  <w:style w:type="paragraph" w:customStyle="1" w:styleId="59">
    <w:name w:val="font5"/>
    <w:basedOn w:val="1"/>
    <w:qFormat/>
    <w:uiPriority w:val="0"/>
    <w:pPr>
      <w:spacing w:before="100" w:beforeAutospacing="1" w:after="100" w:afterAutospacing="1"/>
    </w:pPr>
    <w:rPr>
      <w:rFonts w:ascii="SimSun" w:hAnsi="SimSun" w:cs="SimSun"/>
      <w:sz w:val="18"/>
      <w:szCs w:val="18"/>
    </w:rPr>
  </w:style>
  <w:style w:type="character" w:customStyle="1" w:styleId="60">
    <w:name w:val="标题 1 字符"/>
    <w:basedOn w:val="42"/>
    <w:link w:val="2"/>
    <w:qFormat/>
    <w:uiPriority w:val="0"/>
    <w:rPr>
      <w:rFonts w:ascii="Arial" w:hAnsi="Arial" w:eastAsia="SimSun" w:cs="Arial"/>
      <w:b/>
      <w:bCs/>
      <w:caps/>
      <w:kern w:val="32"/>
      <w:sz w:val="22"/>
      <w:lang w:eastAsia="en-US"/>
    </w:rPr>
  </w:style>
  <w:style w:type="paragraph" w:customStyle="1" w:styleId="61">
    <w:name w:val="Heading 1 No#"/>
    <w:basedOn w:val="2"/>
    <w:qFormat/>
    <w:uiPriority w:val="0"/>
    <w:pPr>
      <w:numPr>
        <w:numId w:val="0"/>
      </w:numPr>
    </w:pPr>
  </w:style>
  <w:style w:type="character" w:customStyle="1" w:styleId="62">
    <w:name w:val="HTML 预设格式 字符"/>
    <w:basedOn w:val="42"/>
    <w:link w:val="36"/>
    <w:qFormat/>
    <w:uiPriority w:val="0"/>
    <w:rPr>
      <w:rFonts w:ascii="Courier New" w:hAnsi="Courier New" w:eastAsia="SimSun" w:cs="Courier New"/>
      <w:kern w:val="0"/>
      <w:sz w:val="24"/>
      <w:szCs w:val="24"/>
    </w:rPr>
  </w:style>
  <w:style w:type="paragraph" w:customStyle="1" w:styleId="63">
    <w:name w:val="List Alpha"/>
    <w:basedOn w:val="3"/>
    <w:qFormat/>
    <w:uiPriority w:val="0"/>
    <w:pPr>
      <w:keepLines/>
      <w:tabs>
        <w:tab w:val="left" w:pos="720"/>
      </w:tabs>
      <w:spacing w:line="260" w:lineRule="exact"/>
      <w:ind w:hanging="360"/>
    </w:pPr>
  </w:style>
  <w:style w:type="paragraph" w:customStyle="1" w:styleId="64">
    <w:name w:val="List Paragraph1"/>
    <w:basedOn w:val="1"/>
    <w:qFormat/>
    <w:uiPriority w:val="0"/>
    <w:pPr>
      <w:ind w:firstLine="420" w:firstLineChars="200"/>
    </w:pPr>
  </w:style>
  <w:style w:type="paragraph" w:customStyle="1" w:styleId="65">
    <w:name w:val="List Sub-bullet"/>
    <w:basedOn w:val="3"/>
    <w:next w:val="3"/>
    <w:qFormat/>
    <w:uiPriority w:val="0"/>
    <w:pPr>
      <w:numPr>
        <w:ilvl w:val="0"/>
        <w:numId w:val="4"/>
      </w:numPr>
      <w:tabs>
        <w:tab w:val="left" w:pos="432"/>
        <w:tab w:val="clear" w:pos="720"/>
      </w:tabs>
    </w:pPr>
    <w:rPr>
      <w:rFonts w:cs="Arial"/>
      <w:szCs w:val="22"/>
    </w:rPr>
  </w:style>
  <w:style w:type="paragraph" w:customStyle="1" w:styleId="66">
    <w:name w:val="Norm_num_1"/>
    <w:basedOn w:val="1"/>
    <w:qFormat/>
    <w:uiPriority w:val="0"/>
    <w:pPr>
      <w:spacing w:before="120" w:after="120"/>
      <w:ind w:left="284" w:hanging="283"/>
      <w:jc w:val="both"/>
    </w:pPr>
    <w:rPr>
      <w:rFonts w:ascii="Sabon" w:hAnsi="Sabon"/>
      <w:szCs w:val="20"/>
    </w:rPr>
  </w:style>
  <w:style w:type="paragraph" w:customStyle="1" w:styleId="67">
    <w:name w:val="Normal No Space After"/>
    <w:basedOn w:val="1"/>
    <w:qFormat/>
    <w:uiPriority w:val="0"/>
    <w:pPr>
      <w:keepLines/>
      <w:spacing w:after="240"/>
    </w:pPr>
    <w:rPr>
      <w:rFonts w:cs="Arial"/>
      <w:szCs w:val="22"/>
    </w:rPr>
  </w:style>
  <w:style w:type="character" w:customStyle="1" w:styleId="68">
    <w:name w:val="标题 字符"/>
    <w:basedOn w:val="42"/>
    <w:link w:val="38"/>
    <w:qFormat/>
    <w:uiPriority w:val="0"/>
    <w:rPr>
      <w:rFonts w:ascii="Arial" w:hAnsi="Arial" w:eastAsia="SimSun" w:cs="Arial"/>
      <w:b/>
      <w:bCs/>
      <w:kern w:val="28"/>
      <w:sz w:val="32"/>
      <w:szCs w:val="32"/>
      <w:lang w:eastAsia="en-US"/>
    </w:rPr>
  </w:style>
  <w:style w:type="paragraph" w:customStyle="1" w:styleId="69">
    <w:name w:val="Part Title"/>
    <w:basedOn w:val="38"/>
    <w:qFormat/>
    <w:uiPriority w:val="0"/>
    <w:pPr>
      <w:keepNext/>
      <w:keepLines/>
      <w:spacing w:before="140" w:after="0"/>
      <w:outlineLvl w:val="9"/>
    </w:pPr>
    <w:rPr>
      <w:rFonts w:cs="Times New Roman"/>
      <w:b w:val="0"/>
      <w:bCs w:val="0"/>
      <w:caps/>
      <w:spacing w:val="20"/>
      <w:kern w:val="20"/>
      <w:sz w:val="44"/>
      <w:szCs w:val="20"/>
    </w:rPr>
  </w:style>
  <w:style w:type="paragraph" w:customStyle="1" w:styleId="70">
    <w:name w:val="Post-Text Title"/>
    <w:basedOn w:val="1"/>
    <w:qFormat/>
    <w:uiPriority w:val="0"/>
    <w:pPr>
      <w:keepNext/>
      <w:autoSpaceDE w:val="0"/>
      <w:autoSpaceDN w:val="0"/>
      <w:adjustRightInd w:val="0"/>
      <w:spacing w:before="10" w:after="10"/>
      <w:jc w:val="center"/>
    </w:pPr>
    <w:rPr>
      <w:rFonts w:cs="Arial"/>
      <w:b/>
      <w:bCs/>
      <w:color w:val="000000"/>
      <w:szCs w:val="22"/>
    </w:rPr>
  </w:style>
  <w:style w:type="paragraph" w:customStyle="1" w:styleId="71">
    <w:name w:val="Protocol Title"/>
    <w:basedOn w:val="1"/>
    <w:qFormat/>
    <w:uiPriority w:val="0"/>
    <w:pPr>
      <w:keepLines/>
      <w:spacing w:after="240"/>
      <w:jc w:val="center"/>
    </w:pPr>
    <w:rPr>
      <w:rFonts w:cs="Arial"/>
      <w:b/>
      <w:bCs/>
      <w:caps/>
      <w:szCs w:val="22"/>
    </w:rPr>
  </w:style>
  <w:style w:type="paragraph" w:customStyle="1" w:styleId="72">
    <w:name w:val="Reference"/>
    <w:basedOn w:val="3"/>
    <w:qFormat/>
    <w:uiPriority w:val="0"/>
    <w:pPr>
      <w:spacing w:line="260" w:lineRule="exact"/>
      <w:ind w:left="360" w:hanging="360"/>
    </w:pPr>
  </w:style>
  <w:style w:type="character" w:customStyle="1" w:styleId="73">
    <w:name w:val="Slogan"/>
    <w:qFormat/>
    <w:uiPriority w:val="0"/>
    <w:rPr>
      <w:rFonts w:ascii="Arial" w:hAnsi="Arial"/>
      <w:spacing w:val="70"/>
    </w:rPr>
  </w:style>
  <w:style w:type="paragraph" w:customStyle="1" w:styleId="74">
    <w:name w:val="Table Caption"/>
    <w:basedOn w:val="1"/>
    <w:qFormat/>
    <w:uiPriority w:val="0"/>
    <w:pPr>
      <w:keepNext/>
      <w:tabs>
        <w:tab w:val="left" w:pos="1728"/>
        <w:tab w:val="left" w:pos="1800"/>
      </w:tabs>
      <w:spacing w:before="120" w:after="120"/>
      <w:ind w:left="1728" w:hanging="1728"/>
    </w:pPr>
    <w:rPr>
      <w:rFonts w:ascii="Arial Bold" w:hAnsi="Arial Bold" w:cs="Arial"/>
      <w:b/>
      <w:bCs/>
      <w:szCs w:val="22"/>
    </w:rPr>
  </w:style>
  <w:style w:type="paragraph" w:customStyle="1" w:styleId="75">
    <w:name w:val="Table Cell Center"/>
    <w:basedOn w:val="3"/>
    <w:qFormat/>
    <w:uiPriority w:val="0"/>
    <w:pPr>
      <w:spacing w:before="40" w:after="40" w:line="260" w:lineRule="exact"/>
      <w:jc w:val="center"/>
    </w:pPr>
  </w:style>
  <w:style w:type="paragraph" w:customStyle="1" w:styleId="76">
    <w:name w:val="Table Cell Left"/>
    <w:basedOn w:val="3"/>
    <w:qFormat/>
    <w:uiPriority w:val="0"/>
    <w:pPr>
      <w:spacing w:before="40" w:after="40" w:line="260" w:lineRule="exact"/>
    </w:pPr>
  </w:style>
  <w:style w:type="paragraph" w:customStyle="1" w:styleId="77">
    <w:name w:val="Table Footer"/>
    <w:basedOn w:val="3"/>
    <w:qFormat/>
    <w:uiPriority w:val="0"/>
    <w:pPr>
      <w:tabs>
        <w:tab w:val="right" w:pos="144"/>
      </w:tabs>
      <w:spacing w:before="40" w:after="0" w:line="240" w:lineRule="exact"/>
      <w:ind w:left="288" w:hanging="288"/>
    </w:pPr>
    <w:rPr>
      <w:sz w:val="20"/>
    </w:rPr>
  </w:style>
  <w:style w:type="paragraph" w:customStyle="1" w:styleId="78">
    <w:name w:val="Table of Contents"/>
    <w:basedOn w:val="24"/>
    <w:qFormat/>
    <w:uiPriority w:val="0"/>
    <w:pPr>
      <w:tabs>
        <w:tab w:val="right" w:pos="360"/>
        <w:tab w:val="right" w:pos="720"/>
        <w:tab w:val="right" w:pos="1080"/>
        <w:tab w:val="right" w:pos="1440"/>
        <w:tab w:val="right" w:pos="1800"/>
        <w:tab w:val="right" w:leader="dot" w:pos="9000"/>
        <w:tab w:val="clear" w:pos="8640"/>
      </w:tabs>
      <w:spacing w:after="40" w:line="240" w:lineRule="auto"/>
      <w:ind w:left="0" w:right="0" w:firstLine="0"/>
      <w:jc w:val="center"/>
    </w:pPr>
    <w:rPr>
      <w:rFonts w:cs="Arial"/>
      <w:bCs w:val="0"/>
      <w:caps w:val="0"/>
      <w:color w:val="auto"/>
      <w:szCs w:val="22"/>
    </w:rPr>
  </w:style>
  <w:style w:type="paragraph" w:customStyle="1" w:styleId="79">
    <w:name w:val="Table Title"/>
    <w:basedOn w:val="1"/>
    <w:qFormat/>
    <w:uiPriority w:val="0"/>
    <w:pPr>
      <w:keepLines/>
      <w:spacing w:after="120"/>
    </w:pPr>
    <w:rPr>
      <w:rFonts w:cs="Arial"/>
      <w:b/>
      <w:bCs/>
      <w:szCs w:val="20"/>
    </w:rPr>
  </w:style>
  <w:style w:type="character" w:customStyle="1" w:styleId="80">
    <w:name w:val="Table Title Char"/>
    <w:qFormat/>
    <w:uiPriority w:val="0"/>
    <w:rPr>
      <w:rFonts w:ascii="Arial" w:hAnsi="Arial" w:cs="Arial"/>
      <w:b/>
      <w:bCs/>
      <w:sz w:val="22"/>
      <w:lang w:val="en-US" w:eastAsia="en-US" w:bidi="ar-SA"/>
    </w:rPr>
  </w:style>
  <w:style w:type="paragraph" w:customStyle="1" w:styleId="81">
    <w:name w:val="Text"/>
    <w:basedOn w:val="54"/>
    <w:next w:val="54"/>
    <w:qFormat/>
    <w:uiPriority w:val="0"/>
    <w:pPr>
      <w:spacing w:before="120"/>
    </w:pPr>
    <w:rPr>
      <w:rFonts w:cs="Sendnya"/>
      <w:sz w:val="24"/>
      <w:szCs w:val="24"/>
    </w:rPr>
  </w:style>
  <w:style w:type="paragraph" w:customStyle="1" w:styleId="82">
    <w:name w:val="Title Cover"/>
    <w:basedOn w:val="1"/>
    <w:next w:val="1"/>
    <w:qFormat/>
    <w:uiPriority w:val="0"/>
    <w:pPr>
      <w:keepNext/>
      <w:keepLines/>
      <w:spacing w:after="240" w:line="720" w:lineRule="atLeast"/>
      <w:jc w:val="center"/>
    </w:pPr>
    <w:rPr>
      <w:caps/>
      <w:spacing w:val="65"/>
      <w:kern w:val="20"/>
      <w:sz w:val="64"/>
      <w:szCs w:val="20"/>
    </w:rPr>
  </w:style>
  <w:style w:type="paragraph" w:customStyle="1" w:styleId="83">
    <w:name w:val="ToC Head"/>
    <w:basedOn w:val="3"/>
    <w:qFormat/>
    <w:uiPriority w:val="0"/>
    <w:pPr>
      <w:spacing w:after="0"/>
    </w:pPr>
    <w:rPr>
      <w:b/>
      <w:bCs/>
      <w:u w:val="single"/>
    </w:rPr>
  </w:style>
  <w:style w:type="paragraph" w:customStyle="1" w:styleId="84">
    <w:name w:val="Underline"/>
    <w:basedOn w:val="3"/>
    <w:qFormat/>
    <w:uiPriority w:val="0"/>
    <w:pPr>
      <w:keepNext/>
    </w:pPr>
    <w:rPr>
      <w:u w:val="single"/>
    </w:rPr>
  </w:style>
  <w:style w:type="paragraph" w:customStyle="1" w:styleId="85">
    <w:name w:val="Underline bold"/>
    <w:basedOn w:val="3"/>
    <w:qFormat/>
    <w:uiPriority w:val="0"/>
    <w:pPr>
      <w:keepNext/>
    </w:pPr>
    <w:rPr>
      <w:rFonts w:ascii="Arial Bold" w:hAnsi="Arial Bold"/>
      <w:b/>
      <w:u w:val="single"/>
    </w:rPr>
  </w:style>
  <w:style w:type="paragraph" w:customStyle="1" w:styleId="86">
    <w:name w:val="xInstrux"/>
    <w:basedOn w:val="3"/>
    <w:qFormat/>
    <w:uiPriority w:val="0"/>
    <w:pPr>
      <w:spacing w:line="240" w:lineRule="exact"/>
      <w:ind w:right="720"/>
    </w:pPr>
    <w:rPr>
      <w:i/>
      <w:iCs/>
      <w:color w:val="FF0000"/>
    </w:rPr>
  </w:style>
  <w:style w:type="paragraph" w:customStyle="1" w:styleId="87">
    <w:name w:val="xl65"/>
    <w:basedOn w:val="1"/>
    <w:qFormat/>
    <w:uiPriority w:val="0"/>
    <w:pPr>
      <w:spacing w:before="100" w:beforeAutospacing="1" w:after="100" w:afterAutospacing="1"/>
      <w:jc w:val="center"/>
    </w:pPr>
    <w:rPr>
      <w:sz w:val="24"/>
    </w:rPr>
  </w:style>
  <w:style w:type="paragraph" w:customStyle="1" w:styleId="88">
    <w:name w:val="xl66"/>
    <w:basedOn w:val="1"/>
    <w:qFormat/>
    <w:uiPriority w:val="0"/>
    <w:pPr>
      <w:spacing w:before="100" w:beforeAutospacing="1" w:after="100" w:afterAutospacing="1"/>
      <w:jc w:val="center"/>
    </w:pPr>
    <w:rPr>
      <w:sz w:val="24"/>
    </w:rPr>
  </w:style>
  <w:style w:type="paragraph" w:customStyle="1" w:styleId="89">
    <w:name w:val="xl67"/>
    <w:basedOn w:val="1"/>
    <w:qFormat/>
    <w:uiPriority w:val="0"/>
    <w:pPr>
      <w:spacing w:before="100" w:beforeAutospacing="1" w:after="100" w:afterAutospacing="1"/>
      <w:jc w:val="center"/>
    </w:pPr>
    <w:rPr>
      <w:color w:val="FF0000"/>
      <w:sz w:val="24"/>
    </w:rPr>
  </w:style>
  <w:style w:type="paragraph" w:customStyle="1" w:styleId="90">
    <w:name w:val="xl68"/>
    <w:basedOn w:val="1"/>
    <w:qFormat/>
    <w:uiPriority w:val="0"/>
    <w:pPr>
      <w:spacing w:before="100" w:beforeAutospacing="1" w:after="100" w:afterAutospacing="1"/>
      <w:jc w:val="center"/>
      <w:textAlignment w:val="bottom"/>
    </w:pPr>
    <w:rPr>
      <w:sz w:val="24"/>
    </w:rPr>
  </w:style>
  <w:style w:type="character" w:customStyle="1" w:styleId="91">
    <w:name w:val="页眉 字符"/>
    <w:link w:val="29"/>
    <w:qFormat/>
    <w:uiPriority w:val="0"/>
    <w:rPr>
      <w:rFonts w:ascii="Arial" w:hAnsi="Arial" w:eastAsia="SimSun" w:cs="Times New Roman"/>
      <w:kern w:val="0"/>
      <w:sz w:val="22"/>
      <w:szCs w:val="24"/>
      <w:lang w:eastAsia="en-US"/>
    </w:rPr>
  </w:style>
  <w:style w:type="paragraph" w:customStyle="1" w:styleId="92">
    <w:name w:val="xSpace"/>
    <w:basedOn w:val="29"/>
    <w:qFormat/>
    <w:uiPriority w:val="0"/>
    <w:pPr>
      <w:spacing w:after="120" w:line="200" w:lineRule="exact"/>
    </w:pPr>
  </w:style>
  <w:style w:type="character" w:customStyle="1" w:styleId="93">
    <w:name w:val="标题 2 字符"/>
    <w:basedOn w:val="42"/>
    <w:link w:val="4"/>
    <w:qFormat/>
    <w:uiPriority w:val="0"/>
    <w:rPr>
      <w:rFonts w:ascii="Arial" w:hAnsi="Arial" w:eastAsia="SimSun" w:cs="Arial"/>
      <w:iCs/>
      <w:kern w:val="32"/>
      <w:sz w:val="22"/>
      <w:szCs w:val="28"/>
      <w:lang w:eastAsia="en-US"/>
    </w:rPr>
  </w:style>
  <w:style w:type="character" w:customStyle="1" w:styleId="94">
    <w:name w:val="标题 3 字符"/>
    <w:basedOn w:val="42"/>
    <w:link w:val="5"/>
    <w:qFormat/>
    <w:uiPriority w:val="0"/>
    <w:rPr>
      <w:rFonts w:ascii="Arial" w:hAnsi="Arial" w:eastAsia="SimSun" w:cs="Arial"/>
      <w:bCs/>
      <w:iCs/>
      <w:kern w:val="32"/>
      <w:sz w:val="22"/>
      <w:szCs w:val="26"/>
      <w:lang w:eastAsia="en-US"/>
    </w:rPr>
  </w:style>
  <w:style w:type="character" w:customStyle="1" w:styleId="95">
    <w:name w:val="标题 4 字符"/>
    <w:basedOn w:val="42"/>
    <w:link w:val="6"/>
    <w:qFormat/>
    <w:uiPriority w:val="0"/>
    <w:rPr>
      <w:rFonts w:ascii="Arial" w:hAnsi="Arial" w:eastAsia="SimSun" w:cs="Arial"/>
      <w:iCs/>
      <w:kern w:val="32"/>
      <w:sz w:val="22"/>
      <w:szCs w:val="28"/>
      <w:lang w:eastAsia="en-US"/>
    </w:rPr>
  </w:style>
  <w:style w:type="character" w:customStyle="1" w:styleId="96">
    <w:name w:val="标题 5 字符"/>
    <w:basedOn w:val="42"/>
    <w:link w:val="7"/>
    <w:qFormat/>
    <w:uiPriority w:val="0"/>
    <w:rPr>
      <w:rFonts w:ascii="Arial" w:hAnsi="Arial" w:eastAsia="SimSun" w:cs="Arial"/>
      <w:bCs/>
      <w:kern w:val="32"/>
      <w:sz w:val="22"/>
      <w:lang w:eastAsia="en-US"/>
    </w:rPr>
  </w:style>
  <w:style w:type="character" w:customStyle="1" w:styleId="97">
    <w:name w:val="标题 6 字符"/>
    <w:basedOn w:val="42"/>
    <w:link w:val="8"/>
    <w:qFormat/>
    <w:uiPriority w:val="0"/>
    <w:rPr>
      <w:rFonts w:ascii="Arial" w:hAnsi="Arial" w:eastAsia="SimSun" w:cs="Arial"/>
      <w:kern w:val="32"/>
      <w:sz w:val="22"/>
      <w:lang w:eastAsia="en-US"/>
    </w:rPr>
  </w:style>
  <w:style w:type="character" w:customStyle="1" w:styleId="98">
    <w:name w:val="标题 7 字符"/>
    <w:basedOn w:val="42"/>
    <w:link w:val="9"/>
    <w:qFormat/>
    <w:uiPriority w:val="0"/>
    <w:rPr>
      <w:rFonts w:ascii="Arial" w:hAnsi="Arial" w:eastAsia="SimSun" w:cs="Arial"/>
      <w:kern w:val="32"/>
      <w:sz w:val="22"/>
      <w:lang w:eastAsia="en-US"/>
    </w:rPr>
  </w:style>
  <w:style w:type="character" w:customStyle="1" w:styleId="99">
    <w:name w:val="标题 8 字符"/>
    <w:basedOn w:val="42"/>
    <w:link w:val="10"/>
    <w:qFormat/>
    <w:uiPriority w:val="0"/>
    <w:rPr>
      <w:rFonts w:ascii="Arial" w:hAnsi="Arial" w:eastAsia="SimSun" w:cs="Arial"/>
      <w:i/>
      <w:iCs/>
      <w:kern w:val="0"/>
      <w:sz w:val="22"/>
      <w:lang w:eastAsia="en-US"/>
    </w:rPr>
  </w:style>
  <w:style w:type="character" w:customStyle="1" w:styleId="100">
    <w:name w:val="标题 9 字符"/>
    <w:basedOn w:val="42"/>
    <w:link w:val="11"/>
    <w:qFormat/>
    <w:uiPriority w:val="0"/>
    <w:rPr>
      <w:rFonts w:ascii="Arial" w:hAnsi="Arial" w:eastAsia="SimSun" w:cs="Arial"/>
      <w:kern w:val="0"/>
      <w:sz w:val="22"/>
      <w:lang w:eastAsia="en-US"/>
    </w:rPr>
  </w:style>
  <w:style w:type="character" w:customStyle="1" w:styleId="101">
    <w:name w:val="脚注文本 字符"/>
    <w:basedOn w:val="42"/>
    <w:link w:val="32"/>
    <w:semiHidden/>
    <w:qFormat/>
    <w:uiPriority w:val="0"/>
    <w:rPr>
      <w:rFonts w:ascii="Arial" w:hAnsi="Arial" w:eastAsia="SimSun" w:cs="Times New Roman"/>
      <w:kern w:val="0"/>
      <w:sz w:val="20"/>
      <w:szCs w:val="20"/>
      <w:lang w:eastAsia="en-US"/>
    </w:rPr>
  </w:style>
  <w:style w:type="paragraph" w:customStyle="1" w:styleId="102">
    <w:name w:val="列表项目符号 21"/>
    <w:basedOn w:val="16"/>
    <w:qFormat/>
    <w:uiPriority w:val="0"/>
    <w:pPr>
      <w:tabs>
        <w:tab w:val="clear" w:pos="1008"/>
      </w:tabs>
      <w:ind w:left="1728"/>
    </w:pPr>
  </w:style>
  <w:style w:type="paragraph" w:customStyle="1" w:styleId="103">
    <w:name w:val="列表项目符号 31"/>
    <w:basedOn w:val="102"/>
    <w:qFormat/>
    <w:uiPriority w:val="0"/>
    <w:pPr>
      <w:ind w:left="2448"/>
    </w:pPr>
  </w:style>
  <w:style w:type="paragraph" w:customStyle="1" w:styleId="104">
    <w:name w:val="列表项目符号 41"/>
    <w:basedOn w:val="103"/>
    <w:qFormat/>
    <w:uiPriority w:val="0"/>
    <w:pPr>
      <w:ind w:left="3600"/>
    </w:pPr>
  </w:style>
  <w:style w:type="paragraph" w:styleId="105">
    <w:name w:val="List Paragraph"/>
    <w:basedOn w:val="1"/>
    <w:qFormat/>
    <w:uiPriority w:val="99"/>
    <w:pPr>
      <w:ind w:firstLine="420" w:firstLineChars="200"/>
    </w:pPr>
  </w:style>
  <w:style w:type="paragraph" w:customStyle="1" w:styleId="106">
    <w:name w:val="列出段落1"/>
    <w:basedOn w:val="1"/>
    <w:qFormat/>
    <w:uiPriority w:val="34"/>
    <w:pPr>
      <w:ind w:firstLine="420" w:firstLineChars="200"/>
    </w:pPr>
  </w:style>
  <w:style w:type="character" w:customStyle="1" w:styleId="107">
    <w:name w:val="批注框文本 字符"/>
    <w:basedOn w:val="42"/>
    <w:link w:val="27"/>
    <w:semiHidden/>
    <w:qFormat/>
    <w:uiPriority w:val="0"/>
    <w:rPr>
      <w:rFonts w:ascii="Arial" w:hAnsi="Arial" w:eastAsia="SimSun" w:cs="Times New Roman"/>
      <w:kern w:val="0"/>
      <w:sz w:val="18"/>
      <w:szCs w:val="18"/>
      <w:lang w:eastAsia="en-US"/>
    </w:rPr>
  </w:style>
  <w:style w:type="paragraph" w:customStyle="1" w:styleId="108">
    <w:name w:val="批注框文本1"/>
    <w:basedOn w:val="1"/>
    <w:semiHidden/>
    <w:qFormat/>
    <w:uiPriority w:val="0"/>
    <w:rPr>
      <w:rFonts w:ascii="Tahoma" w:hAnsi="Tahoma" w:cs="Tahoma"/>
      <w:sz w:val="16"/>
      <w:szCs w:val="16"/>
    </w:rPr>
  </w:style>
  <w:style w:type="character" w:customStyle="1" w:styleId="109">
    <w:name w:val="批注文字 字符"/>
    <w:basedOn w:val="42"/>
    <w:link w:val="18"/>
    <w:qFormat/>
    <w:uiPriority w:val="0"/>
    <w:rPr>
      <w:rFonts w:ascii="Times New Roman" w:hAnsi="Times New Roman" w:eastAsia="SimSun" w:cs="Times New Roman"/>
      <w:szCs w:val="24"/>
    </w:rPr>
  </w:style>
  <w:style w:type="character" w:customStyle="1" w:styleId="110">
    <w:name w:val="日期 字符"/>
    <w:basedOn w:val="42"/>
    <w:link w:val="26"/>
    <w:qFormat/>
    <w:uiPriority w:val="0"/>
    <w:rPr>
      <w:rFonts w:ascii="Arial" w:hAnsi="Arial" w:eastAsia="SimSun" w:cs="Times New Roman"/>
      <w:kern w:val="0"/>
      <w:sz w:val="22"/>
      <w:szCs w:val="24"/>
      <w:lang w:eastAsia="en-US"/>
    </w:rPr>
  </w:style>
  <w:style w:type="character" w:customStyle="1" w:styleId="111">
    <w:name w:val="文档结构图 字符"/>
    <w:basedOn w:val="42"/>
    <w:link w:val="17"/>
    <w:semiHidden/>
    <w:qFormat/>
    <w:uiPriority w:val="0"/>
    <w:rPr>
      <w:rFonts w:ascii="Arial" w:hAnsi="Arial" w:eastAsia="SimSun" w:cs="Times New Roman"/>
      <w:kern w:val="0"/>
      <w:sz w:val="22"/>
      <w:szCs w:val="24"/>
      <w:shd w:val="clear" w:color="auto" w:fill="000080"/>
      <w:lang w:eastAsia="en-US"/>
    </w:rPr>
  </w:style>
  <w:style w:type="paragraph" w:customStyle="1" w:styleId="112">
    <w:name w:val="无间隔1"/>
    <w:qFormat/>
    <w:uiPriority w:val="0"/>
    <w:pPr>
      <w:widowControl w:val="0"/>
      <w:jc w:val="both"/>
    </w:pPr>
    <w:rPr>
      <w:rFonts w:ascii="Calibri" w:hAnsi="Calibri" w:eastAsia="SimSun" w:cs="Times New Roman"/>
      <w:sz w:val="28"/>
      <w:szCs w:val="24"/>
      <w:lang w:val="en-US" w:eastAsia="zh-CN" w:bidi="ar-SA"/>
    </w:rPr>
  </w:style>
  <w:style w:type="character" w:customStyle="1" w:styleId="113">
    <w:name w:val="页脚 字符"/>
    <w:basedOn w:val="42"/>
    <w:link w:val="28"/>
    <w:qFormat/>
    <w:uiPriority w:val="0"/>
    <w:rPr>
      <w:rFonts w:ascii="Arial" w:hAnsi="Arial" w:eastAsia="SimSun" w:cs="Times New Roman"/>
      <w:kern w:val="0"/>
      <w:sz w:val="22"/>
      <w:szCs w:val="24"/>
      <w:lang w:eastAsia="en-US"/>
    </w:rPr>
  </w:style>
  <w:style w:type="character" w:customStyle="1" w:styleId="114">
    <w:name w:val="已访问的超链接1"/>
    <w:qFormat/>
    <w:uiPriority w:val="0"/>
    <w:rPr>
      <w:color w:val="800080"/>
      <w:u w:val="single"/>
    </w:rPr>
  </w:style>
  <w:style w:type="character" w:customStyle="1" w:styleId="115">
    <w:name w:val="正文文本 3 字符"/>
    <w:basedOn w:val="42"/>
    <w:link w:val="19"/>
    <w:qFormat/>
    <w:uiPriority w:val="0"/>
    <w:rPr>
      <w:rFonts w:ascii="Sabon" w:hAnsi="Sabon" w:eastAsia="SimSun" w:cs="Times New Roman"/>
      <w:b/>
      <w:kern w:val="0"/>
      <w:sz w:val="20"/>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1002</Words>
  <Characters>5714</Characters>
  <Lines>47</Lines>
  <Paragraphs>13</Paragraphs>
  <TotalTime>1</TotalTime>
  <ScaleCrop>false</ScaleCrop>
  <LinksUpToDate>false</LinksUpToDate>
  <CharactersWithSpaces>6703</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2019-06-03T09:05:00Z</dcterms:created>
  <dc:creator>夏冬亮</dc:creator>
  <cp:lastModifiedBy>sophie</cp:lastModifiedBy>
  <dcterms:modified xsi:type="dcterms:W3CDTF">2022-01-25T04:14:49Z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F40294D8A74C4428B7F96BE0CAD12B23</vt:lpwstr>
  </property>
</Properties>
</file>