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sz w:val="20"/>
          <w:szCs w:val="20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drawing>
          <wp:inline distT="0" distB="0" distL="0" distR="0">
            <wp:extent cx="5274945" cy="3213735"/>
            <wp:effectExtent l="0" t="0" r="825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t xml:space="preserve">Additional Fig. S1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The correlation between the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prognostic genes and overall survival. </w:t>
      </w:r>
      <w:r>
        <w:rPr>
          <w:rFonts w:ascii="Times New Roman" w:hAnsi="Times New Roman" w:eastAsia="宋体" w:cs="Times New Roman"/>
          <w:sz w:val="20"/>
          <w:szCs w:val="20"/>
        </w:rPr>
        <w:t>The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val="en-US" w:eastAsia="zh-CN"/>
        </w:rPr>
        <w:t>Kaplan-Meier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</w:rPr>
        <w:t>analysis of (</w:t>
      </w:r>
      <w:r>
        <w:rPr>
          <w:rFonts w:ascii="Times New Roman" w:hAnsi="Times New Roman" w:eastAsia="宋体" w:cs="Times New Roman"/>
          <w:b/>
          <w:sz w:val="20"/>
          <w:szCs w:val="20"/>
        </w:rPr>
        <w:t>A</w:t>
      </w:r>
      <w:r>
        <w:rPr>
          <w:rFonts w:ascii="Times New Roman" w:hAnsi="Times New Roman" w:eastAsia="宋体" w:cs="Times New Roman"/>
          <w:sz w:val="20"/>
          <w:szCs w:val="20"/>
        </w:rPr>
        <w:t>) PLXNC1, (</w:t>
      </w:r>
      <w:r>
        <w:rPr>
          <w:rFonts w:ascii="Times New Roman" w:hAnsi="Times New Roman" w:eastAsia="宋体" w:cs="Times New Roman"/>
          <w:b/>
          <w:sz w:val="20"/>
          <w:szCs w:val="20"/>
        </w:rPr>
        <w:t>B</w:t>
      </w:r>
      <w:r>
        <w:rPr>
          <w:rFonts w:ascii="Times New Roman" w:hAnsi="Times New Roman" w:eastAsia="宋体" w:cs="Times New Roman"/>
          <w:sz w:val="20"/>
          <w:szCs w:val="20"/>
        </w:rPr>
        <w:t>) CHGA, (</w:t>
      </w:r>
      <w:r>
        <w:rPr>
          <w:rFonts w:ascii="Times New Roman" w:hAnsi="Times New Roman" w:eastAsia="宋体" w:cs="Times New Roman"/>
          <w:b/>
          <w:sz w:val="20"/>
          <w:szCs w:val="20"/>
        </w:rPr>
        <w:t>C</w:t>
      </w:r>
      <w:r>
        <w:rPr>
          <w:rFonts w:ascii="Times New Roman" w:hAnsi="Times New Roman" w:eastAsia="宋体" w:cs="Times New Roman"/>
          <w:sz w:val="20"/>
          <w:szCs w:val="20"/>
        </w:rPr>
        <w:t>) PTGER1, (</w:t>
      </w:r>
      <w:r>
        <w:rPr>
          <w:rFonts w:ascii="Times New Roman" w:hAnsi="Times New Roman" w:eastAsia="宋体" w:cs="Times New Roman"/>
          <w:b/>
          <w:sz w:val="20"/>
          <w:szCs w:val="20"/>
        </w:rPr>
        <w:t>D</w:t>
      </w:r>
      <w:r>
        <w:rPr>
          <w:rFonts w:ascii="Times New Roman" w:hAnsi="Times New Roman" w:eastAsia="宋体" w:cs="Times New Roman"/>
          <w:sz w:val="20"/>
          <w:szCs w:val="20"/>
        </w:rPr>
        <w:t>) SHC3, (</w:t>
      </w:r>
      <w:r>
        <w:rPr>
          <w:rFonts w:ascii="Times New Roman" w:hAnsi="Times New Roman" w:eastAsia="宋体" w:cs="Times New Roman"/>
          <w:b/>
          <w:sz w:val="20"/>
          <w:szCs w:val="20"/>
        </w:rPr>
        <w:t>E</w:t>
      </w:r>
      <w:r>
        <w:rPr>
          <w:rFonts w:ascii="Times New Roman" w:hAnsi="Times New Roman" w:eastAsia="宋体" w:cs="Times New Roman"/>
          <w:sz w:val="20"/>
          <w:szCs w:val="20"/>
        </w:rPr>
        <w:t>) TRIM55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in the </w:t>
      </w:r>
      <w:r>
        <w:rPr>
          <w:rFonts w:ascii="Times New Roman" w:hAnsi="Times New Roman" w:eastAsia="宋体" w:cs="Times New Roman"/>
          <w:sz w:val="20"/>
          <w:szCs w:val="20"/>
        </w:rPr>
        <w:t>high- or low-risk groups</w:t>
      </w:r>
    </w:p>
    <w:p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drawing>
          <wp:inline distT="0" distB="0" distL="0" distR="0">
            <wp:extent cx="5269865" cy="1844675"/>
            <wp:effectExtent l="0" t="0" r="698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t xml:space="preserve">Additional Fig. S2 </w:t>
      </w:r>
      <w:r>
        <w:rPr>
          <w:rFonts w:ascii="Times New Roman" w:hAnsi="Times New Roman" w:eastAsia="宋体" w:cs="Times New Roman"/>
          <w:sz w:val="20"/>
          <w:szCs w:val="20"/>
        </w:rPr>
        <w:t>Identification of the independent prognosis factor in the risk model. The independence of the risk model was assessed by (</w:t>
      </w:r>
      <w:r>
        <w:rPr>
          <w:rFonts w:ascii="Times New Roman" w:hAnsi="Times New Roman" w:eastAsia="宋体" w:cs="Times New Roman"/>
          <w:b/>
          <w:sz w:val="20"/>
          <w:szCs w:val="20"/>
        </w:rPr>
        <w:t>A</w:t>
      </w:r>
      <w:r>
        <w:rPr>
          <w:rFonts w:ascii="Times New Roman" w:hAnsi="Times New Roman" w:eastAsia="宋体" w:cs="Times New Roman"/>
          <w:sz w:val="20"/>
          <w:szCs w:val="20"/>
        </w:rPr>
        <w:t>) univariate and (</w:t>
      </w:r>
      <w:r>
        <w:rPr>
          <w:rFonts w:ascii="Times New Roman" w:hAnsi="Times New Roman" w:eastAsia="宋体" w:cs="Times New Roman"/>
          <w:b/>
          <w:sz w:val="20"/>
          <w:szCs w:val="20"/>
        </w:rPr>
        <w:t>B</w:t>
      </w:r>
      <w:r>
        <w:rPr>
          <w:rFonts w:ascii="Times New Roman" w:hAnsi="Times New Roman" w:eastAsia="宋体" w:cs="Times New Roman"/>
          <w:sz w:val="20"/>
          <w:szCs w:val="20"/>
        </w:rPr>
        <w:t xml:space="preserve">) multivariate Cox 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"/>
        </w:rPr>
        <w:t xml:space="preserve">regression </w:t>
      </w:r>
      <w:r>
        <w:rPr>
          <w:rFonts w:ascii="Times New Roman" w:hAnsi="Times New Roman" w:eastAsia="宋体" w:cs="Times New Roman"/>
          <w:sz w:val="20"/>
          <w:szCs w:val="20"/>
        </w:rPr>
        <w:t>analysis.</w:t>
      </w:r>
    </w:p>
    <w:p>
      <w:pPr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rPr>
          <w:rFonts w:hint="eastAsia" w:ascii="Times New Roman" w:hAnsi="Times New Roman" w:eastAsia="宋体" w:cs="Times New Roman"/>
          <w:b/>
          <w:sz w:val="20"/>
          <w:szCs w:val="20"/>
          <w:lang w:eastAsia="zh-CN"/>
        </w:rPr>
      </w:pPr>
      <w:r>
        <w:rPr>
          <w:rFonts w:hint="eastAsia" w:ascii="Times New Roman" w:hAnsi="Times New Roman" w:eastAsia="宋体" w:cs="Times New Roman"/>
          <w:b/>
          <w:sz w:val="20"/>
          <w:szCs w:val="20"/>
          <w:lang w:eastAsia="zh-CN"/>
        </w:rPr>
        <w:drawing>
          <wp:inline distT="0" distB="0" distL="114300" distR="114300">
            <wp:extent cx="4864100" cy="1739900"/>
            <wp:effectExtent l="0" t="0" r="0" b="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t>Additional Fig. S</w:t>
      </w:r>
      <w:r>
        <w:rPr>
          <w:rFonts w:hint="eastAsia" w:ascii="Times New Roman" w:hAnsi="Times New Roman" w:eastAsia="宋体" w:cs="Times New Roman"/>
          <w:b/>
          <w:sz w:val="20"/>
          <w:szCs w:val="20"/>
          <w:lang w:val="en-US" w:eastAsia="zh-CN"/>
        </w:rPr>
        <w:t xml:space="preserve">3 </w:t>
      </w:r>
      <w:r>
        <w:rPr>
          <w:rFonts w:ascii="Times New Roman" w:hAnsi="Times New Roman" w:eastAsia="宋体" w:cs="Times New Roman"/>
          <w:sz w:val="20"/>
          <w:szCs w:val="20"/>
        </w:rPr>
        <w:t xml:space="preserve">Identification of the independent prognosis factor in the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GSE49711 dataset</w:t>
      </w:r>
      <w:r>
        <w:rPr>
          <w:rFonts w:ascii="Times New Roman" w:hAnsi="Times New Roman" w:eastAsia="宋体" w:cs="Times New Roman"/>
          <w:sz w:val="20"/>
          <w:szCs w:val="20"/>
        </w:rPr>
        <w:t>. The independence of the risk model was assessed by (</w:t>
      </w:r>
      <w:r>
        <w:rPr>
          <w:rFonts w:ascii="Times New Roman" w:hAnsi="Times New Roman" w:eastAsia="宋体" w:cs="Times New Roman"/>
          <w:b/>
          <w:sz w:val="20"/>
          <w:szCs w:val="20"/>
        </w:rPr>
        <w:t>A</w:t>
      </w:r>
      <w:r>
        <w:rPr>
          <w:rFonts w:ascii="Times New Roman" w:hAnsi="Times New Roman" w:eastAsia="宋体" w:cs="Times New Roman"/>
          <w:sz w:val="20"/>
          <w:szCs w:val="20"/>
        </w:rPr>
        <w:t>) univariate and (</w:t>
      </w:r>
      <w:r>
        <w:rPr>
          <w:rFonts w:ascii="Times New Roman" w:hAnsi="Times New Roman" w:eastAsia="宋体" w:cs="Times New Roman"/>
          <w:b/>
          <w:sz w:val="20"/>
          <w:szCs w:val="20"/>
        </w:rPr>
        <w:t>B</w:t>
      </w:r>
      <w:r>
        <w:rPr>
          <w:rFonts w:ascii="Times New Roman" w:hAnsi="Times New Roman" w:eastAsia="宋体" w:cs="Times New Roman"/>
          <w:sz w:val="20"/>
          <w:szCs w:val="20"/>
        </w:rPr>
        <w:t xml:space="preserve">) multivariate Cox 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"/>
        </w:rPr>
        <w:t xml:space="preserve">regression </w:t>
      </w:r>
      <w:r>
        <w:rPr>
          <w:rFonts w:ascii="Times New Roman" w:hAnsi="Times New Roman" w:eastAsia="宋体" w:cs="Times New Roman"/>
          <w:sz w:val="20"/>
          <w:szCs w:val="20"/>
        </w:rPr>
        <w:t>analysis.</w:t>
      </w:r>
    </w:p>
    <w:p>
      <w:pPr>
        <w:rPr>
          <w:rFonts w:ascii="Times New Roman" w:hAnsi="Times New Roman" w:eastAsia="宋体" w:cs="Times New Roman"/>
          <w:b/>
          <w:sz w:val="20"/>
          <w:szCs w:val="20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821930"/>
            <wp:effectExtent l="0" t="0" r="8890" b="1270"/>
            <wp:docPr id="4" name="图片 4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2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t>Additional Fig. S</w:t>
      </w:r>
      <w:r>
        <w:rPr>
          <w:rFonts w:hint="eastAsia" w:ascii="Times New Roman" w:hAnsi="Times New Roman" w:eastAsia="宋体" w:cs="Times New Roman"/>
          <w:b/>
          <w:sz w:val="20"/>
          <w:szCs w:val="20"/>
          <w:lang w:val="en-US" w:eastAsia="zh-CN"/>
        </w:rPr>
        <w:t>4</w:t>
      </w:r>
      <w:bookmarkStart w:id="0" w:name="_GoBack"/>
      <w:bookmarkEnd w:id="0"/>
      <w:r>
        <w:rPr>
          <w:rFonts w:ascii="Times New Roman" w:hAnsi="Times New Roman" w:eastAsia="宋体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</w:rPr>
        <w:t>Immune signature predicts immunotherapy benefit. (</w:t>
      </w:r>
      <w:r>
        <w:rPr>
          <w:rFonts w:ascii="Times New Roman" w:hAnsi="Times New Roman" w:eastAsia="宋体" w:cs="Times New Roman"/>
          <w:b/>
          <w:sz w:val="20"/>
          <w:szCs w:val="20"/>
        </w:rPr>
        <w:t>A</w:t>
      </w:r>
      <w:r>
        <w:rPr>
          <w:rFonts w:ascii="Times New Roman" w:hAnsi="Times New Roman" w:eastAsia="宋体" w:cs="Times New Roman"/>
          <w:sz w:val="20"/>
          <w:szCs w:val="20"/>
        </w:rPr>
        <w:t xml:space="preserve">) The </w:t>
      </w:r>
      <w:r>
        <w:rPr>
          <w:rFonts w:ascii="Times New Roman" w:hAnsi="Times New Roman" w:eastAsia="宋体" w:cs="Times New Roman"/>
          <w:sz w:val="20"/>
          <w:szCs w:val="20"/>
          <w:lang w:val="en-US" w:eastAsia="zh-CN"/>
        </w:rPr>
        <w:t>Kaplan-Meier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</w:rPr>
        <w:t>analysis</w:t>
      </w:r>
      <w:r>
        <w:rPr>
          <w:rFonts w:ascii="Times New Roman" w:hAnsi="Times New Roman" w:eastAsia="宋体" w:cs="Times New Roman"/>
          <w:sz w:val="20"/>
          <w:szCs w:val="20"/>
          <w:lang w:val="en-US" w:eastAsia="zh-CN"/>
        </w:rPr>
        <w:t xml:space="preserve"> for overall survival (OS) of patients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based on the risk strati</w:t>
      </w:r>
      <w:r>
        <w:rPr>
          <w:rFonts w:ascii="Times New Roman" w:hAnsi="Times New Roman" w:eastAsia="宋体" w:cs="Times New Roman"/>
          <w:sz w:val="20"/>
          <w:szCs w:val="20"/>
          <w:lang w:val="en-US" w:eastAsia="zh-CN"/>
        </w:rPr>
        <w:t>fi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cation in the </w:t>
      </w:r>
      <w:r>
        <w:rPr>
          <w:rFonts w:hint="default" w:ascii="Times New Roman" w:hAnsi="Times New Roman" w:eastAsia="等线" w:cs="Times New Roman"/>
          <w:color w:val="000000"/>
          <w:kern w:val="2"/>
          <w:sz w:val="20"/>
          <w:szCs w:val="22"/>
          <w:lang w:val="en-US" w:eastAsia="zh-CN" w:bidi="ar"/>
        </w:rPr>
        <w:t>IMvigor210</w:t>
      </w:r>
      <w:r>
        <w:rPr>
          <w:rFonts w:hint="eastAsia" w:ascii="Times New Roman" w:hAnsi="Times New Roman" w:eastAsia="等线" w:cs="Times New Roman"/>
          <w:color w:val="000000"/>
          <w:kern w:val="2"/>
          <w:sz w:val="20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cohort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. </w:t>
      </w:r>
      <w:r>
        <w:rPr>
          <w:rFonts w:ascii="Times New Roman" w:hAnsi="Times New Roman" w:eastAsia="宋体" w:cs="Times New Roman"/>
          <w:sz w:val="20"/>
          <w:szCs w:val="20"/>
        </w:rPr>
        <w:t>(</w:t>
      </w:r>
      <w:r>
        <w:rPr>
          <w:rFonts w:ascii="Times New Roman" w:hAnsi="Times New Roman" w:eastAsia="宋体" w:cs="Times New Roman"/>
          <w:b/>
          <w:sz w:val="20"/>
          <w:szCs w:val="20"/>
        </w:rPr>
        <w:t>B</w:t>
      </w:r>
      <w:r>
        <w:rPr>
          <w:rFonts w:ascii="Times New Roman" w:hAnsi="Times New Roman" w:eastAsia="宋体" w:cs="Times New Roman"/>
          <w:sz w:val="20"/>
          <w:szCs w:val="20"/>
        </w:rPr>
        <w:t>) Rate of clinical response (CR/PR and SD/PD) to immunotherapy in high- or low-risk groups.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hYzg2NTMwNTk2ZjNhMTllZmIyODZiNTg1NjhlZWIifQ=="/>
  </w:docVars>
  <w:rsids>
    <w:rsidRoot w:val="00815CB4"/>
    <w:rsid w:val="000B3643"/>
    <w:rsid w:val="00413FBC"/>
    <w:rsid w:val="007A1174"/>
    <w:rsid w:val="00815CB4"/>
    <w:rsid w:val="00957E9E"/>
    <w:rsid w:val="00C66C41"/>
    <w:rsid w:val="00CA4DBA"/>
    <w:rsid w:val="13273E6D"/>
    <w:rsid w:val="14C73E1B"/>
    <w:rsid w:val="1D95580F"/>
    <w:rsid w:val="31303364"/>
    <w:rsid w:val="33C71A9C"/>
    <w:rsid w:val="39490C4A"/>
    <w:rsid w:val="3EF64BAA"/>
    <w:rsid w:val="4B223EB8"/>
    <w:rsid w:val="7151699C"/>
    <w:rsid w:val="7B0275F4"/>
    <w:rsid w:val="7E07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765</Characters>
  <Lines>3</Lines>
  <Paragraphs>1</Paragraphs>
  <TotalTime>1</TotalTime>
  <ScaleCrop>false</ScaleCrop>
  <LinksUpToDate>false</LinksUpToDate>
  <CharactersWithSpaces>895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2022-08-28T11:58:00Z</dcterms:created>
  <dc:creator>马可馨</dc:creator>
  <cp:lastModifiedBy>马倩</cp:lastModifiedBy>
  <dcterms:modified xsi:type="dcterms:W3CDTF">2022-09-21T08:29:05Z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6F0898713BC643B68D9D182F72041527</vt:lpwstr>
  </property>
</Properties>
</file>