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372610"/>
            <wp:effectExtent l="0" t="0" r="14605" b="1270"/>
            <wp:docPr id="5" name="图片 5" descr="Supplementary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Fig. S1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Flow chart for this study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.</w:t>
      </w:r>
      <w:bookmarkStart w:id="0" w:name="_GoBack"/>
      <w:bookmarkEnd w:id="0"/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73675" cy="8063865"/>
            <wp:effectExtent l="0" t="0" r="14605" b="13335"/>
            <wp:docPr id="2" name="图片 2" descr="18CRLsRO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8CRLsROC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06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area under the ROC curve of models of 18 CRLs.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73675" cy="2962910"/>
            <wp:effectExtent l="0" t="0" r="14605" b="8890"/>
            <wp:docPr id="3" name="图片 3" descr="4CRLsvs18CRL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CRLsvs18CRL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comparison of 4-CRLs score model and 18-CRLs model.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5273675" cy="2962910"/>
            <wp:effectExtent l="0" t="0" r="14605" b="8890"/>
            <wp:docPr id="4" name="图片 4" descr="Nomogram_Clinic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Nomogram_Clinica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4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The area under the ROC curve incorporating the Nomogram model and clinical characteristics to predict the 1-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A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, 3- (B)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and 5-year(C) overall survival rates of patients with CRC on TCGA training set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2BF30F2F"/>
    <w:rsid w:val="04AC66B9"/>
    <w:rsid w:val="0A3E6CF5"/>
    <w:rsid w:val="0D44359B"/>
    <w:rsid w:val="14887A48"/>
    <w:rsid w:val="25140E84"/>
    <w:rsid w:val="2BF30F2F"/>
    <w:rsid w:val="345B262C"/>
    <w:rsid w:val="4ACC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2022-10-07T05:46:00Z</dcterms:created>
  <dc:creator>破晓</dc:creator>
  <cp:lastModifiedBy>破晓</cp:lastModifiedBy>
  <dcterms:modified xsi:type="dcterms:W3CDTF">2023-02-14T03:08:46Z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0F0E71232D824CECBDD8181900BEBD74</vt:lpwstr>
  </property>
</Properties>
</file>