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6C4B8" w14:textId="0E819DA3" w:rsidR="002A67B5" w:rsidRDefault="00C13A2E" w:rsidP="00567A9B">
      <w:pPr>
        <w:jc w:val="center"/>
        <w:rPr>
          <w:rFonts w:ascii="Times New Roman" w:hAnsi="Times New Roman" w:cs="Times New Roman"/>
          <w:b/>
          <w:bCs/>
          <w:sz w:val="32"/>
          <w:szCs w:val="32"/>
        </w:rPr>
      </w:pPr>
      <w:bookmarkStart w:id="0" w:name="_GoBack"/>
      <w:r w:rsidRPr="00C13A2E">
        <w:rPr>
          <w:rFonts w:ascii="Times New Roman" w:hAnsi="Times New Roman" w:cs="Times New Roman"/>
          <w:b/>
          <w:bCs/>
          <w:color w:val="0A0A0A"/>
          <w:sz w:val="28"/>
          <w:szCs w:val="28"/>
          <w:shd w:val="clear" w:color="auto" w:fill="FEFEFE"/>
        </w:rPr>
        <w:t xml:space="preserve">Bioinformatics screening of colorectal-cancer causing molecular signatures </w:t>
      </w:r>
      <w:r w:rsidR="00567A9B">
        <w:rPr>
          <w:rFonts w:ascii="Times New Roman" w:hAnsi="Times New Roman" w:cs="Times New Roman"/>
          <w:b/>
          <w:bCs/>
          <w:color w:val="0A0A0A"/>
          <w:sz w:val="28"/>
          <w:szCs w:val="28"/>
          <w:shd w:val="clear" w:color="auto" w:fill="FEFEFE"/>
        </w:rPr>
        <w:t xml:space="preserve">through </w:t>
      </w:r>
      <w:r w:rsidRPr="00C13A2E">
        <w:rPr>
          <w:rFonts w:ascii="Times New Roman" w:hAnsi="Times New Roman" w:cs="Times New Roman"/>
          <w:b/>
          <w:bCs/>
          <w:color w:val="0A0A0A"/>
          <w:sz w:val="28"/>
          <w:szCs w:val="28"/>
          <w:shd w:val="clear" w:color="auto" w:fill="FEFEFE"/>
        </w:rPr>
        <w:t xml:space="preserve">gene expression profiles to discover therapeutic </w:t>
      </w:r>
      <w:r w:rsidR="00567A9B">
        <w:rPr>
          <w:rFonts w:ascii="Times New Roman" w:hAnsi="Times New Roman" w:cs="Times New Roman"/>
          <w:b/>
          <w:bCs/>
          <w:color w:val="0A0A0A"/>
          <w:sz w:val="28"/>
          <w:szCs w:val="28"/>
          <w:shd w:val="clear" w:color="auto" w:fill="FEFEFE"/>
        </w:rPr>
        <w:t xml:space="preserve">targets and candidate </w:t>
      </w:r>
      <w:r w:rsidRPr="00C13A2E">
        <w:rPr>
          <w:rFonts w:ascii="Times New Roman" w:hAnsi="Times New Roman" w:cs="Times New Roman"/>
          <w:b/>
          <w:bCs/>
          <w:color w:val="0A0A0A"/>
          <w:sz w:val="28"/>
          <w:szCs w:val="28"/>
          <w:shd w:val="clear" w:color="auto" w:fill="FEFEFE"/>
        </w:rPr>
        <w:t>agents</w:t>
      </w:r>
    </w:p>
    <w:p w14:paraId="58451598" w14:textId="77777777" w:rsidR="002A67B5" w:rsidRDefault="002A67B5" w:rsidP="00EA7154">
      <w:pPr>
        <w:spacing w:line="360" w:lineRule="auto"/>
        <w:jc w:val="center"/>
        <w:rPr>
          <w:rFonts w:ascii="Times New Roman" w:hAnsi="Times New Roman" w:cs="Times New Roman"/>
          <w:b/>
          <w:bCs/>
          <w:sz w:val="32"/>
          <w:szCs w:val="32"/>
        </w:rPr>
      </w:pPr>
    </w:p>
    <w:p w14:paraId="0F539DB6" w14:textId="113533CC" w:rsidR="00EA7154" w:rsidRPr="002A67B5" w:rsidRDefault="00C07707" w:rsidP="00EA7154">
      <w:pPr>
        <w:spacing w:line="360" w:lineRule="auto"/>
        <w:jc w:val="center"/>
        <w:rPr>
          <w:rFonts w:ascii="Times New Roman" w:hAnsi="Times New Roman" w:cs="Times New Roman"/>
          <w:b/>
          <w:bCs/>
          <w:sz w:val="36"/>
          <w:szCs w:val="36"/>
        </w:rPr>
      </w:pPr>
      <w:r>
        <w:rPr>
          <w:rFonts w:ascii="Times New Roman" w:hAnsi="Times New Roman" w:cs="Times New Roman"/>
          <w:b/>
          <w:bCs/>
          <w:sz w:val="36"/>
          <w:szCs w:val="36"/>
        </w:rPr>
        <w:t>[</w:t>
      </w:r>
      <w:r w:rsidR="00EA7154" w:rsidRPr="002A67B5">
        <w:rPr>
          <w:rFonts w:ascii="Times New Roman" w:hAnsi="Times New Roman" w:cs="Times New Roman"/>
          <w:b/>
          <w:bCs/>
          <w:sz w:val="36"/>
          <w:szCs w:val="36"/>
        </w:rPr>
        <w:t>Supplementary File</w:t>
      </w:r>
      <w:r>
        <w:rPr>
          <w:rFonts w:ascii="Times New Roman" w:hAnsi="Times New Roman" w:cs="Times New Roman"/>
          <w:b/>
          <w:bCs/>
          <w:sz w:val="36"/>
          <w:szCs w:val="36"/>
        </w:rPr>
        <w:t>]</w:t>
      </w:r>
      <w:r w:rsidR="00EA7154" w:rsidRPr="002A67B5">
        <w:rPr>
          <w:rFonts w:ascii="Times New Roman" w:hAnsi="Times New Roman" w:cs="Times New Roman"/>
          <w:b/>
          <w:bCs/>
          <w:sz w:val="36"/>
          <w:szCs w:val="36"/>
        </w:rPr>
        <w:t xml:space="preserve"> </w:t>
      </w:r>
    </w:p>
    <w:p w14:paraId="6EF6C312" w14:textId="123DE3B5" w:rsidR="00B517F4" w:rsidRPr="00926E8F" w:rsidRDefault="00B517F4" w:rsidP="00494A7F">
      <w:pPr>
        <w:spacing w:line="360" w:lineRule="auto"/>
        <w:rPr>
          <w:rFonts w:ascii="Times New Roman" w:hAnsi="Times New Roman" w:cs="Times New Roman"/>
          <w:b/>
          <w:bCs/>
          <w:sz w:val="24"/>
          <w:szCs w:val="24"/>
        </w:rPr>
      </w:pPr>
    </w:p>
    <w:tbl>
      <w:tblPr>
        <w:tblStyle w:val="TableGrid"/>
        <w:tblW w:w="9854" w:type="dxa"/>
        <w:jc w:val="center"/>
        <w:tblLayout w:type="fixed"/>
        <w:tblLook w:val="04A0" w:firstRow="1" w:lastRow="0" w:firstColumn="1" w:lastColumn="0" w:noHBand="0" w:noVBand="1"/>
      </w:tblPr>
      <w:tblGrid>
        <w:gridCol w:w="2510"/>
        <w:gridCol w:w="838"/>
        <w:gridCol w:w="1218"/>
        <w:gridCol w:w="1299"/>
        <w:gridCol w:w="320"/>
        <w:gridCol w:w="3340"/>
        <w:gridCol w:w="329"/>
      </w:tblGrid>
      <w:tr w:rsidR="00B525CE" w:rsidRPr="00D63E2A" w14:paraId="2871ECB0" w14:textId="77777777" w:rsidTr="00480378">
        <w:trPr>
          <w:gridAfter w:val="1"/>
          <w:wAfter w:w="329" w:type="dxa"/>
          <w:jc w:val="center"/>
        </w:trPr>
        <w:tc>
          <w:tcPr>
            <w:tcW w:w="9525" w:type="dxa"/>
            <w:gridSpan w:val="6"/>
            <w:tcBorders>
              <w:top w:val="nil"/>
              <w:left w:val="nil"/>
              <w:bottom w:val="single" w:sz="4" w:space="0" w:color="auto"/>
              <w:right w:val="nil"/>
            </w:tcBorders>
          </w:tcPr>
          <w:p w14:paraId="19929BDB" w14:textId="1404DDD8" w:rsidR="00B525CE" w:rsidRPr="009A71E2" w:rsidRDefault="00B525CE" w:rsidP="009A71E2">
            <w:pPr>
              <w:pStyle w:val="NoSpacing"/>
              <w:rPr>
                <w:b/>
                <w:bCs/>
                <w:sz w:val="28"/>
                <w:szCs w:val="28"/>
              </w:rPr>
            </w:pPr>
            <w:r w:rsidRPr="009A71E2">
              <w:rPr>
                <w:b/>
                <w:bCs/>
                <w:sz w:val="28"/>
                <w:szCs w:val="28"/>
              </w:rPr>
              <w:t>Table S</w:t>
            </w:r>
            <w:r w:rsidR="0062252E" w:rsidRPr="009A71E2">
              <w:rPr>
                <w:b/>
                <w:bCs/>
                <w:sz w:val="28"/>
                <w:szCs w:val="28"/>
              </w:rPr>
              <w:t>1</w:t>
            </w:r>
            <w:r w:rsidR="0038415F">
              <w:rPr>
                <w:b/>
                <w:bCs/>
                <w:sz w:val="28"/>
                <w:szCs w:val="28"/>
              </w:rPr>
              <w:t>:</w:t>
            </w:r>
            <w:r w:rsidRPr="009A71E2">
              <w:rPr>
                <w:b/>
                <w:bCs/>
                <w:sz w:val="28"/>
                <w:szCs w:val="28"/>
              </w:rPr>
              <w:t xml:space="preserve"> Different lists of hub-genes </w:t>
            </w:r>
            <w:r w:rsidR="00C07707" w:rsidRPr="009A71E2">
              <w:rPr>
                <w:b/>
                <w:bCs/>
                <w:sz w:val="28"/>
                <w:szCs w:val="28"/>
              </w:rPr>
              <w:t>[</w:t>
            </w:r>
            <w:r w:rsidRPr="009A71E2">
              <w:rPr>
                <w:b/>
                <w:bCs/>
                <w:sz w:val="28"/>
                <w:szCs w:val="28"/>
              </w:rPr>
              <w:t>HubGs</w:t>
            </w:r>
            <w:r w:rsidR="00C07707" w:rsidRPr="009A71E2">
              <w:rPr>
                <w:b/>
                <w:bCs/>
                <w:sz w:val="28"/>
                <w:szCs w:val="28"/>
              </w:rPr>
              <w:t>]</w:t>
            </w:r>
            <w:r w:rsidRPr="009A71E2">
              <w:rPr>
                <w:b/>
                <w:bCs/>
                <w:sz w:val="28"/>
                <w:szCs w:val="28"/>
              </w:rPr>
              <w:t xml:space="preserve"> for colorectal cancer </w:t>
            </w:r>
            <w:r w:rsidR="00C07707" w:rsidRPr="009A71E2">
              <w:rPr>
                <w:b/>
                <w:bCs/>
                <w:sz w:val="28"/>
                <w:szCs w:val="28"/>
              </w:rPr>
              <w:t>[</w:t>
            </w:r>
            <w:r w:rsidRPr="009A71E2">
              <w:rPr>
                <w:b/>
                <w:bCs/>
                <w:sz w:val="28"/>
                <w:szCs w:val="28"/>
              </w:rPr>
              <w:t>CRC</w:t>
            </w:r>
            <w:r w:rsidR="00C07707" w:rsidRPr="009A71E2">
              <w:rPr>
                <w:b/>
                <w:bCs/>
                <w:sz w:val="28"/>
                <w:szCs w:val="28"/>
              </w:rPr>
              <w:t>]</w:t>
            </w:r>
            <w:r w:rsidRPr="009A71E2">
              <w:rPr>
                <w:b/>
                <w:bCs/>
                <w:sz w:val="28"/>
                <w:szCs w:val="28"/>
              </w:rPr>
              <w:t xml:space="preserve"> published in different articles</w:t>
            </w:r>
          </w:p>
        </w:tc>
      </w:tr>
      <w:tr w:rsidR="00B525CE" w:rsidRPr="00D63E2A" w14:paraId="53E6D172" w14:textId="77777777" w:rsidTr="00480378">
        <w:trPr>
          <w:gridAfter w:val="1"/>
          <w:wAfter w:w="329" w:type="dxa"/>
          <w:jc w:val="center"/>
        </w:trPr>
        <w:tc>
          <w:tcPr>
            <w:tcW w:w="2510" w:type="dxa"/>
            <w:tcBorders>
              <w:top w:val="single" w:sz="4" w:space="0" w:color="auto"/>
            </w:tcBorders>
          </w:tcPr>
          <w:p w14:paraId="3591E465" w14:textId="02BEFC4C" w:rsidR="00B525CE" w:rsidRPr="00D63E2A" w:rsidRDefault="00B525CE" w:rsidP="00B73B2D">
            <w:pPr>
              <w:rPr>
                <w:rFonts w:ascii="Times New Roman" w:hAnsi="Times New Roman" w:cs="Times New Roman"/>
                <w:b/>
                <w:sz w:val="22"/>
              </w:rPr>
            </w:pPr>
            <w:r w:rsidRPr="00D63E2A">
              <w:rPr>
                <w:rFonts w:ascii="Times New Roman" w:hAnsi="Times New Roman" w:cs="Times New Roman"/>
                <w:b/>
                <w:sz w:val="22"/>
              </w:rPr>
              <w:t xml:space="preserve">Reference </w:t>
            </w:r>
          </w:p>
        </w:tc>
        <w:tc>
          <w:tcPr>
            <w:tcW w:w="3675" w:type="dxa"/>
            <w:gridSpan w:val="4"/>
            <w:tcBorders>
              <w:top w:val="single" w:sz="4" w:space="0" w:color="auto"/>
            </w:tcBorders>
          </w:tcPr>
          <w:p w14:paraId="38F3C2F8" w14:textId="022914D6" w:rsidR="00B525CE" w:rsidRPr="00D63E2A" w:rsidRDefault="00B525CE" w:rsidP="00B73B2D">
            <w:pPr>
              <w:rPr>
                <w:rFonts w:ascii="Times New Roman" w:hAnsi="Times New Roman" w:cs="Times New Roman"/>
                <w:b/>
                <w:sz w:val="22"/>
              </w:rPr>
            </w:pPr>
            <w:r w:rsidRPr="00D63E2A">
              <w:rPr>
                <w:rFonts w:ascii="Times New Roman" w:hAnsi="Times New Roman" w:cs="Times New Roman"/>
                <w:b/>
                <w:sz w:val="22"/>
              </w:rPr>
              <w:t xml:space="preserve">Lists of HubGs </w:t>
            </w:r>
          </w:p>
        </w:tc>
        <w:tc>
          <w:tcPr>
            <w:tcW w:w="3340" w:type="dxa"/>
            <w:tcBorders>
              <w:top w:val="single" w:sz="4" w:space="0" w:color="auto"/>
            </w:tcBorders>
          </w:tcPr>
          <w:p w14:paraId="7A8B7A7C" w14:textId="6230C73B" w:rsidR="00B525CE" w:rsidRPr="00D63E2A" w:rsidRDefault="00B525CE" w:rsidP="009B172D">
            <w:pPr>
              <w:rPr>
                <w:rFonts w:ascii="Times New Roman" w:hAnsi="Times New Roman" w:cs="Times New Roman"/>
                <w:b/>
                <w:sz w:val="22"/>
              </w:rPr>
            </w:pPr>
            <w:r w:rsidRPr="00D63E2A">
              <w:rPr>
                <w:rFonts w:ascii="Times New Roman" w:hAnsi="Times New Roman" w:cs="Times New Roman"/>
                <w:b/>
                <w:sz w:val="22"/>
              </w:rPr>
              <w:t>Suggested drugs</w:t>
            </w:r>
          </w:p>
        </w:tc>
      </w:tr>
      <w:tr w:rsidR="00B525CE" w:rsidRPr="00D63E2A" w14:paraId="060D0993" w14:textId="77777777" w:rsidTr="00480378">
        <w:trPr>
          <w:gridAfter w:val="1"/>
          <w:wAfter w:w="329" w:type="dxa"/>
          <w:jc w:val="center"/>
        </w:trPr>
        <w:tc>
          <w:tcPr>
            <w:tcW w:w="2510" w:type="dxa"/>
          </w:tcPr>
          <w:p w14:paraId="58FDD98E" w14:textId="1E89ACC6" w:rsidR="00B525CE" w:rsidRPr="003D0CBF" w:rsidRDefault="00B525CE" w:rsidP="00B525CE">
            <w:pPr>
              <w:rPr>
                <w:rFonts w:ascii="Times New Roman" w:hAnsi="Times New Roman" w:cs="Times New Roman"/>
                <w:noProof/>
                <w:sz w:val="22"/>
              </w:rPr>
            </w:pPr>
            <w:r w:rsidRPr="003D0CBF">
              <w:rPr>
                <w:rFonts w:ascii="Times New Roman" w:hAnsi="Times New Roman" w:cs="Times New Roman"/>
                <w:sz w:val="22"/>
              </w:rPr>
              <w:t>Dong et al., 2019</w:t>
            </w:r>
            <w:r w:rsidRPr="003D0CBF">
              <w:rPr>
                <w:rFonts w:ascii="Times New Roman" w:hAnsi="Times New Roman" w:cs="Times New Roman"/>
                <w:sz w:val="22"/>
              </w:rPr>
              <w:fldChar w:fldCharType="begin" w:fldLock="1"/>
            </w:r>
            <w:r w:rsidR="00EE3A4D">
              <w:rPr>
                <w:rFonts w:ascii="Times New Roman" w:hAnsi="Times New Roman" w:cs="Times New Roman"/>
                <w:sz w:val="22"/>
              </w:rPr>
              <w:instrText>ADDIN CSL_CITATION {"citationItems":[{"id":"ITEM-1","itemData":{"DOI":"10.1177/1534735419864434","ISSN":"1552695X","PMID":"31370719","abstract":"Objective: To identify prognostic biomarkers and drugs that target them in colon adenocarcinoma (COAD) based on the Cancer Genome Atlas (TCGA) and Gene Expression Omnibus databases. Methods: The TCGA dataset was used to identify the top 50 upregulated differentially expressed genes (DEGs), and Gene Expression Omnibus profiles were used for validation. Survival analyses were conducted with the TCGA dataset using the RTCGAToolbox package in the R software environment. Drugs targeting the candidate prognostic biomarkers were searched in the DrugBank and herbal databases. Results: Among the top 50 upregulated DEGs in patients with COAD in the TCGA dataset, the Wnt signaling pathway and cytokine-cytokine receptor interactions and pathways in cancer Kyoto Encyclopedia of Genes and Genomes pathway analysis were enriched in DEGs. Tissue development and regulation of cell proliferation were the main Gene Ontology biological processes associated with upregulated DEGs. MYC and KLK6 were overexpressed in tumors validated in the TCGA, GSE41328, and GSE113513 databases (all P &lt;.001) and were significantly associated with overall survival in patients with COAD (P =.021 and P =.047). Nadroparin and benzamidine were identified as inhibitors of MYC and KLK6 in DrugBank, and 8 herbs targeting MYC, including Da Huang (Radix Rhei Et Rhizome), Hu Zhang (Polygoni Cuspidati Rhizoma Et Radix), Huang Lian (Coptidis Rhizoma), Ban Xia (Arum Ternatum Thunb), Tu Fu Ling (Smilacis Glabrae Rhixoma), Lei Gong Teng (Tripterygii Radix), Er Cha (Catechu), and Guang Zao (Choerospondiatis Fructus), were identified. Conclusion: MYC and KLK6 may serve as candidate prognostic predictors and therapeutic targets in patients with COAD.","author":[{"dropping-particle":"","family":"Dong","given":"Shu","non-dropping-particle":"","parse-names":false,"suffix":""},{"dropping-particle":"","family":"Ding","given":"Zhimin","non-dropping-particle":"","parse-names":false,"suffix":""},{"dropping-particle":"","family":"Zhang","given":"Hao","non-dropping-particle":"","parse-names":false,"suffix":""},{"dropping-particle":"","family":"Chen","given":"Qiwen","non-dropping-particle":"","parse-names":false,"suffix":""}],"container-title":"Integrative Cancer Therapies","id":"ITEM-1","issued":{"date-parts":[["2019"]]},"title":"Identification of Prognostic Biomarkers and Drugs Targeting Them in Colon Adenocarcinoma: A Bioinformatic Analysis","type":"article-journal","volume":"18"},"uris":["http://www.mendeley.com/documents/?uuid=14af5828-b71e-4b8d-86c8-7b1081a4f0c9"]}],"mendeley":{"formattedCitation":"[1]","manualFormatting":"[1]","plainTextFormattedCitation":"[1]","previouslyFormattedCitation":"[1]"},"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1</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1D8FFFF1" w14:textId="77777777" w:rsidR="00B525CE" w:rsidRPr="005D091C" w:rsidRDefault="00B525CE" w:rsidP="00B525CE">
            <w:pPr>
              <w:rPr>
                <w:rFonts w:ascii="Times New Roman" w:hAnsi="Times New Roman" w:cs="Times New Roman"/>
                <w:i/>
                <w:iCs/>
                <w:sz w:val="22"/>
              </w:rPr>
            </w:pPr>
            <w:r w:rsidRPr="005D091C">
              <w:rPr>
                <w:rFonts w:ascii="Times New Roman" w:hAnsi="Times New Roman" w:cs="Times New Roman"/>
                <w:i/>
                <w:iCs/>
                <w:sz w:val="22"/>
              </w:rPr>
              <w:t>MYC, KLK6</w:t>
            </w:r>
          </w:p>
        </w:tc>
        <w:tc>
          <w:tcPr>
            <w:tcW w:w="3340" w:type="dxa"/>
          </w:tcPr>
          <w:p w14:paraId="385A94D9" w14:textId="77777777" w:rsidR="00B525CE" w:rsidRPr="00D63E2A" w:rsidRDefault="00B525CE" w:rsidP="00B525CE">
            <w:pPr>
              <w:rPr>
                <w:rFonts w:ascii="Times New Roman" w:hAnsi="Times New Roman" w:cs="Times New Roman"/>
                <w:sz w:val="22"/>
              </w:rPr>
            </w:pPr>
            <w:r w:rsidRPr="00D63E2A">
              <w:rPr>
                <w:rFonts w:ascii="Times New Roman" w:hAnsi="Times New Roman" w:cs="Times New Roman"/>
                <w:sz w:val="22"/>
              </w:rPr>
              <w:t>Nadroparin, benzamidine</w:t>
            </w:r>
          </w:p>
        </w:tc>
      </w:tr>
      <w:tr w:rsidR="00B525CE" w:rsidRPr="00D63E2A" w14:paraId="1C11D095" w14:textId="77777777" w:rsidTr="00480378">
        <w:trPr>
          <w:gridAfter w:val="1"/>
          <w:wAfter w:w="329" w:type="dxa"/>
          <w:jc w:val="center"/>
        </w:trPr>
        <w:tc>
          <w:tcPr>
            <w:tcW w:w="2510" w:type="dxa"/>
          </w:tcPr>
          <w:p w14:paraId="3D34FD7B" w14:textId="32D463C6"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Rahman et al., 2020</w:t>
            </w:r>
            <w:r w:rsidRPr="003D0CBF">
              <w:rPr>
                <w:rFonts w:ascii="Times New Roman" w:hAnsi="Times New Roman" w:cs="Times New Roman"/>
                <w:sz w:val="22"/>
              </w:rPr>
              <w:fldChar w:fldCharType="begin" w:fldLock="1"/>
            </w:r>
            <w:r w:rsidR="00EE3A4D">
              <w:rPr>
                <w:rFonts w:ascii="Times New Roman" w:hAnsi="Times New Roman" w:cs="Times New Roman"/>
                <w:sz w:val="22"/>
              </w:rPr>
              <w:instrText>ADDIN CSL_CITATION {"citationItems":[{"id":"ITEM-1","itemData":{"DOI":"10.1016/j.imu.2020.100376","ISSN":"23529148","abstract":"Background: Endometrial cancer (EC) is a common female genital tract malignancy of women, and colorectal cancer (CRC) is one of its risk factors. However, the mutual genes and molecular pathways shared by these two diseases have not yet been ascertained. Objectives: In the present study, we aimed to reveal candidate biomarkers and molecular interactions between CRC and EC to understand the common disease mechanism. Materials and methods: We performed differential analysis of CRC and EC microarray data by employing limma to reveal differentially expressed genes (DEGs). Then, we used mutual DEGs between these diseases to obtain significant biological processes and pathways by performing enrichment analyses. In addition, to reveal candidate biomarkers and regulatory transcripts, we analyzed different networks using bioinformatics tools. Results: We identified 286 overlapped DEGs between CRC and EC transcriptomes datasets. Enrichment analysis of these aberrantly expressed genes revealed that they were significantly enriched in cancer pathways signaling. Based on topological analysis of the PPI network, we revealed 11 hub proteins including JUN, MYC, FOS, EGR1, LEF1, CDC42, CTGF, ADAM10, CYR61, FOXA1, and UBE2I. We also identified seven significant transcription factors (TFs) namely FOXC1, GATA2, YY1, E2F1, CREB1, HINFP, and FOXL1 and five miRNAs including hsa-miR-124-3p, hsa-miR-106b-5p, hsa-miR-501-3p, hsa-miR-29b-3p, and hsa-miR-145-5p that regulate expressions of the DEGs. Conclusion: We have identified novel biomarkers and molecular pathways shared by CRC and EC that will help to understand underlying common molecular mechanisms and to develop potential therapeutics.","author":[{"dropping-particle":"","family":"Rahman","given":"Foyzur","non-dropping-particle":"","parse-names":false,"suffix":""},{"dropping-particle":"","family":"Mahmud","given":"Prince","non-dropping-particle":"","parse-names":false,"suffix":""},{"dropping-particle":"","family":"Karim","given":"Rezaul","non-dropping-particle":"","parse-names":false,"suffix":""},{"dropping-particle":"","family":"Hossain","given":"Tofazzal","non-dropping-particle":"","parse-names":false,"suffix":""},{"dropping-particle":"","family":"Islam","given":"Farhadul","non-dropping-particle":"","parse-names":false,"suffix":""}],"container-title":"Informatics in Medicine Unlocked","id":"ITEM-1","issued":{"date-parts":[["2020"]]},"title":"Determination of novel biomarkers and pathways shared by colorectal cancer and endometrial cancer via comprehensive bioinformatics analysis","type":"article-journal","volume":"20"},"uris":["http://www.mendeley.com/documents/?uuid=d9c7d1d5-d9b8-4d07-b935-f4f1640b6115"]}],"mendeley":{"formattedCitation":"[2]","plainTextFormattedCitation":"[2]","previouslyFormattedCitation":"[2]"},"properties":{"noteIndex":0},"schema":"https://github.com/citation-style-language/schema/raw/master/csl-citation.json"}</w:instrText>
            </w:r>
            <w:r w:rsidRPr="003D0CBF">
              <w:rPr>
                <w:rFonts w:ascii="Times New Roman" w:hAnsi="Times New Roman" w:cs="Times New Roman"/>
                <w:sz w:val="22"/>
              </w:rPr>
              <w:fldChar w:fldCharType="separate"/>
            </w:r>
            <w:r w:rsidR="00EE3A4D" w:rsidRPr="00EE3A4D">
              <w:rPr>
                <w:rFonts w:ascii="Times New Roman" w:hAnsi="Times New Roman" w:cs="Times New Roman"/>
                <w:noProof/>
                <w:sz w:val="22"/>
              </w:rPr>
              <w:t>[2]</w:t>
            </w:r>
            <w:r w:rsidRPr="003D0CBF">
              <w:rPr>
                <w:rFonts w:ascii="Times New Roman" w:hAnsi="Times New Roman" w:cs="Times New Roman"/>
                <w:sz w:val="22"/>
              </w:rPr>
              <w:fldChar w:fldCharType="end"/>
            </w:r>
          </w:p>
        </w:tc>
        <w:tc>
          <w:tcPr>
            <w:tcW w:w="3675" w:type="dxa"/>
            <w:gridSpan w:val="4"/>
          </w:tcPr>
          <w:p w14:paraId="0A6C5509" w14:textId="018353AB" w:rsidR="00B525CE" w:rsidRPr="005D091C" w:rsidRDefault="00B525CE" w:rsidP="00B525CE">
            <w:pPr>
              <w:rPr>
                <w:rFonts w:ascii="Times New Roman" w:hAnsi="Times New Roman" w:cs="Times New Roman"/>
                <w:i/>
                <w:iCs/>
                <w:sz w:val="22"/>
              </w:rPr>
            </w:pPr>
            <w:r w:rsidRPr="005D091C">
              <w:rPr>
                <w:rFonts w:ascii="Times New Roman" w:hAnsi="Times New Roman" w:cs="Times New Roman"/>
                <w:i/>
                <w:iCs/>
                <w:sz w:val="22"/>
              </w:rPr>
              <w:t>JUN, MYC, FOS, EGR1, LEF1, CDC42, CTGF, ADAM10, CYR61, FOXA1, UBE2I</w:t>
            </w:r>
          </w:p>
        </w:tc>
        <w:tc>
          <w:tcPr>
            <w:tcW w:w="3340" w:type="dxa"/>
          </w:tcPr>
          <w:p w14:paraId="7906FC81" w14:textId="77777777" w:rsidR="00B525CE" w:rsidRPr="00D63E2A" w:rsidRDefault="00B525CE" w:rsidP="00B525CE">
            <w:pPr>
              <w:rPr>
                <w:rFonts w:ascii="Times New Roman" w:hAnsi="Times New Roman" w:cs="Times New Roman"/>
                <w:sz w:val="22"/>
              </w:rPr>
            </w:pPr>
          </w:p>
        </w:tc>
      </w:tr>
      <w:tr w:rsidR="00B525CE" w:rsidRPr="00D63E2A" w14:paraId="710BF979" w14:textId="77777777" w:rsidTr="00480378">
        <w:trPr>
          <w:gridAfter w:val="1"/>
          <w:wAfter w:w="329" w:type="dxa"/>
          <w:jc w:val="center"/>
        </w:trPr>
        <w:tc>
          <w:tcPr>
            <w:tcW w:w="2510" w:type="dxa"/>
          </w:tcPr>
          <w:p w14:paraId="1CAC3CD6" w14:textId="72D3EC36" w:rsidR="00B525CE" w:rsidRPr="003D0CBF" w:rsidRDefault="00B525CE" w:rsidP="00B525CE">
            <w:pPr>
              <w:rPr>
                <w:rFonts w:ascii="Times New Roman" w:hAnsi="Times New Roman" w:cs="Times New Roman"/>
                <w:sz w:val="22"/>
              </w:rPr>
            </w:pPr>
            <w:r w:rsidRPr="00EE3A4D">
              <w:rPr>
                <w:rFonts w:ascii="Times New Roman" w:hAnsi="Times New Roman" w:cs="Times New Roman"/>
                <w:sz w:val="22"/>
              </w:rPr>
              <w:t>Xu et al., 2020</w:t>
            </w:r>
            <w:r w:rsidRPr="00EE3A4D">
              <w:rPr>
                <w:rFonts w:ascii="Times New Roman" w:hAnsi="Times New Roman" w:cs="Times New Roman"/>
                <w:sz w:val="22"/>
              </w:rPr>
              <w:fldChar w:fldCharType="begin" w:fldLock="1"/>
            </w:r>
            <w:r w:rsidR="00EE3A4D">
              <w:rPr>
                <w:rFonts w:ascii="Times New Roman" w:hAnsi="Times New Roman" w:cs="Times New Roman"/>
                <w:sz w:val="22"/>
              </w:rPr>
              <w:instrText>ADDIN CSL_CITATION {"citationItems":[{"id":"ITEM-1","itemData":{"DOI":"10.1155/2020/8082697","ISSN":"23146141","PMID":"32462020","abstract":"Colorectal cancer, a malignant neoplasm that occurs in the colorectal mucosa, is one of the most common types of gastrointestinal cancer. Colorectal cancer has been studied extensively, but the molecular mechanisms of this malignancy have not been characterized. This study identified and verified core genes associated with colorectal cancer using integrated bioinformatics analysis. Three gene expression profiles (GSE15781, GSE110223, and GSE110224) were downloaded from the Gene Expression Omnibus (GEO) databases. A total of 87 common differentially expressed genes (DEGs) among GSE15781, GSE110223, and GSE110224 were identified, including 19 upregulated genes and 68 downregulated genes. Gene ontology and Kyoto Encyclopedia of Genes and Genomes pathway enrichment analysis was performed for common DEGs using clusterProfiler. These common DEGs were significantly involved in cancer-associated functions and signaling pathways. Then, we constructed protein-protein interaction networks of these common DEGs using Cytoscape software, which resulted in the identification of the following 10 core genes: SST, PYY, CXCL1, CXCL8, CXCL3, ZG16, AQP8, CLCA4, MS4A12, and GUCA2A. Analysis using qRT-PCR has shown that SST, CXCL8, and MS4A12 were significant differentially expressed between colorectal cancer tissues and normal colorectal tissues (P&lt;0.05). Gene Expression Profiling Interactive Analysis (GEPIA) overall survival (OS) has shown that low expressions of AQP8, ZG16, CXCL3, and CXCL8 may predict poor survival outcome in colorectal cancer. In conclusion, the core genes identified in this study contributed to the understanding of the molecular mechanisms involved in colorectal cancer development and may be targets for early diagnosis, prevention, and treatment of colorectal cancer.","author":[{"dropping-particle":"","family":"Xu","given":"Houxi","non-dropping-particle":"","parse-names":false,"suffix":""},{"dropping-particle":"","family":"Ma","given":"Yuzhu","non-dropping-particle":"","parse-names":false,"suffix":""},{"dropping-particle":"","family":"Zhang","given":"Jinzhi","non-dropping-particle":"","parse-names":false,"suffix":""},{"dropping-particle":"","family":"Gu","given":"Jialin","non-dropping-particle":"","parse-names":false,"suffix":""},{"dropping-particle":"","family":"Jing","given":"Xinyue","non-dropping-particle":"","parse-names":false,"suffix":""},{"dropping-particle":"","family":"Lu","given":"Shengfeng","non-dropping-particle":"","parse-names":false,"suffix":""},{"dropping-particle":"","family":"Fu","given":"Shuping","non-dropping-particle":"","parse-names":false,"suffix":""},{"dropping-particle":"","family":"Huo","given":"Jiege","non-dropping-particle":"","parse-names":false,"suffix":""}],"container-title":"BioMed Research International","id":"ITEM-1","issued":{"date-parts":[["2020"]]},"title":"Identification and Verification of Core Genes in Colorectal Cancer","type":"article-journal","volume":"2020"},"uris":["http://www.mendeley.com/documents/?uuid=411ea7c4-6c1e-4ef6-94c1-c15760aa48a2"]}],"mendeley":{"formattedCitation":"[3]","plainTextFormattedCitation":"[3]","previouslyFormattedCitation":"[3]"},"properties":{"noteIndex":0},"schema":"https://github.com/citation-style-language/schema/raw/master/csl-citation.json"}</w:instrText>
            </w:r>
            <w:r w:rsidRPr="00EE3A4D">
              <w:rPr>
                <w:rFonts w:ascii="Times New Roman" w:hAnsi="Times New Roman" w:cs="Times New Roman"/>
                <w:sz w:val="22"/>
              </w:rPr>
              <w:fldChar w:fldCharType="separate"/>
            </w:r>
            <w:r w:rsidR="00EE3A4D" w:rsidRPr="00EE3A4D">
              <w:rPr>
                <w:rFonts w:ascii="Times New Roman" w:hAnsi="Times New Roman" w:cs="Times New Roman"/>
                <w:noProof/>
                <w:sz w:val="22"/>
              </w:rPr>
              <w:t>[3]</w:t>
            </w:r>
            <w:r w:rsidRPr="00EE3A4D">
              <w:rPr>
                <w:rFonts w:ascii="Times New Roman" w:hAnsi="Times New Roman" w:cs="Times New Roman"/>
                <w:sz w:val="22"/>
              </w:rPr>
              <w:fldChar w:fldCharType="end"/>
            </w:r>
          </w:p>
        </w:tc>
        <w:tc>
          <w:tcPr>
            <w:tcW w:w="3675" w:type="dxa"/>
            <w:gridSpan w:val="4"/>
          </w:tcPr>
          <w:p w14:paraId="0F36B026" w14:textId="77777777" w:rsidR="00B525CE" w:rsidRPr="005D091C" w:rsidRDefault="00B525CE" w:rsidP="00B525CE">
            <w:pPr>
              <w:rPr>
                <w:rFonts w:ascii="Times New Roman" w:hAnsi="Times New Roman" w:cs="Times New Roman"/>
                <w:i/>
                <w:iCs/>
                <w:sz w:val="22"/>
              </w:rPr>
            </w:pPr>
            <w:r w:rsidRPr="005D091C">
              <w:rPr>
                <w:rFonts w:ascii="Times New Roman" w:hAnsi="Times New Roman" w:cs="Times New Roman"/>
                <w:i/>
                <w:iCs/>
                <w:sz w:val="22"/>
              </w:rPr>
              <w:t>SST, PYY, CXCL1, CXCL8, CXCL3,</w:t>
            </w:r>
          </w:p>
          <w:p w14:paraId="4010665D" w14:textId="3A888876" w:rsidR="00B525CE" w:rsidRPr="005D091C" w:rsidRDefault="00B525CE" w:rsidP="00B525CE">
            <w:pPr>
              <w:rPr>
                <w:rFonts w:ascii="Times New Roman" w:hAnsi="Times New Roman" w:cs="Times New Roman"/>
                <w:i/>
                <w:iCs/>
                <w:sz w:val="22"/>
              </w:rPr>
            </w:pPr>
            <w:r w:rsidRPr="005D091C">
              <w:rPr>
                <w:rFonts w:ascii="Times New Roman" w:hAnsi="Times New Roman" w:cs="Times New Roman"/>
                <w:i/>
                <w:iCs/>
                <w:sz w:val="22"/>
              </w:rPr>
              <w:t>ZG16, AQP8, CLCA4, MS4A12, GUCA2A</w:t>
            </w:r>
          </w:p>
        </w:tc>
        <w:tc>
          <w:tcPr>
            <w:tcW w:w="3340" w:type="dxa"/>
          </w:tcPr>
          <w:p w14:paraId="5033DF57" w14:textId="77777777" w:rsidR="00B525CE" w:rsidRPr="00D63E2A" w:rsidRDefault="00B525CE" w:rsidP="00B525CE">
            <w:pPr>
              <w:rPr>
                <w:rFonts w:ascii="Times New Roman" w:hAnsi="Times New Roman" w:cs="Times New Roman"/>
                <w:sz w:val="22"/>
              </w:rPr>
            </w:pPr>
          </w:p>
        </w:tc>
      </w:tr>
      <w:tr w:rsidR="00B525CE" w:rsidRPr="00D63E2A" w14:paraId="7F9BDF6F" w14:textId="77777777" w:rsidTr="00480378">
        <w:trPr>
          <w:gridAfter w:val="1"/>
          <w:wAfter w:w="329" w:type="dxa"/>
          <w:jc w:val="center"/>
        </w:trPr>
        <w:tc>
          <w:tcPr>
            <w:tcW w:w="2510" w:type="dxa"/>
          </w:tcPr>
          <w:p w14:paraId="736E943C" w14:textId="285F95F8" w:rsidR="00B525CE" w:rsidRPr="003D0CBF" w:rsidRDefault="00B525CE" w:rsidP="00B525CE">
            <w:pPr>
              <w:rPr>
                <w:rFonts w:ascii="Times New Roman" w:hAnsi="Times New Roman" w:cs="Times New Roman"/>
                <w:sz w:val="22"/>
              </w:rPr>
            </w:pPr>
            <w:r w:rsidRPr="00EE3A4D">
              <w:rPr>
                <w:rFonts w:ascii="Times New Roman" w:hAnsi="Times New Roman" w:cs="Times New Roman"/>
                <w:sz w:val="22"/>
              </w:rPr>
              <w:t>Zheng et al., 2020</w:t>
            </w:r>
            <w:r w:rsidRPr="00EE3A4D">
              <w:rPr>
                <w:rFonts w:ascii="Times New Roman" w:hAnsi="Times New Roman" w:cs="Times New Roman"/>
                <w:sz w:val="22"/>
              </w:rPr>
              <w:fldChar w:fldCharType="begin" w:fldLock="1"/>
            </w:r>
            <w:r w:rsidR="00EE3A4D">
              <w:rPr>
                <w:rFonts w:ascii="Times New Roman" w:hAnsi="Times New Roman" w:cs="Times New Roman"/>
                <w:sz w:val="22"/>
              </w:rPr>
              <w:instrText>ADDIN CSL_CITATION {"citationItems":[{"id":"ITEM-1","itemData":{"DOI":"10.1007/s12032-020-01425-2","ISBN":"0123456789","ISSN":"1559131X","PMID":"33078282","abstract":"Most colorectal cancer (CRC) patients are diagnosed with advanced stages and low prognosis. We aimed to identify potential diagnostic and prognostic biomarkers, as well as active small molecules of CRC. Microarray data (GSE9348, GSE35279, and GSE106582) were obtained from the Gene Expression Omnibus database. Differentially expressed genes (DEGs) were identified by the GEO2R platform. Common DEGs were selected for Gene Ontology (GO) and Kyoto Encyclopedia of Genes and Genomes (KEGG) enrichment analysis. Cytoscape software was used to construct protein–protein interaction networks and identify hub genes. Hub genes were evaluated by Kaplan–Meier survival analysis in the GEPIA database and validated in two independent microarray data (GSE74602 and GSE83889). Common DEGs were used to select active small molecules by the connectivity map database. A total of 166 DEGs were identified as common DEGs. GO analysis demonstrated that common DEGs were significantly enriched in the apoptotic process, cell proliferation, and cell adhesion. KEGG analysis indicated that the most enriched pathways were the PI3K-Akt signaling pathway and extracellular matrix-receptor interaction. COL1A2, THBS2, TIMP1, and CXCL8 significantly upregulated in colorectal tumor. High expressions of COL1A2, THBS2, and TIMP1 were associated with poor survival, while high expressions of CXCL8 were associated with better survival. We selected 11 small molecules for CRC therapy. In conclusion, we found key dysregulated genes associated with CRC and potential small molecules to reverse them. COL1A2, THBS2, TIMP1, and CXCL8 may act as diagnostic and prognostic biomarkers of CRC.","author":[{"dropping-particle":"","family":"Zheng","given":"Zhuoling","non-dropping-particle":"","parse-names":false,"suffix":""},{"dropping-particle":"","family":"Xie","given":"Jingwen","non-dropping-particle":"","parse-names":false,"suffix":""},{"dropping-particle":"","family":"Xiong","given":"Lixiong","non-dropping-particle":"","parse-names":false,"suffix":""},{"dropping-particle":"","family":"Gao","given":"Min","non-dropping-particle":"","parse-names":false,"suffix":""},{"dropping-particle":"","family":"Qin","given":"Li","non-dropping-particle":"","parse-names":false,"suffix":""},{"dropping-particle":"","family":"Dai","given":"Chunmei","non-dropping-particle":"","parse-names":false,"suffix":""},{"dropping-particle":"","family":"Liang","given":"Zhikun","non-dropping-particle":"","parse-names":false,"suffix":""},{"dropping-particle":"","family":"Wang","given":"Yiting","non-dropping-particle":"","parse-names":false,"suffix":""},{"dropping-particle":"","family":"Xue","given":"Jing","non-dropping-particle":"","parse-names":false,"suffix":""},{"dropping-particle":"","family":"Wang","given":"Qinbo","non-dropping-particle":"","parse-names":false,"suffix":""},{"dropping-particle":"","family":"Wang","given":"Wenhui","non-dropping-particle":"","parse-names":false,"suffix":""},{"dropping-particle":"","family":"Li","given":"Xiaoyan","non-dropping-particle":"","parse-names":false,"suffix":""}],"container-title":"Medical Oncology","id":"ITEM-1","issue":"11","issued":{"date-parts":[["2020"]]},"page":"1-11","publisher":"Springer US","title":"Identification of candidate biomarkers and therapeutic drugs of colorectal cancer by integrated bioinformatics analysis","type":"article-journal","volume":"37"},"uris":["http://www.mendeley.com/documents/?uuid=a019c982-6243-4490-8665-619d6e77b8f9"]}],"mendeley":{"formattedCitation":"[4]","plainTextFormattedCitation":"[4]","previouslyFormattedCitation":"[4]"},"properties":{"noteIndex":0},"schema":"https://github.com/citation-style-language/schema/raw/master/csl-citation.json"}</w:instrText>
            </w:r>
            <w:r w:rsidRPr="00EE3A4D">
              <w:rPr>
                <w:rFonts w:ascii="Times New Roman" w:hAnsi="Times New Roman" w:cs="Times New Roman"/>
                <w:sz w:val="22"/>
              </w:rPr>
              <w:fldChar w:fldCharType="separate"/>
            </w:r>
            <w:r w:rsidR="00EE3A4D" w:rsidRPr="00EE3A4D">
              <w:rPr>
                <w:rFonts w:ascii="Times New Roman" w:hAnsi="Times New Roman" w:cs="Times New Roman"/>
                <w:noProof/>
                <w:sz w:val="22"/>
              </w:rPr>
              <w:t>[4]</w:t>
            </w:r>
            <w:r w:rsidRPr="00EE3A4D">
              <w:rPr>
                <w:rFonts w:ascii="Times New Roman" w:hAnsi="Times New Roman" w:cs="Times New Roman"/>
                <w:sz w:val="22"/>
              </w:rPr>
              <w:fldChar w:fldCharType="end"/>
            </w:r>
          </w:p>
        </w:tc>
        <w:tc>
          <w:tcPr>
            <w:tcW w:w="3675" w:type="dxa"/>
            <w:gridSpan w:val="4"/>
          </w:tcPr>
          <w:p w14:paraId="7439B69B" w14:textId="77777777" w:rsidR="00B525CE" w:rsidRPr="005D091C" w:rsidRDefault="00B525CE" w:rsidP="00B525CE">
            <w:pPr>
              <w:rPr>
                <w:rFonts w:ascii="Times New Roman" w:hAnsi="Times New Roman" w:cs="Times New Roman"/>
                <w:i/>
                <w:iCs/>
                <w:sz w:val="22"/>
              </w:rPr>
            </w:pPr>
            <w:r w:rsidRPr="005D091C">
              <w:rPr>
                <w:rFonts w:ascii="Times New Roman" w:hAnsi="Times New Roman" w:cs="Times New Roman"/>
                <w:i/>
                <w:iCs/>
                <w:sz w:val="22"/>
              </w:rPr>
              <w:t>COL1A2, THBS2, TIMP1, CXCL8</w:t>
            </w:r>
          </w:p>
        </w:tc>
        <w:tc>
          <w:tcPr>
            <w:tcW w:w="3340" w:type="dxa"/>
          </w:tcPr>
          <w:p w14:paraId="651F5F67" w14:textId="77777777" w:rsidR="00B525CE" w:rsidRPr="00D63E2A" w:rsidRDefault="00B525CE" w:rsidP="00B525CE">
            <w:pPr>
              <w:rPr>
                <w:rFonts w:ascii="Times New Roman" w:hAnsi="Times New Roman" w:cs="Times New Roman"/>
                <w:sz w:val="22"/>
              </w:rPr>
            </w:pPr>
            <w:r w:rsidRPr="00D63E2A">
              <w:rPr>
                <w:rFonts w:ascii="Times New Roman" w:hAnsi="Times New Roman" w:cs="Times New Roman"/>
                <w:sz w:val="22"/>
              </w:rPr>
              <w:t>Ellipticine, Ursodeoxycholic acid, Methylprednisolone, Vorinostat, Piperlongumine, Heliotrine, DL-thiorphan, Novobiocin, Doxylamine, Asiaticoside, Methocarbamol</w:t>
            </w:r>
          </w:p>
        </w:tc>
      </w:tr>
      <w:tr w:rsidR="00B525CE" w:rsidRPr="00D63E2A" w14:paraId="6BE92479" w14:textId="77777777" w:rsidTr="00480378">
        <w:trPr>
          <w:gridAfter w:val="1"/>
          <w:wAfter w:w="329" w:type="dxa"/>
          <w:jc w:val="center"/>
        </w:trPr>
        <w:tc>
          <w:tcPr>
            <w:tcW w:w="2510" w:type="dxa"/>
          </w:tcPr>
          <w:p w14:paraId="6E502590" w14:textId="4A677C78"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Zhang et al., 2020</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{"citationItems":[{"id":"ITEM-1","itemData":{"DOI":"10.1186/s12920-020-00810-0","ISSN":"17558794","PMID":"33198757","abstract":"Background: Colorectal cancer (CRC) is a multifactorial tumor and a leading cause of cancer-specific deaths worldwide. Recent research has shown that the alteration of intestinal flora contributes to the development of CRC. However, the molecular mechanism by which intestinal flora influences the pathogenesis of CRC remains unclear. This study aims to explore the key genes underlying the effect of intestinal flora on CRC and therapeutic drugs for CRC. Methods: Intestinal flora-related genes were determined using text mining. Based on The Cancer Genome Atlas database, differentially expressed genes (DEGs) between CRC and normal samples were identified with the limma package of the R software. Then, the intersection of the two gene sets was selected for enrichment analyses using the tool Database for Annotation, Visualization and Integrated Discovery. Protein interaction network analysis was performed for identifying the key genes using STRING and Cytoscape. The correlation of the key genes with overall survival of CRC patients was analyzed. Finally, the key genes were queried against the Drug-Gene Interaction database to find drug candidates for treating CRC. Results: 518 genes associated with intestinal flora were determined by text mining. Based on The Cancer Genome Atlas database, we identified 48 DEGs associated with intestinal flora, including 25 up-regulated and 23 down-regulated DEGs in CRC. The enrichment analyses indicated that the selected genes were mainly involved in cell–cell signaling, immune response, cytokine-cytokine receptor interaction, and JAK-STAT signaling pathway. The protein–protein interaction network was constructed with 13 nodes and 35 edges. Moreover, 8 genes in the significant cluster were considered as the key genes and chemokine (C-X-C motif) ligand 8 (CXCL8) correlated positively with the overall survival of CRC patients. Finally, a total of 24 drugs were predicted as possible drugs for CRC treatment using the Drug-Gene Interaction database. Conclusions: These findings of this study may provide new insights into CRC pathogenesis and treatments. The prediction of drug-gene interaction is of great practical significance for exploring new drugs or novel targets for existing drugs.","author":[{"dropping-particle":"","family":"Zhang","given":"Jiayu","non-dropping-particle":"","parse-names":false,"suffix":""},{"dropping-particle":"","family":"Zhang","given":"Huaiyu","non-dropping-particle":"","parse-names":false,"suffix":""},{"dropping-particle":"","family":"Li","given":"Faping","non-dropping-particle":"","parse-names":false,"suffix":""},{"dropping-particle":"","family":"Song","given":"Zheyu","non-dropping-particle":"","parse-names":false,"suffix":""},{"dropping-particle":"","family":"Li","given":"Yezhou","non-dropping-particle":"","parse-names":false,"suffix":""},{"dropping-particle":"","family":"Zhao","given":"Tiancheng","non-dropping-particle":"","parse-names":false,"suffix":""}],"container-title":"BMC Medical Genomics","id":"ITEM-1","issue":"1","issued":{"date-parts":[["2020"]]},"title":"Identification of intestinal flora-related key genes and therapeutic drugs in colorectal cancer","type":"article-journal","volume":"13"},"uris":["http://www.mendeley.com/documents/?uuid=4ab1dff3-6ae0-41bb-91ec-6e612c2fb2cf"]}],"mendeley":{"formattedCitation":"[5]","manualFormatting":"[6]","plainTextFormattedCitation":"[5]","previouslyFormattedCitation":"[6]"},"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6</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13BDE945" w14:textId="77777777" w:rsidR="00B525CE" w:rsidRPr="005D091C" w:rsidRDefault="00B525CE" w:rsidP="00B525CE">
            <w:pPr>
              <w:rPr>
                <w:rFonts w:ascii="Times New Roman" w:hAnsi="Times New Roman" w:cs="Times New Roman"/>
                <w:i/>
                <w:iCs/>
                <w:sz w:val="22"/>
              </w:rPr>
            </w:pPr>
            <w:r w:rsidRPr="005D091C">
              <w:rPr>
                <w:rFonts w:ascii="Times New Roman" w:hAnsi="Times New Roman" w:cs="Times New Roman"/>
                <w:i/>
                <w:iCs/>
                <w:sz w:val="22"/>
              </w:rPr>
              <w:t>CSF2, CXCL8, IL6R, CXCL10</w:t>
            </w:r>
          </w:p>
        </w:tc>
        <w:tc>
          <w:tcPr>
            <w:tcW w:w="3340" w:type="dxa"/>
          </w:tcPr>
          <w:p w14:paraId="77AABB87" w14:textId="77777777" w:rsidR="00B525CE" w:rsidRPr="00D63E2A" w:rsidRDefault="00B525CE" w:rsidP="00B525CE">
            <w:pPr>
              <w:jc w:val="center"/>
              <w:rPr>
                <w:rFonts w:ascii="Times New Roman" w:hAnsi="Times New Roman" w:cs="Times New Roman"/>
                <w:sz w:val="22"/>
              </w:rPr>
            </w:pPr>
            <w:r w:rsidRPr="00D63E2A">
              <w:rPr>
                <w:rFonts w:ascii="Times New Roman" w:hAnsi="Times New Roman" w:cs="Times New Roman"/>
                <w:sz w:val="22"/>
              </w:rPr>
              <w:t>cetuximab, oxaliplatin, bevacizumab, temozolomide, and interferon alfa-2b</w:t>
            </w:r>
          </w:p>
        </w:tc>
      </w:tr>
      <w:tr w:rsidR="00B525CE" w:rsidRPr="00D63E2A" w14:paraId="7EDC3478" w14:textId="77777777" w:rsidTr="00480378">
        <w:trPr>
          <w:gridAfter w:val="1"/>
          <w:wAfter w:w="329" w:type="dxa"/>
          <w:jc w:val="center"/>
        </w:trPr>
        <w:tc>
          <w:tcPr>
            <w:tcW w:w="2510" w:type="dxa"/>
          </w:tcPr>
          <w:p w14:paraId="6A292EAA" w14:textId="6B47D453" w:rsidR="00B525CE" w:rsidRPr="007B29F7" w:rsidRDefault="00B525CE" w:rsidP="00B525CE">
            <w:pPr>
              <w:rPr>
                <w:rFonts w:ascii="Times New Roman" w:hAnsi="Times New Roman" w:cs="Times New Roman"/>
                <w:sz w:val="22"/>
                <w:highlight w:val="yellow"/>
              </w:rPr>
            </w:pPr>
            <w:r w:rsidRPr="00EE3A4D">
              <w:rPr>
                <w:rFonts w:ascii="Times New Roman" w:hAnsi="Times New Roman" w:cs="Times New Roman"/>
                <w:sz w:val="22"/>
              </w:rPr>
              <w:t>Rahman et al., 2019</w:t>
            </w:r>
            <w:r w:rsidRPr="00EE3A4D">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{"citationItems":[{"id":"ITEM-1","itemData":{"DOI":"10.3390/medicina55010020","ISSN":"1010660X","PMID":"30658502","abstract":"Background and objectives: Colorectal cancer (CRC) is the second most common cause of cancer-related death in the world, but early diagnosis ameliorates the survival of CRC. This report aimed to identify molecular biomarker signatures in CRC. Materials and Methods: We analyzed two microarray datasets (GSE35279 and GSE21815) from the Gene Expression Omnibus (GEO) to identify mutual differentially expressed genes (DEGs). We integrated DEGs with protein–protein interaction and transcriptional/post-transcriptional regulatory networks to identify reporter signaling and regulatory molecules; utilized functional overrepresentation and pathway enrichment analyses to elucidate their roles in biological processes and molecular pathways; performed survival analyses to evaluate their prognostic performance; and applied drug repositioning analyses through Connectivity Map (CMap) and geneXpharma tools to hypothesize possible drug candidates targeting reporter molecules. Results: A total of 727 upregulated and 99 downregulated DEGs were detected. The PI3K/Akt signaling, Wnt signaling, extracellular matrix (ECM) interaction, and cell cycle were identified as significantly enriched pathways. Ten hub proteins (ADNP, CCND1, CD44, CDK4, CEBPB, CENPA, CENPH, CENPN, MYC, and RFC2), 10 transcription factors (ETS1, ESR1, GATA1, GATA2, GATA3, AR, YBX1, FOXP3, E2F4, and PRDM14) and two microRNAs (miRNAs) (miR-193b-3p and miR-615-3p) were detected as reporter molecules. The survival analyses through Kaplan–Meier curves indicated remarkable performance of reporter molecules in the estimation of survival probability in CRC patients. In addition, several drug candidates including anti-neoplastic and immunomodulating agents were repositioned. Conclusions: This study presents biomarker signatures at protein and RNA levels with prognostic capability in CRC. We think that the molecular signatures and candidate drugs presented in this study might be useful in future studies indenting the development of accurate diagnostic and/or prognostic biomarker screens and efficient therapeutic strategies in CRC.","author":[{"dropping-particle":"","family":"Rahman","given":"Md Rezanur","non-dropping-particle":"","parse-names":false,"suffix":""},{"dropping-particle":"","family":"Islam","given":"Tania","non-dropping-particle":"","parse-names":false,"suffix":""},{"dropping-particle":"","family":"Gov","given":"Esra","non-dropping-particle":"","parse-names":false,"suffix":""},{"dropping-particle":"","family":"Turanli","given":"Beste","non-dropping-particle":"","parse-names":false,"suffix":""},{"dropping-particle":"","family":"Gulfidan","given":"Gizem","non-dropping-particle":"","parse-names":false,"suffix":""},{"dropping-particle":"","family":"Shahjaman","given":"Md","non-dropping-particle":"","parse-names":false,"suffix":""},{"dropping-particle":"","family":"Banu","given":"Nilufa Akhter","non-dropping-particle":"","parse-names":false,"suffix":""},{"dropping-particle":"","family":"Mollah","given":"Md Nurul Haque","non-dropping-particle":"","parse-names":false,"suffix":""},{"dropping-particle":"","family":"Arga","given":"Kazim Yalcin","non-dropping-particle":"","parse-names":false,"suffix":""},{"dropping-particle":"","family":"Moni","given":"Mohammad Ali","non-dropping-particle":"","parse-names":false,"suffix":""}],"container-title":"Medicina (Lithuania)","id":"ITEM-1","issue":"1","issued":{"date-parts":[["2019"]]},"title":"Identification of prognostic biomarker signatures and candidate drugs in colorectal cancer: Insights from systems biology analysis","type":"article-journal","volume":"55"},"uris":["http://www.mendeley.com/documents/?uuid=234a102b-f5fe-4030-885e-6053752dd77a"]}],"mendeley":{"formattedCitation":"[6]","manualFormatting":"[7]","plainTextFormattedCitation":"[6]","previouslyFormattedCitation":"[7]"},"properties":{"noteIndex":0},"schema":"https://github.com/citation-style-language/schema/raw/master/csl-citation.json"}</w:instrText>
            </w:r>
            <w:r w:rsidRPr="00EE3A4D">
              <w:rPr>
                <w:rFonts w:ascii="Times New Roman" w:hAnsi="Times New Roman" w:cs="Times New Roman"/>
                <w:sz w:val="22"/>
              </w:rPr>
              <w:fldChar w:fldCharType="separate"/>
            </w:r>
            <w:r w:rsidR="00C07707" w:rsidRPr="00EE3A4D">
              <w:rPr>
                <w:rFonts w:ascii="Times New Roman" w:hAnsi="Times New Roman" w:cs="Times New Roman"/>
                <w:noProof/>
                <w:sz w:val="22"/>
              </w:rPr>
              <w:t>[</w:t>
            </w:r>
            <w:r w:rsidRPr="00EE3A4D">
              <w:rPr>
                <w:rFonts w:ascii="Times New Roman" w:hAnsi="Times New Roman" w:cs="Times New Roman"/>
                <w:noProof/>
                <w:sz w:val="22"/>
              </w:rPr>
              <w:t>7</w:t>
            </w:r>
            <w:r w:rsidR="00C07707" w:rsidRPr="00EE3A4D">
              <w:rPr>
                <w:rFonts w:ascii="Times New Roman" w:hAnsi="Times New Roman" w:cs="Times New Roman"/>
                <w:noProof/>
                <w:sz w:val="22"/>
              </w:rPr>
              <w:t>]</w:t>
            </w:r>
            <w:r w:rsidRPr="00EE3A4D">
              <w:rPr>
                <w:rFonts w:ascii="Times New Roman" w:hAnsi="Times New Roman" w:cs="Times New Roman"/>
                <w:sz w:val="22"/>
              </w:rPr>
              <w:fldChar w:fldCharType="end"/>
            </w:r>
          </w:p>
        </w:tc>
        <w:tc>
          <w:tcPr>
            <w:tcW w:w="3675" w:type="dxa"/>
            <w:gridSpan w:val="4"/>
          </w:tcPr>
          <w:p w14:paraId="48F02193" w14:textId="77777777" w:rsidR="00B525CE" w:rsidRPr="005D091C" w:rsidRDefault="00B525CE" w:rsidP="00B525CE">
            <w:pPr>
              <w:rPr>
                <w:rFonts w:ascii="Times New Roman" w:hAnsi="Times New Roman" w:cs="Times New Roman"/>
                <w:i/>
                <w:iCs/>
                <w:sz w:val="22"/>
              </w:rPr>
            </w:pPr>
            <w:r w:rsidRPr="005D091C">
              <w:rPr>
                <w:rFonts w:ascii="Times New Roman" w:hAnsi="Times New Roman" w:cs="Times New Roman"/>
                <w:i/>
                <w:iCs/>
                <w:sz w:val="22"/>
              </w:rPr>
              <w:t>ADNP, CCND1, CD44, CDK4, CEBPB, CENPA, CENPH, CENPN, MYC, RFC2</w:t>
            </w:r>
          </w:p>
        </w:tc>
        <w:tc>
          <w:tcPr>
            <w:tcW w:w="3340" w:type="dxa"/>
          </w:tcPr>
          <w:p w14:paraId="4F8D6804" w14:textId="51F39095" w:rsidR="00B525CE" w:rsidRPr="007B29F7" w:rsidRDefault="00B525CE" w:rsidP="007B29F7">
            <w:pPr>
              <w:jc w:val="center"/>
              <w:rPr>
                <w:rFonts w:ascii="Times New Roman" w:hAnsi="Times New Roman" w:cs="Times New Roman"/>
                <w:sz w:val="22"/>
                <w:shd w:val="clear" w:color="auto" w:fill="FFFFFF"/>
              </w:rPr>
            </w:pPr>
            <w:r w:rsidRPr="00D63E2A">
              <w:rPr>
                <w:rFonts w:ascii="Times New Roman" w:hAnsi="Times New Roman" w:cs="Times New Roman"/>
                <w:sz w:val="22"/>
                <w:shd w:val="clear" w:color="auto" w:fill="FFFFFF"/>
              </w:rPr>
              <w:t>Gefitinib, Hydrocortisone, Irinotecan, Letrozole, Lidocaine, Methotrexate, Sirolimus, Tamoxifen</w:t>
            </w:r>
          </w:p>
        </w:tc>
      </w:tr>
      <w:tr w:rsidR="00B525CE" w:rsidRPr="00D63E2A" w14:paraId="77F5BF3D" w14:textId="77777777" w:rsidTr="00480378">
        <w:trPr>
          <w:gridAfter w:val="1"/>
          <w:wAfter w:w="329" w:type="dxa"/>
          <w:jc w:val="center"/>
        </w:trPr>
        <w:tc>
          <w:tcPr>
            <w:tcW w:w="2510" w:type="dxa"/>
          </w:tcPr>
          <w:p w14:paraId="60D5E9AF" w14:textId="00ABEBCC"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J. Chen et al., 2019</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{"citationItems":[{"id":"ITEM-1","itemData":{"DOI":"10.1002/mgg3.713","ISSN":"23249269","PMID":"31087508","abstract":"Background: Colorectal cancer (CRC) is one of the most common malignant tumors. In the present study, the expression profile of human multistage colorectal mucosa tissues, including healthy, adenoma, and adenocarcinoma samples was downloaded to identify critical genes and potential drugs in CRC. Methods: Expression profiles, GSE33113 and GSE44076, were integrated using bioinformatics methods. Differentially expressed genes (DEGs) were analyzed by R language. Functional enrichment analyses of the DEGs were performed using the Database for Annotation, visualization, and integrated discovery (DAVID) database. Then, the search tool for the retrieval of interacting genes (STRING) database and Cytoscape were used to construct a protein–protein interaction (PPI) network and identify hub genes. Subsequently, survival analysis was performed among the key genes using Gene Expression Profiling Interactive Analysis (GEPIA). Connectivity Map (CMap) was used to query potential drugs for CRC. Results: A total of 428 upregulated genes and 751 downregulated genes in CRC were identified. The functional changes of these DEGs were mainly associated with cell cycle, oocyte meiosis, DNA replication, p53 signaling pathway, and progesterone-mediated oocyte maturation. A PPI network was identified by STRING with 482 nodes and 2,368 edges. Survival analysis revealed that high mRNA expression of AURKA, CCNB1, CCNF, and EXO1 was significantly associated with longer overall survival. Moreover, CMap predicted a panel of small molecules as possible adjuvant drugs to treat CRC. Conclusion: Our study found key dysregulated genes involved in CRC and potential drugs to combat it, which may provide novel insights and potential biomarkers for prognosis, as well as providing new CRC treatments.","author":[{"dropping-particle":"","family":"Chen","given":"Juan","non-dropping-particle":"","parse-names":false,"suffix":""},{"dropping-particle":"","family":"Wang","given":"Ziheng","non-dropping-particle":"","parse-names":false,"suffix":""},{"dropping-particle":"","family":"Shen","given":"Xianjuan","non-dropping-particle":"","parse-names":false,"suffix":""},{"dropping-particle":"","family":"Cui","given":"Xiaopeng","non-dropping-particle":"","parse-names":false,"suffix":""},{"dropping-particle":"","family":"Guo","given":"Yuehua","non-dropping-particle":"","parse-names":false,"suffix":""}],"container-title":"Molecular Genetics and Genomic Medicine","id":"ITEM-1","issue":"7","issued":{"date-parts":[["2019"]]},"title":"Identification of novel biomarkers and small molecule drugs in human colorectal cancer by microarray and bioinformatics analysis","type":"article-journal","volume":"7"},"uris":["http://www.mendeley.com/documents/?uuid=707b4493-21c5-4806-8652-a3d22b7088b0"]}],"mendeley":{"formattedCitation":"[7]","manualFormatting":"[8]","plainTextFormattedCitation":"[7]","previouslyFormattedCitation":"[8]"},"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8</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0972D5CA" w14:textId="77777777" w:rsidR="00B525CE" w:rsidRPr="005D091C" w:rsidRDefault="00B525CE" w:rsidP="00B525CE">
            <w:pPr>
              <w:rPr>
                <w:rFonts w:ascii="Times New Roman" w:hAnsi="Times New Roman" w:cs="Times New Roman"/>
                <w:i/>
                <w:iCs/>
                <w:sz w:val="22"/>
              </w:rPr>
            </w:pPr>
            <w:r w:rsidRPr="005D091C">
              <w:rPr>
                <w:rFonts w:ascii="Times New Roman" w:hAnsi="Times New Roman" w:cs="Times New Roman"/>
                <w:i/>
                <w:iCs/>
                <w:sz w:val="22"/>
              </w:rPr>
              <w:t>AURKA, CCNB1, CCNF, EXO1</w:t>
            </w:r>
          </w:p>
        </w:tc>
        <w:tc>
          <w:tcPr>
            <w:tcW w:w="3340" w:type="dxa"/>
          </w:tcPr>
          <w:p w14:paraId="1580597D" w14:textId="77777777" w:rsidR="00B525CE" w:rsidRPr="00D63E2A" w:rsidRDefault="00B525CE" w:rsidP="00B525CE">
            <w:pPr>
              <w:spacing w:after="225" w:line="360" w:lineRule="atLeast"/>
              <w:jc w:val="center"/>
              <w:rPr>
                <w:rFonts w:ascii="Times New Roman" w:hAnsi="Times New Roman" w:cs="Times New Roman"/>
                <w:sz w:val="22"/>
              </w:rPr>
            </w:pPr>
            <w:r w:rsidRPr="00D63E2A">
              <w:rPr>
                <w:rFonts w:ascii="Times New Roman" w:hAnsi="Times New Roman" w:cs="Times New Roman"/>
                <w:sz w:val="22"/>
              </w:rPr>
              <w:t xml:space="preserve">DL-thiorphan, </w:t>
            </w:r>
            <w:r w:rsidRPr="00D63E2A">
              <w:rPr>
                <w:rFonts w:ascii="Times New Roman" w:hAnsi="Times New Roman" w:cs="Times New Roman"/>
                <w:sz w:val="22"/>
                <w:shd w:val="clear" w:color="auto" w:fill="FFFFFF"/>
              </w:rPr>
              <w:t xml:space="preserve">repaglinide, </w:t>
            </w:r>
            <w:r w:rsidRPr="00D63E2A">
              <w:rPr>
                <w:rFonts w:ascii="Times New Roman" w:hAnsi="Times New Roman" w:cs="Times New Roman"/>
                <w:sz w:val="22"/>
              </w:rPr>
              <w:t xml:space="preserve">MS–275, quinostatin, </w:t>
            </w:r>
            <w:r w:rsidRPr="00D63E2A">
              <w:rPr>
                <w:rFonts w:ascii="Times New Roman" w:hAnsi="Times New Roman" w:cs="Times New Roman"/>
                <w:sz w:val="22"/>
                <w:shd w:val="clear" w:color="auto" w:fill="FFFFFF"/>
              </w:rPr>
              <w:t xml:space="preserve">1,4-chrysenequinone, triflusal, trazodone, piperidolate, latamoxef, ronidazole, pargyline, gliclazide, tyloxapol, acepromazine, </w:t>
            </w:r>
            <w:r w:rsidRPr="00D63E2A">
              <w:rPr>
                <w:rFonts w:ascii="Times New Roman" w:hAnsi="Times New Roman" w:cs="Times New Roman"/>
                <w:sz w:val="22"/>
                <w:shd w:val="clear" w:color="auto" w:fill="FFFFFF"/>
              </w:rPr>
              <w:lastRenderedPageBreak/>
              <w:t>methylergometrine</w:t>
            </w:r>
          </w:p>
        </w:tc>
      </w:tr>
      <w:tr w:rsidR="00B525CE" w:rsidRPr="00D63E2A" w14:paraId="0CB56726" w14:textId="77777777" w:rsidTr="00480378">
        <w:trPr>
          <w:gridAfter w:val="1"/>
          <w:wAfter w:w="329" w:type="dxa"/>
          <w:jc w:val="center"/>
        </w:trPr>
        <w:tc>
          <w:tcPr>
            <w:tcW w:w="2510" w:type="dxa"/>
          </w:tcPr>
          <w:p w14:paraId="29B67528" w14:textId="38095A36"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lastRenderedPageBreak/>
              <w:t>Yu et al., 2019</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{"citationItems":[{"id":"ITEM-1","itemData":{"DOI":"10.3892/mmr.2019.10336","ISSN":"17913004","PMID":"31173250","abstract":"The aim of the present study was to identify potential key genes associated with the progression and prognosis of colorectal cancer (CRC). Differentially expressed genes (DEGs) between CRC and normal samples were screened by integrated analysis of gene expression profile datasets, including the Gene Expression Omnibus (GEO) and The Cancer Genome Atlas. Gene ontology (GO) and Kyoto Encyclopedia of Genes and Genomes (KEGG) pathway analysis was conducted to identify the biological role of DEGs. In addition, a protein-protein interaction network and survival analysis were used to identify the key genes. The profiles of GSE9348, GSE22598 and GSE113513 were downloaded from the GEO database. A total of 405 common DEGs were identified, including 236 down‑ and 169 upregulated. GO analysis revealed that the downregulated DEGs were mainly enriched in ‘detoxification of copper ion’ [biological process, (BP)], ‘oxidoreductase activity, acting on CH-OH group of donors, NAD or NADP as acceptor’ [molecular function, (MF)] and ‘brush border’ [cellular component, (CC)]. Upregulated DEGs were mainly involved in ‘nuclear division’ (BP), ‘snoRNA binding’ (MF) and ‘nucleolar part’ (CC). KEGG pathway analysis revealed that DEGs were mainly involved in ‘mineral absorption’, ‘nitrogen metabolism’, ‘cell cycle’ and ‘caffeine metabolism’. A PPI network was constructed with 268 nodes and 1,027 edges. The top one module was selected, and it was revealed that module-related genes were mainly enriched in the GO terms ‘sister chromatid segregation’ (BP), ‘chemokine activity’ (MF), and ‘condensed chromosome (CC)’. The KEGG pathway was mainly enriched in ‘cell cycle’, ‘progesterone‑mediated oocyte maturation’, ‘chemokine signaling pathway’, ‘IL‑17 signaling pathway’, ‘legionellosis’, and ‘rheumatoid arthritis’. DNA topoisomerase II‑α (TOP2A), mitotic arrest deficient 2 like 1 (MAD2L1), cyclin B1 (CCNB1), checkpoint kinase 1 (CHEK1), cell division cycle 6 (CDC6) and ubiquitin conjugating enzyme E2 C (UBE2C) were indicated as hub genes. Furthermore, survival analysis revealed that TOP2A, MAD2L1, CDC6 and CHEK1 may serve as prognostic biomarkers in CRC. The present study provided insights into the molecular mechanism of CRC that may be useful in further investigations.","author":[{"dropping-particle":"","family":"Yu","given":"Chang","non-dropping-particle":"","parse-names":false,"suffix":""},{"dropping-particle":"","family":"Chen","given":"Fuqiang","non-dropping-particle":"","parse-names":false,"suffix":""},{"dropping-particle":"","family":"Jiang","given":"Jianjun","non-dropping-particle":"","parse-names":false,"suffix":""},{"dropping-particle":"","family":"Zhang","given":"Hong","non-dropping-particle":"","parse-names":false,"suffix":""},{"dropping-particle":"","family":"Zhou","given":"Meijuan","non-dropping-particle":"","parse-names":false,"suffix":""}],"container-title":"Molecular Medicine Reports","id":"ITEM-1","issue":"2","issued":{"date-parts":[["2019"]]},"page":"1259-1269","title":"Screening key genes and signaling pathways in colorectal cancer by integrated bioinformatics analysis","type":"article-journal","volume":"20"},"uris":["http://www.mendeley.com/documents/?uuid=4d850be6-f9fc-4af3-9106-87da8f97f30e"]}],"mendeley":{"formattedCitation":"[8]","manualFormatting":"[9]","plainTextFormattedCitation":"[8]","previouslyFormattedCitation":"[9]"},"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9</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57B94BE2"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TOP2A, MAD2L1, CDC6, CHEK1</w:t>
            </w:r>
          </w:p>
        </w:tc>
        <w:tc>
          <w:tcPr>
            <w:tcW w:w="3340" w:type="dxa"/>
          </w:tcPr>
          <w:p w14:paraId="7AA0FA75"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709A26FF" w14:textId="77777777" w:rsidTr="00480378">
        <w:trPr>
          <w:gridAfter w:val="1"/>
          <w:wAfter w:w="329" w:type="dxa"/>
          <w:jc w:val="center"/>
        </w:trPr>
        <w:tc>
          <w:tcPr>
            <w:tcW w:w="2510" w:type="dxa"/>
          </w:tcPr>
          <w:p w14:paraId="2642CE09" w14:textId="29BD1377"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Yang et al., 2020</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{"citationItems":[{"id":"ITEM-1","itemData":{"DOI":"10.1089/cbr.2020.3980","ISSN":"1084-9785","abstract":"Background: This study was aimed to investigate the potential gene targets and metabolite markers associated with colorectal carcinoma (CRC). Material(s) and Method(s): Gene expression data (GSE110224) related with CRC were obtained from Gene Expression Omnibus, including 17 tumor tissues and 17 normal colon ones. The gene differential analysis, functional analysis, protein-protein interaction (PPI) analysis, and metabolite network construction were performed to identify key genes related to CRC. Moreover, an external dataset was used to validate genes of interest in CRC, and corresponding survival analysis was also conducted. Result(s): Totally, the authors extracted 197 differentially expressed genes (75 upregulated and 122 downregulated genes). Moreover, upregulated genes were closely associated with rheumatoid arthritis and amoebiasis pathways. The downregulated genes were mainly related to bile secretion and proximal tubule bicarbonate reclamation pathway. Combined with PPI network and metabolite prediction, the overlapped nine genes (CXCL1, CXCL8, CXCL10, HDS1782, IL18, PCK1, PTGS2, SERPINB2, TMP1) were found to be critical in CRC. Similar gene expression profiles of nine critical genes were validated by an external dataset, except for SERPINB2. In addition, the expressions of TIMP1, IL1B, and PTGS2 were closely related with prognosis. Finally, the metabolite network analysis revealed that there were close associations between prostaglandin E2 and three pathways (rheumatoid arthritis, amoebiasis, and leishmaniasis). Conclusion(s):CXCL1/CXCL8/IL1B/PTGS2-prostaglandin E2 axes were the potential signatures involved in CRC progression, which could provide new insights to understand the molecular mechanisms of CRC.","author":[{"dropping-particle":"","family":"Yang","given":"Junsheng","non-dropping-particle":"","parse-names":false,"suffix":""},{"dropping-particle":"","family":"Gao","given":"Shan","non-dropping-particle":"","parse-names":false,"suffix":""},{"dropping-particle":"","family":"Qiu","given":"Meiqing","non-dropping-particle":"","parse-names":false,"suffix":""},{"dropping-particle":"","family":"Kan","given":"Shifeng","non-dropping-particle":"","parse-names":false,"suffix":""}],"container-title":"Cancer Biotherapy and Radiopharmaceuticals","id":"ITEM-1","issued":{"date-parts":[["2020"]]},"title":"Integrated Analysis of Gene Expression and Metabolite Data Reveals Candidate Molecular Markers in Colorectal Carcinoma","type":"article-journal"},"uris":["http://www.mendeley.com/documents/?uuid=301d2867-af30-4607-ae6f-f49d3bf7ce21"]}],"mendeley":{"formattedCitation":"[9]","manualFormatting":"[10]","plainTextFormattedCitation":"[9]","previouslyFormattedCitation":"[10]"},"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10</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6BE6EFB5"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CXCL1, CXCL8, IL1B, PTGS2</w:t>
            </w:r>
          </w:p>
        </w:tc>
        <w:tc>
          <w:tcPr>
            <w:tcW w:w="3340" w:type="dxa"/>
          </w:tcPr>
          <w:p w14:paraId="1586D4B0"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5F08E2C5" w14:textId="77777777" w:rsidTr="00480378">
        <w:trPr>
          <w:gridAfter w:val="1"/>
          <w:wAfter w:w="329" w:type="dxa"/>
          <w:jc w:val="center"/>
        </w:trPr>
        <w:tc>
          <w:tcPr>
            <w:tcW w:w="2510" w:type="dxa"/>
          </w:tcPr>
          <w:p w14:paraId="64D6F447" w14:textId="59B267C8"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Liang, Li and Zhao, 2016</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{"citationItems":[{"id":"ITEM-1","itemData":{"DOI":"10.1007/s12032-016-0829-6","ISSN":"1559131X","PMID":"27581154","abstract":"Colorectal cancer (CRC) is the most common malignant tumor of digestive system. The aim of this study was to identify gene signatures during CRC and uncover their potential mechanisms. The gene expression profiles of GSE21815 were downloaded from GEO database. The GSE21815 dataset contained 141 samples, including 132 CRC and 9 normal colon epitheliums. The gene ontology (GO) and Kyoto Encyclopedia of Genes and Genomes pathway (KEGG) enrichment analyses were performed, and protein–protein interaction (PPI) network of the differentially expressed genes (DEGs) was constructed by Cytoscape software. In total, 3500 DEGs were identified in CRC, including 1370 up-regulated genes and 2130 down-regulated genes. GO analysis results showed that up-regulated DEGs were significantly enriched in biological processes (BP), including cell cycle, cell division, and cell proliferation; the down-regulated DEGs were significantly enriched in biological processes, including immune response, intracellular signaling cascade and defense response. KEGG pathway analysis showed the up-regulated DEGs were enriched in cell cycle and DNA replication, while the down-regulated DEGs were enriched in drug metabolism, metabolism of xenobiotics by cytochrome P450, and retinol metabolism pathways. The top 10 hub genes, GNG2, AGT, SAA1, ADCY5, LPAR1, NMU, IL8, CXCL12, GNAI1, and CCR2 were identified from the PPI network, and sub-networks revealed these genes were involved in significant pathways, including G protein-coupled receptors signaling pathway, gastrin-CREB signaling pathway via PKC and MAPK, and extracellular matrix organization. In conclusion, the present study indicated that the identified DEGs and hub genes promote our understanding of the molecular mechanisms underlying the development of CRC, and might be used as molecular targets and diagnostic biomarkers for the treatment of CRC.","author":[{"dropping-particle":"","family":"Liang","given":"Bin","non-dropping-particle":"","parse-names":false,"suffix":""},{"dropping-particle":"","family":"Li","given":"Chunning","non-dropping-particle":"","parse-names":false,"suffix":""},{"dropping-particle":"","family":"Zhao","given":"Jianying","non-dropping-particle":"","parse-names":false,"suffix":""}],"container-title":"Medical Oncology","id":"ITEM-1","issue":"10","issued":{"date-parts":[["2016"]]},"title":"Identification of key pathways and genes in colorectal cancer using bioinformatics analysis","type":"article-journal","volume":"33"},"uris":["http://www.mendeley.com/documents/?uuid=2de1bca1-3570-494f-9ac0-8f6e369239a7"]}],"mendeley":{"formattedCitation":"[10]","manualFormatting":"[11]","plainTextFormattedCitation":"[10]","previouslyFormattedCitation":"[11]"},"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11</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25663A83"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GNG2, AGT, SAA1, ADCY5, LPAR1, NMU, IL8, CXCL12, GNAI1, and CCR2</w:t>
            </w:r>
          </w:p>
        </w:tc>
        <w:tc>
          <w:tcPr>
            <w:tcW w:w="3340" w:type="dxa"/>
          </w:tcPr>
          <w:p w14:paraId="5DDF6A96"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7E360436" w14:textId="77777777" w:rsidTr="00480378">
        <w:trPr>
          <w:gridAfter w:val="1"/>
          <w:wAfter w:w="329" w:type="dxa"/>
          <w:jc w:val="center"/>
        </w:trPr>
        <w:tc>
          <w:tcPr>
            <w:tcW w:w="2510" w:type="dxa"/>
          </w:tcPr>
          <w:p w14:paraId="72F07714" w14:textId="54D49F3F"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Dai et al., 2020</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{"citationItems":[{"id":"ITEM-1","itemData":{"DOI":"10.3892/ol.2019.11068","ISSN":"17921082","abstract":"Colorectal cancer (CRC) is a life-threatening disease with a poor prognosis. Therefore, it is crucial to identify molecular prognostic biomarkers for CRC. The present study aimed to identify potential key genes that could be used to predict the prognosis of patients with CRC. Three CRC microarray datasets (GSE20916, GSE73360 and GSE44861) were downloaded from the Gene Expression Omnibus (GEO) database, and one dataset was obtained from The Cancer Genome Atlas (TCGA) database. The three GEO datasets were analyzed to detect differentially expressed genes (DEGs) using the BRB-ArrayTools software. Functional and pathway enrichment analyses of these DEGs were performed using the Database for Annotation, Visualization and Integrated Discovery tool. A protein-protein interaction (PPI) network of DEGs was constructed, hub genes were extracted, and modules of the PPI network were analyzed. To investigate the prognostic values of the hub genes in CRC, data from the CRC datasets of TCGA were used to perform the survival analyses based on the sample splitting method and Cox regression model. Correlation among the hub genes was evaluated using Spearman's correlation analysis. In the three GEO datasets, a total of 105 common DEGs were identified, including 51 down- and 54 up-regulated genes in CRC compared with normal colorectal tissues. A PPI network consisting of 100 DEGs and 551 edges was constructed, and 44 nodes were identified as hub genes. Among these 44 genes, the four hub genes TIMP metallopeptidase inhibitor 1 (TIMP1), solute carrier family 4 member 4 (SLC4A4), aldo-keto reductase family 1 member B10 (AKR1B10) and ATP binding cassette subfamily E member 1 (ABCE1) were associated with overall survival (OS) in patients with CRC. Three significant modules were extracted from the PPI network. The hub gene TIMP1 was present in Module 1, ABCE1 was involved in Module 2 and SLC4A4 was identified in Module 3. Univariate analysis revealed that TIMP1, SLC4A4, AKR1B10 and ABCE1 were associated with the OS of patients with CRC. Multivariate analysis demonstrated that SLC4A4 may be an independent prognostic factor associated with OS. Furthermore, the results from correlation analysis revealed that there was no correlation between TIMP1, SLC4A4 and ABCE1, whereas AKR1B10 was positively correlated with SLC4A4. In conclusion, the four key genes TIMP1, SLC4A4, AKR1B10 and ABCE1 associated with the OS of patients with CRC were identified by integrated bioinformatics analysis.…","author":[{"dropping-particle":"","family":"Dai","given":"Gong Peng","non-dropping-particle":"","parse-names":false,"suffix":""},{"dropping-particle":"","family":"Wang","given":"Li Ping","non-dropping-particle":"","parse-names":false,"suffix":""},{"dropping-particle":"","family":"Wen","given":"Yu Qing","non-dropping-particle":"","parse-names":false,"suffix":""},{"dropping-particle":"","family":"Ren","given":"Xue Qun","non-dropping-particle":"","parse-names":false,"suffix":""},{"dropping-particle":"","family":"Zuo","given":"Shu Guang","non-dropping-particle":"","parse-names":false,"suffix":""}],"container-title":"Oncology Letters","id":"ITEM-1","issue":"1","issued":{"date-parts":[["2020"]]},"page":"388-398","title":"Identification of key genes for predicting colorectal cancer prognosis by integrated bioinformatics analysis","type":"article-journal","volume":"19"},"uris":["http://www.mendeley.com/documents/?uuid=7d576b0d-4749-4388-8cc3-ae5ff95b0c05"]}],"mendeley":{"formattedCitation":"[11]","manualFormatting":"[12]","plainTextFormattedCitation":"[11]","previouslyFormattedCitation":"[12]"},"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12</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0E154077"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TIMP1, SLC4A4, AKR1B10 and ABCE1</w:t>
            </w:r>
          </w:p>
        </w:tc>
        <w:tc>
          <w:tcPr>
            <w:tcW w:w="3340" w:type="dxa"/>
          </w:tcPr>
          <w:p w14:paraId="6056D4FE"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78EAD6FC" w14:textId="77777777" w:rsidTr="00480378">
        <w:trPr>
          <w:gridAfter w:val="1"/>
          <w:wAfter w:w="329" w:type="dxa"/>
          <w:jc w:val="center"/>
        </w:trPr>
        <w:tc>
          <w:tcPr>
            <w:tcW w:w="2510" w:type="dxa"/>
          </w:tcPr>
          <w:p w14:paraId="794C9A0D" w14:textId="1805CD35"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Guo et al., 2017</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{"citationItems":[{"id":"ITEM-1","itemData":{"DOI":"10.3390/ijms18040722","ISSN":"14220067","PMID":"28350360","abstract":"Colorectal cancer (CRC) is one of the most common malignant diseases worldwide, but the involved signaling pathways and driven-genes are largely unclear. This study integrated four cohorts profile datasets to elucidate the potential key candidate genes and pathways in CRC. Expression profiles GSE28000, GSE21815, GSE44076 and GSE75970, including 319 CRC and 103 normal mucosa, were integrated and deeply analyzed. Differentially expressed genes (DEGs) were sorted and candidate genes and pathways enrichment were analyzed. DEGs-associated protein–protein interaction network (PPI) was performed. Firstly, 292 shared DEGs (165 up-regulated and 127 down-regulated) were identified from the four GSE datasets. Secondly, the DEGs were clustered based on functions and signaling pathways with significant enrichment analysis. Thirdly, 180 nodes/DEGs were identified from DEGs PPI network complex. Lastly, the most significant 2 modules were filtered from PPI, 31 central node genes were identified and most of the corresponding genes are involved in cell cycle process, chemokines and G protein-coupled receptor signaling pathways. Taken above, using integrated bioinformatical analysis, we have identified DEGs candidate genes and pathways in CRC, which could improve our understanding of the cause and underlying molecular events, and these candidate genes and pathways could be therapeutic targets for CRC.","author":[{"dropping-particle":"","family":"Guo","given":"Yongchen","non-dropping-particle":"","parse-names":false,"suffix":""},{"dropping-particle":"","family":"Bao","given":"Yonghua","non-dropping-particle":"","parse-names":false,"suffix":""},{"dropping-particle":"","family":"Ma","given":"Ming","non-dropping-particle":"","parse-names":false,"suffix":""},{"dropping-particle":"","family":"Yang","given":"Wancai","non-dropping-particle":"","parse-names":false,"suffix":""}],"container-title":"International Journal of Molecular Sciences","id":"ITEM-1","issue":"4","issued":{"date-parts":[["2017"]]},"title":"Identification of key candidate genes and pathways in colorectal cancer by integrated bioinformatical analysis","type":"article-journal","volume":"18"},"uris":["http://www.mendeley.com/documents/?uuid=216a3fe5-785f-485a-98fc-e2640935bb86"]}],"mendeley":{"formattedCitation":"[12]","manualFormatting":"[13]","plainTextFormattedCitation":"[12]","previouslyFormattedCitation":"[13]"},"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13</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0ABEF078" w14:textId="690208F9"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CDK1, CCNB1, CENPE, KIF20A, CXCL12, DLGAP5, CCNA2, ITGA2, MAD2L1, NMU</w:t>
            </w:r>
          </w:p>
        </w:tc>
        <w:tc>
          <w:tcPr>
            <w:tcW w:w="3340" w:type="dxa"/>
          </w:tcPr>
          <w:p w14:paraId="5A1BD5ED"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5EC137F9" w14:textId="77777777" w:rsidTr="00480378">
        <w:trPr>
          <w:gridAfter w:val="1"/>
          <w:wAfter w:w="329" w:type="dxa"/>
          <w:jc w:val="center"/>
        </w:trPr>
        <w:tc>
          <w:tcPr>
            <w:tcW w:w="2510" w:type="dxa"/>
          </w:tcPr>
          <w:p w14:paraId="64468558" w14:textId="2E193813"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Ding, Duan and Luo, 2020</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{"citationItems":[{"id":"ITEM-1","itemData":{"DOI":"10.3389/fgene.2020.00045","ISSN":"16648021","abstract":"Objective: Colorectal cancer (CRC) is considered the most prevalent malignant tumor that contributes to high cancer-related mortality. However, the signaling pathways involved in CRC and CRC-driven genes are largely unknown. We sought to discover a novel biomarker in CRC. Materials and Methods: All clinical CRC samples (n = 20) were from Renmin Hospital of Wuhan University. We first selected MAD2L1 by integrated bioinformatics analysis of a GSE dataset. Next, the expression of MAD2L1 in tissues and cell lines was verified by quantitative real-time PCR. The effects of MAD2L1 on cell growth, proliferation, the cell cycle, and apoptosis were examined by in vitro assays. Results: We identified 683 shared DEGs (420 upregulated and 263 downregulated), and the top twenty genes (CDK1, CCNA2, TOP2A, PLK1, MAD2L1, AURKA, BUB1B, UBE2C, TPX2, RRM2, KIF11, NCAPG, MELK, NUSAP1, MCM4, RFC4, PTTG1, CHEK1, CEP55, DTL) were selected by integrated analysis. These hub genes were significantly overexpressed in CRC samples and were positively correlated. Our data revealed that the expression of MAD2L1 in CRC tissues is higher than that in normal tissues. MAD2L1 knockdown significantly suppressed CRC cell growth by impairing cell cycle progression and inducing cell apoptosis. Conclusion: MAD2L1, as a novel oncogenic gene, plays a role in regulating cancer cell growth and apoptosis and could be used as a new biomarker for diagnosis and therapy in CRC.","author":[{"dropping-particle":"","family":"Ding","given":"Xiang","non-dropping-particle":"","parse-names":false,"suffix":""},{"dropping-particle":"","family":"Duan","given":"Houyu","non-dropping-particle":"","parse-names":false,"suffix":""},{"dropping-particle":"","family":"Luo","given":"Hesheng","non-dropping-particle":"","parse-names":false,"suffix":""}],"container-title":"Frontiers in Genetics","id":"ITEM-1","issued":{"date-parts":[["2020"]]},"title":"Identification of Core Gene Expression Signature and Key Pathways in Colorectal Cancer","type":"article-journal","volume":"11"},"uris":["http://www.mendeley.com/documents/?uuid=10c8a85a-d786-42b2-b9a2-e60682104ee9"]}],"mendeley":{"formattedCitation":"[13]","manualFormatting":"[14]","plainTextFormattedCitation":"[13]","previouslyFormattedCitation":"[14]"},"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14</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00766E4B"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CDK1, CCNA2, TOP2A, PLK1, MAD2L1, AURKA, BUB1B, UBE2C, TPX2, RRM2, KIF11, NCAPG, MELK, NUSAP1, MCM4, RFC4, PTTG1, CHEK1, CEP55, DTL</w:t>
            </w:r>
          </w:p>
        </w:tc>
        <w:tc>
          <w:tcPr>
            <w:tcW w:w="3340" w:type="dxa"/>
          </w:tcPr>
          <w:p w14:paraId="5A71E73F"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7C642DA4" w14:textId="77777777" w:rsidTr="00480378">
        <w:trPr>
          <w:gridAfter w:val="1"/>
          <w:wAfter w:w="329" w:type="dxa"/>
          <w:jc w:val="center"/>
        </w:trPr>
        <w:tc>
          <w:tcPr>
            <w:tcW w:w="2510" w:type="dxa"/>
          </w:tcPr>
          <w:p w14:paraId="358D39D4" w14:textId="35F3CD73"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Yuan et al., 2020</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{"citationItems":[{"id":"ITEM-1","itemData":{"DOI":"10.3389/fonc.2020.00638","ISSN":"2234943X","abstract":"Colorectal cancer (CRC) is the third leading cause of death in the world. However, the key roles of most molecules in CRC remain unclear. This study aimed to identify key modules and hub genes associated with the progression of CRC. The data of the patients with CRC were obtained from the Gene Expression Omnibus (GEO) database and assessed by weighted gene co-expression network analysis (WGCNA), Gene Ontology (GO) and Kyoto Encyclopedia of Genes and Genomes (KEGG) enrichment analyses performed in R. by WGCNA, several hub genes that regulate the mechanism of tumorigenesis in CRC were identified, which were associated with clinical traits. Next, we screened hub genes related to the progression of CRC authenticated by The Cancer Genome Atlas (TCGA) and Oncomine databases. Three hub genes (HCLS1, EVI2B, and CD48) were identified, and survival analysis was further performed. Moreover, the results of qPCR and immunohistochemistry staining revealed that HCLS1, EVI2B, and CD48 are tumor suppressor genes. Further, the functional study verified that over-expression of HCLS1, EVI2B, and CD48 can reduce the proliferation, migration, and invasion ability of CRC cells and significantly suppress CRC tumor growth in vivo. In summary, we identified three hub genes that were associated with the progression of CRC that can be applied in treatment.","author":[{"dropping-particle":"","family":"Yuan","given":"Yihang","non-dropping-particle":"","parse-names":false,"suffix":""},{"dropping-particle":"","family":"Chen","given":"Ji","non-dropping-particle":"","parse-names":false,"suffix":""},{"dropping-particle":"","family":"Wang","given":"Jue","non-dropping-particle":"","parse-names":false,"suffix":""},{"dropping-particle":"","family":"Xu","given":"Ming","non-dropping-particle":"","parse-names":false,"suffix":""},{"dropping-particle":"","family":"Zhang","given":"Yunpeng","non-dropping-particle":"","parse-names":false,"suffix":""},{"dropping-particle":"","family":"Sun","given":"Peng","non-dropping-particle":"","parse-names":false,"suffix":""},{"dropping-particle":"","family":"Liang","given":"Leilei","non-dropping-particle":"","parse-names":false,"suffix":""}],"container-title":"Frontiers in Oncology","id":"ITEM-1","issued":{"date-parts":[["2020"]]},"title":"Identification Hub Genes in Colorectal Cancer by Integrating Weighted Gene Co-Expression Network Analysis and Clinical Validation in vivo and vitro","type":"article-journal","volume":"10"},"uris":["http://www.mendeley.com/documents/?uuid=cfc2871d-3770-485d-9dc4-abb9c3a145ce"]}],"mendeley":{"formattedCitation":"[14]","manualFormatting":"[15]","plainTextFormattedCitation":"[14]","previouslyFormattedCitation":"[15]"},"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15</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05F042DA"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HCLS1, EVI2B, and CD48</w:t>
            </w:r>
          </w:p>
        </w:tc>
        <w:tc>
          <w:tcPr>
            <w:tcW w:w="3340" w:type="dxa"/>
          </w:tcPr>
          <w:p w14:paraId="6D414796"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6AACCFDD" w14:textId="77777777" w:rsidTr="00480378">
        <w:trPr>
          <w:gridAfter w:val="1"/>
          <w:wAfter w:w="329" w:type="dxa"/>
          <w:jc w:val="center"/>
        </w:trPr>
        <w:tc>
          <w:tcPr>
            <w:tcW w:w="2510" w:type="dxa"/>
          </w:tcPr>
          <w:p w14:paraId="2A37D900" w14:textId="214AB717"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Zhao et al., 2019</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{"citationItems":[{"id":"ITEM-1","itemData":{"DOI":"10.3934/mbe.2019145","ISSN":"15510018","PMID":"31137244","abstract":"Colorectal cancer (CRC) is one of the most common malignancies, giving rise to serious financial burden globally. This study was designed to explore the potential mechanisms implicated with CRC and identify some key biomarkers. CRC-associated gene expression dataset (GSE32323) was downloaded from GEO database. The differentially expressed genes (DEGs) were selected out based on the GEO2R tool. Gene ontology (GO) and Kyoto Encyclopedia of Genes and Genomes (KEGG) analyses were employed to search the enriched pathways of these DEGs. Additionally, a protein-protein interaction (PPI) network was also constructed to visualize interactions between these DEGs. Quantitative Real-time PCR (qPCR) was further performed to valid the top5 up-regulated and top5 down-regulated genes in patients with CRC. Finally, the survival analysis of the top5 up-regulated and top5 down-regulated genes was conducted using GEPIA, aiming to clarify their potential effects on CRC. In this study, a total of 451 DEGs were captured (306 down-regulated genes and 145 up-regulated genes). Among these DEGs, the top5 up-regulated genes were DPEP1, KRT23, CLDN1, LGR5 and FOXQ1 while the top5 down-regulated genes were CLCA4, ZG16, SLC4A4, ADH1B and GCG. GO analysis revealed that these DEGs were mainly enriched in cell adhesion, cell proliferation, RNA polymerase II promoter and chemokine activity. KEGG analysis disclosed that the enriched pathway included mineral absorption, chemokine signaling pathway, transcriptional misregulation in cancer, pathways in cancer and PPAR signaling pathway. Survival analysis showed that the expression level of ZG16 may correlate with the prognosis of CRC patients. Furthermore, according to the connectivity degree of these DEGs, we selected out the top15 hub genes, namely MYC, CXCR1, TOP2A, CXCL12, SST, TIMP1, SPP1, PPBP, CDK1, THBS1, CXCL1, PYY, LPAR1, BMP2 and MMP3, which were expected to be promising therapeutic target in CRC. Collectively, our analysis unveiled potential biomarkers and candidate targets in CRC, which could be helpful to the diagnosis and treatment of CRC.","author":[{"dropping-particle":"","family":"Zhao","given":"Zhongwei","non-dropping-particle":"","parse-names":false,"suffix":""},{"dropping-particle":"","family":"Fan","given":"Xiaoxi","non-dropping-particle":"","parse-names":false,"suffix":""},{"dropping-particle":"","family":"Yang","given":"Lili","non-dropping-particle":"","parse-names":false,"suffix":""},{"dropping-particle":"","family":"Song","given":"Jingjing","non-dropping-particle":"","parse-names":false,"suffix":""},{"dropping-particle":"","family":"Fang","given":"Shiji","non-dropping-particle":"","parse-names":false,"suffix":""},{"dropping-particle":"","family":"Tu","given":"Jianfei","non-dropping-particle":"","parse-names":false,"suffix":""},{"dropping-particle":"","family":"Chen","given":"Minjiang","non-dropping-particle":"","parse-names":false,"suffix":""},{"dropping-particle":"","family":"Zheng","given":"Liyun","non-dropping-particle":"","parse-names":false,"suffix":""},{"dropping-particle":"","family":"Wu","given":"Fazong","non-dropping-particle":"","parse-names":false,"suffix":""},{"dropping-particle":"","family":"Zhang","given":"Dengke","non-dropping-particle":"","parse-names":false,"suffix":""},{"dropping-particle":"","family":"Ying","given":"Xihui","non-dropping-particle":"","parse-names":false,"suffix":""},{"dropping-particle":"","family":"Ji","given":"Jiansong","non-dropping-particle":"","parse-names":false,"suffix":""}],"container-title":"Mathematical Biosciences and Engineering","id":"ITEM-1","issue":"4","issued":{"date-parts":[["2019"]]},"page":"2942-2958","title":"The identification of a common different gene expression signature in patients with colorectal cancer","type":"article-journal","volume":"16"},"uris":["http://www.mendeley.com/documents/?uuid=ed65d3ad-3d65-406f-a69d-f2b0eb09be0f"]}],"mendeley":{"formattedCitation":"[15]","manualFormatting":"[16]","plainTextFormattedCitation":"[15]","previouslyFormattedCitation":"[16]"},"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16</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3B8CA88C"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MYC, CXCR1, TOP2A, CXCL12, SST, TIMP1, SPP1, PPBP, CDK1, THBS1, CXCL1, PYY, LPAR1, BMP2 and MMP3</w:t>
            </w:r>
          </w:p>
        </w:tc>
        <w:tc>
          <w:tcPr>
            <w:tcW w:w="3340" w:type="dxa"/>
          </w:tcPr>
          <w:p w14:paraId="1E2ACAA5"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1182D546" w14:textId="77777777" w:rsidTr="00480378">
        <w:trPr>
          <w:gridAfter w:val="1"/>
          <w:wAfter w:w="329" w:type="dxa"/>
          <w:jc w:val="center"/>
        </w:trPr>
        <w:tc>
          <w:tcPr>
            <w:tcW w:w="2510" w:type="dxa"/>
          </w:tcPr>
          <w:p w14:paraId="02AF4CC5" w14:textId="4EE0BCDD"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Tang et al., 2020</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{"citationItems":[{"id":"ITEM-1","itemData":{"DOI":"10.1111/1751-2980.12936","ISSN":"17512980","PMID":"32896975","abstract":"Objective: It is unclear how primary colorectal cancer (CRC) cells select to metastasize to the liver or lungs, the most frequent distant metastasis of CRC. We aimed to identify the key genes and pathways that may predict the distant metastasis of CRC to these sites. Methods: Three gene expression array datasets from the Gene Expression Omnibus were analyzed. Protein–protein network analyses, best subsets regressions and backward stepwise regression analyses were used to screen the key genes and their expressions were used to construct a predictive logistic regression model. Expression data from local clinical samples were used as a validation dataset. The receiver operating characteristic (ROC) curve was used to test the performance of the predictive model. Results: In total, 59 differentially expressed genes (DEG) related to liver-metastasis, 90 related to lung metastasis and 45 related to both liver and lung metastasis were identified. The KEGG pathways and gene oncology (GO) terms that were enriched in liver and lung metastasis were identified. A predictive logistic regression model consisted of SPARC, COL1A2, MMP9, COL11A1, COL3A1, CXCL12 and THBS2 was established. The area under the ROC curve reached 0.839 in predicting liver and lung metastasis, using our clinical samples as the validation dataset. Conclusions: Seven key genes capable of predicting liver and lung metastasis of colorectal cancer were identified, which provides clues for exploring the mechanism of selecting target organs during the metastatic process in CRC and inspires the researches for new potential targets for therapy to inhibit metastasis.","author":[{"dropping-particle":"","family":"Tang","given":"Li","non-dropping-particle":"","parse-names":false,"suffix":""},{"dropping-particle":"","family":"Lei","given":"Yuan Yuan","non-dropping-particle":"","parse-names":false,"suffix":""},{"dropping-particle":"","family":"Liu","given":"Yao Jiang","non-dropping-particle":"","parse-names":false,"suffix":""},{"dropping-particle":"","family":"Tang","given":"Bo","non-dropping-particle":"","parse-names":false,"suffix":""},{"dropping-particle":"","family":"Yang","given":"Shi Ming","non-dropping-particle":"","parse-names":false,"suffix":""}],"container-title":"Journal of Digestive Diseases","id":"ITEM-1","issue":"11","issued":{"date-parts":[["2020"]]},"page":"639-649","title":"The expression of seven key genes can predict distant metastasis of colorectal cancer to the liver or lung","type":"article-journal","volume":"21"},"uris":["http://www.mendeley.com/documents/?uuid=6b862993-d847-4b5e-8a8f-e9d7688aa5c2"]}],"mendeley":{"formattedCitation":"[16]","manualFormatting":"[17]","plainTextFormattedCitation":"[16]","previouslyFormattedCitation":"[17]"},"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17</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1A20E23B"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SPARC, COL1A2, MMP9, COL11A1, COL3A1, CXCL12 and THBS2</w:t>
            </w:r>
          </w:p>
        </w:tc>
        <w:tc>
          <w:tcPr>
            <w:tcW w:w="3340" w:type="dxa"/>
          </w:tcPr>
          <w:p w14:paraId="7A93C1E8"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69FE27C9" w14:textId="77777777" w:rsidTr="00480378">
        <w:trPr>
          <w:gridAfter w:val="1"/>
          <w:wAfter w:w="329" w:type="dxa"/>
          <w:jc w:val="center"/>
        </w:trPr>
        <w:tc>
          <w:tcPr>
            <w:tcW w:w="2510" w:type="dxa"/>
          </w:tcPr>
          <w:p w14:paraId="633C98CC" w14:textId="7FCFEFC7"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Hozhabri et al., 2021</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{"citationItems":[{"id":"ITEM-1","itemData":{"DOI":"10.1007/s12032-020-01448-9","ISSN":"1559131X","PMID":"33411100","abstract":"Colorectal cancer (CRC) is one of the most common malignant tumor and prevalent cause of cancer-related death worldwide. In this study, we analyzed the gene expression profiles of patients with CRC with the aim of better understanding the molecular mechanism and key genes in CRC. Four gene expression profiles including, GSE9348, GSE41328, GSE41657, and GSE113513 were downloaded from GEO database. The data were processed using R programming language, in which 319 common differentially expressed genes including 94 up-regulated and 225 down-regulated were identified. The gene ontology (GO) and Kyoto Encyclopedia of Genes and Genomes pathway (KEGG) enrichment analyses were conducted to find the most significant enriched pathways in CRC. Based on the GO and KEGG pathway analysis, the most important dysregulated pathways were regulation of cell proliferation, biocarbonate transport, Wnt, and IL-17 signaling pathways, and nitrogen metabolism. The protein–protein interaction (PPI) network of the DEGs was constructed using Cytoscape software and hub genes including MYC, CXCL1, CD44, MMP1, and CXCL12 were identified as the most critical hub genes. The present study enhances our understanding of the molecular mechanisms of the CRC, which might potentially be applied in the treatment strategies of CRC as molecular targets and diagnostic biomarkers.","author":[{"dropping-particle":"","family":"Hozhabri","given":"Hossein","non-dropping-particle":"","parse-names":false,"suffix":""},{"dropping-particle":"","family":"Lashkari","given":"Ali","non-dropping-particle":"","parse-names":false,"suffix":""},{"dropping-particle":"","family":"Razavi","given":"Seyed Morteza","non-dropping-particle":"","parse-names":false,"suffix":""},{"dropping-particle":"","family":"Mohammadian","given":"Ali","non-dropping-particle":"","parse-names":false,"suffix":""}],"container-title":"Medical Oncology","id":"ITEM-1","issue":"1","issued":{"date-parts":[["2021"]]},"title":"Integration of gene expression data identifies key genes and pathways in colorectal cancer","type":"article-journal","volume":"38"},"uris":["http://www.mendeley.com/documents/?uuid=58cc0f37-8ddc-421c-9f1f-2338851a9a06"]}],"mendeley":{"formattedCitation":"[17]","manualFormatting":"[18]","plainTextFormattedCitation":"[17]","previouslyFormattedCitation":"[18]"},"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18</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26BEB70F"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MYC, CXCL1, CD44, MMP1, and CXCL12</w:t>
            </w:r>
          </w:p>
        </w:tc>
        <w:tc>
          <w:tcPr>
            <w:tcW w:w="3340" w:type="dxa"/>
          </w:tcPr>
          <w:p w14:paraId="7D8171F8"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4490E25D" w14:textId="77777777" w:rsidTr="00480378">
        <w:trPr>
          <w:gridAfter w:val="1"/>
          <w:wAfter w:w="329" w:type="dxa"/>
          <w:jc w:val="center"/>
        </w:trPr>
        <w:tc>
          <w:tcPr>
            <w:tcW w:w="2510" w:type="dxa"/>
          </w:tcPr>
          <w:p w14:paraId="56492B0D" w14:textId="016D2E4A"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Berg et al., 2017</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{"citationItems":[{"id":"ITEM-1","itemData":{"DOI":"10.1186/s12943-017-0691-y","ISSN":"14764598","PMID":"28683746","abstract":"Background: Colorectal cancer (CRC) cell lines are widely used pre-clinical model systems. Comprehensive insights into their molecular characteristics may improve model selection for biomedical studies. Methods: We have performed DNA, RNA and protein profiling of 34 cell lines, including (i) targeted deep sequencing (n = 612 genes) to detect single nucleotide variants and insertions/deletions; (ii) high resolution DNA copy number profiling; (iii) gene expression profiling at exon resolution; (iv) small RNA expression profiling by deep sequencing; and (v) protein expression analysis (n = 297 proteins) by reverse phase protein microarrays. Results: The cell lines were stratified according to the key molecular subtypes of CRC and data were integrated at two or more levels by computational analyses. We confirm that the frequencies and patterns of DNA aberrations are associated with genomic instability phenotypes and that the cell lines recapitulate the genomic profiles of primary carcinomas. Intrinsic expression subgroups are distinct from genomic subtypes, but consistent at the gene-, microRNA- and protein-level and dominated by two distinct clusters; colon-like cell lines characterized by expression of gastro-intestinal differentiation markers and undifferentiated cell lines showing upregulation of epithelial-mesenchymal transition and TGFβ signatures. This sample split was concordant with the gene expression-based consensus molecular subtypes of primary tumors. Approximately 1/4 of the genes had consistent regulation at the DNA copy number and gene expression level, while expression of gene-protein pairs in general was strongly correlated. Consistent high-level DNA copy number amplification and outlier gene- and protein- expression was found for several oncogenes in individual cell lines, including MYC and ERBB2. Conclusions: This study expands the view of CRC cell lines as accurate molecular models of primary carcinomas, and we present integrated multi-level molecular data of 34 widely used cell lines in easily accessible formats, providing a resource for preclinical studies in CRC.","author":[{"dropping-particle":"","family":"Berg","given":"Kaja C.G.","non-dropping-particle":"","parse-names":false,"suffix":""},{"dropping-particle":"","family":"Eide","given":"Peter W.","non-dropping-particle":"","parse-names":false,"suffix":""},{"dropping-particle":"","family":"Eilertsen","given":"Ina A.","non-dropping-particle":"","parse-names":false,"suffix":""},{"dropping-particle":"","family":"Johannessen","given":"Bjarne","non-dropping-particle":"","parse-names":false,"suffix":""},{"dropping-particle":"","family":"Bruun","given":"Jarle","non-dropping-particle":"","parse-names":false,"suffix":""},{"dropping-particle":"","family":"Danielsen","given":"Stine A.","non-dropping-particle":"","parse-names":false,"suffix":""},{"dropping-particle":"","family":"Bjørnslett","given":"Merete","non-dropping-particle":"","parse-names":false,"suffix":""},{"dropping-particle":"","family":"Meza-Zepeda","given":"Leonardo A.","non-dropping-particle":"","parse-names":false,"suffix":""},{"dropping-particle":"","family":"Eknæs","given":"Mette","non-dropping-particle":"","parse-names":false,"suffix":""},{"dropping-particle":"","family":"Lind","given":"Guro E.","non-dropping-particle":"","parse-names":false,"suffix":""},{"dropping-particle":"","family":"Myklebost","given":"Ola","non-dropping-particle":"","parse-names":false,"suffix":""},{"dropping-particle":"","family":"Skotheim","given":"Rolf I.","non-dropping-particle":"","parse-names":false,"suffix":""},{"dropping-particle":"","family":"Sveen","given":"Anita","non-dropping-particle":"","parse-names":false,"suffix":""},{"dropping-particle":"","family":"Lothe","given":"Ragnhild A.","non-dropping-particle":"","parse-names":false,"suffix":""}],"container-title":"Molecular Cancer","id":"ITEM-1","issue":"1","issued":{"date-parts":[["2017"]]},"title":"Multi-omics of 34 colorectal cancer cell lines - a resource for biomedical studies","type":"article-journal","volume":"16"},"uris":["http://www.mendeley.com/documents/?uuid=81c5fb76-f9ca-4937-bf6e-c38bd42d9600"]}],"mendeley":{"formattedCitation":"[18]","manualFormatting":"[19]","plainTextFormattedCitation":"[18]","previouslyFormattedCitation":"[19]"},"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19</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5005742E"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MYC and ERBB2</w:t>
            </w:r>
          </w:p>
        </w:tc>
        <w:tc>
          <w:tcPr>
            <w:tcW w:w="3340" w:type="dxa"/>
          </w:tcPr>
          <w:p w14:paraId="7C46D61C"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4FE1DB12" w14:textId="77777777" w:rsidTr="00480378">
        <w:trPr>
          <w:gridAfter w:val="1"/>
          <w:wAfter w:w="329" w:type="dxa"/>
          <w:jc w:val="center"/>
        </w:trPr>
        <w:tc>
          <w:tcPr>
            <w:tcW w:w="2510" w:type="dxa"/>
          </w:tcPr>
          <w:p w14:paraId="0548DCBC" w14:textId="43E41DB1"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Qi et al., 2019</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{"citationItems":[{"id":"ITEM-1","itemData":{"DOI":"10.1089/cmb.2018.0237","ISSN":"10665277","PMID":"30810359","abstract":"Colorectal cancer (CRC) is the third most prevalent cancer in the world. Although great progress has been made, the specific molecular mechanism remains unclear. This study aimed to explore the differentially expressed genes (DEGs) and underlying mechanisms of CRC using bioinformatics analysis. In this study, we identified a total of 1353 DEGs in the database of GSE113513, including 715 up- and 638 downregulated genes. Gene ontology analysis results showed that upregulated DEGs were significantly enriched in cell division, cell proliferation, and DNA replication. The downregulated DEGs were enriched in immune response, relation of cell growth and inflammatory response. The Kyoto Encyclopedia of Genes and Genomes pathway analysis showed that upregulated DEGs were enriched in cell cycle and p53 signaling pathway, whereas the downregulated DEGs were enriched in drug metabolism, metabolism of xenobiotics by cytochrome P450, and nitrogen metabolism. A total of 124 up-key genes and 35 down-key genes were identified from the protein-protein interaction networks. Furthermore, we identified five up-modules (up-A, up-B, up-C, up-D, and up-E) and three down-modules (d-A, d-B, and d-C) by module analysis. The module up-A was enriched in sister chromatid cohesion, cell division, and mitotic nuclear division. Pathways associated with cell cycle, progesterone-mediated oocyte maturation, oocyte meiosis, and p53 signaling pathway. Whereas the d-A was mainly enriched in G-protein coupled receptor signaling pathway, cell chemotaxis, and chemokine-mediated signaling pathway. The pathways enriched in chemokine signaling pathway, cytokine-cytokine receptor interaction, and alcoholism. These key genes and pathways might be used as molecular targets and diagnostic biomarkers for the treatment of CRC.","author":[{"dropping-particle":"","family":"Qi","given":"Yuewen","non-dropping-particle":"","parse-names":false,"suffix":""},{"dropping-particle":"","family":"Qi","given":"Haowen","non-dropping-particle":"","parse-names":false,"suffix":""},{"dropping-particle":"","family":"Liu","given":"Zeyuan","non-dropping-particle":"","parse-names":false,"suffix":""},{"dropping-particle":"","family":"He","given":"Peiyuan","non-dropping-particle":"","parse-names":false,"suffix":""},{"dropping-particle":"","family":"Li","given":"Bingqing","non-dropping-particle":"","parse-names":false,"suffix":""}],"container-title":"Journal of Computational Biology","id":"ITEM-1","issue":"4","issued":{"date-parts":[["2019"]]},"page":"364-375","title":"Bioinformatics Analysis of Key Genes and Pathways in Colorectal Cancer","type":"article-journal","volume":"26"},"uris":["http://www.mendeley.com/documents/?uuid=9c4921f7-f117-4bd8-83b0-f36c5b3365f9"]}],"mendeley":{"formattedCitation":"[19]","manualFormatting":"[20]","plainTextFormattedCitation":"[19]","previouslyFormattedCitation":"[20]"},"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20</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5748CEB2"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CDK1, FBL, CIRH1A, KIF2C, TOP2A, KNG1, LPAR1, GNG7, CCL5, and GNAI1</w:t>
            </w:r>
          </w:p>
        </w:tc>
        <w:tc>
          <w:tcPr>
            <w:tcW w:w="3340" w:type="dxa"/>
          </w:tcPr>
          <w:p w14:paraId="1F2E578F" w14:textId="29195BC4"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3D87149B" w14:textId="77777777" w:rsidTr="00480378">
        <w:trPr>
          <w:gridAfter w:val="1"/>
          <w:wAfter w:w="329" w:type="dxa"/>
          <w:jc w:val="center"/>
        </w:trPr>
        <w:tc>
          <w:tcPr>
            <w:tcW w:w="2510" w:type="dxa"/>
          </w:tcPr>
          <w:p w14:paraId="269E1E61" w14:textId="420784AC"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Z. Chen et al., 2019</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{"citationItems":[{"id":"ITEM-1","itemData":{"DOI":"10.3892/ol.2019.10996","ISSN":"17921082","abstract":"Colorectal cancer (CRC) is one of the most common cancers of the digestive tract. Although numerous studies have been conducted to elucidate the cause of CRC, the exact mechanism of CRC development remains to be determined. To identify candidate genes that may be involved in CRC development and progression, the microarray datasets GSE41657, GSE77953 and GSE113513 were downloaded from the Gene Expression Omnibus database. Gene Ontology and Kyoto Encyclopedia of Genes and Genomes were used for functional enrichment analysis of differentially expressed genes (DEGs). A protein-protein interaction network was constructed, and the hub genes were subjected to module analysis and identification using Search Tool for the Retrieval of Interacting Genes/Proteins and Cytoscape. A total of 142 DEGs were identified, with enriched functions and pathways in the ‘cell cycle’, ‘cell proliferation’, ‘the mitotic cell cycle’ and ‘one-carbon metabolic process’. In addition, 10 hub genes were identified, and functional analysis indicated that these genes are mainly enriched in ‘cell division’, ‘cell cycle’ and functions associated with nucleotide binding processes. Survival analysis demonstrated that DNA topoisomerase II α, cyclin-dependent kinase 1 and CDC28 protein kinase regulatory subunit 2 may be involved in cancer invasion or recurrence. The DEGs identified in the present study may help explain the molecular mechanisms of CRC development and progression.","author":[{"dropping-particle":"","family":"Chen","given":"Zhihua","non-dropping-particle":"","parse-names":false,"suffix":""},{"dropping-particle":"","family":"Lin","given":"Yilin","non-dropping-particle":"","parse-names":false,"suffix":""},{"dropping-particle":"","family":"Gao","given":"Ji","non-dropping-particle":"","parse-names":false,"suffix":""},{"dropping-particle":"","family":"Lin","given":"Suyong","non-dropping-particle":"","parse-names":false,"suffix":""},{"dropping-particle":"","family":"Zheng","given":"Yan","non-dropping-particle":"","parse-names":false,"suffix":""},{"dropping-particle":"","family":"Liu","given":"Yisu","non-dropping-particle":"","parse-names":false,"suffix":""},{"dropping-particle":"","family":"Chen","given":"Shao Qin","non-dropping-particle":"","parse-names":false,"suffix":""}],"container-title":"Oncology Letters","id":"ITEM-1","issue":"6","issued":{"date-parts":[["2019"]]},"page":"6583-6593","title":"Identification of key candidate genes for colorectal cancer by bioinformatics analysis","type":"article-journal","volume":"18"},"uris":["http://www.mendeley.com/documents/?uuid=db30a09a-043f-46d6-9308-dbb0d9e5a7f0"]}],"mendeley":{"formattedCitation":"[20]","manualFormatting":"[21]","plainTextFormattedCitation":"[20]","previouslyFormattedCitation":"[21]"},"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21</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shd w:val="clear" w:color="auto" w:fill="auto"/>
          </w:tcPr>
          <w:p w14:paraId="1B0024BD" w14:textId="4CE244AB"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TOP2A, PAICS, CDK1, CKS2, CKAP2, CEP55, VEGFA, PHLPP2, RRM2, NEK2</w:t>
            </w:r>
          </w:p>
        </w:tc>
        <w:tc>
          <w:tcPr>
            <w:tcW w:w="3340" w:type="dxa"/>
          </w:tcPr>
          <w:p w14:paraId="6F8E34A8"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434E774A" w14:textId="77777777" w:rsidTr="00480378">
        <w:trPr>
          <w:gridAfter w:val="1"/>
          <w:wAfter w:w="329" w:type="dxa"/>
          <w:jc w:val="center"/>
        </w:trPr>
        <w:tc>
          <w:tcPr>
            <w:tcW w:w="2510" w:type="dxa"/>
          </w:tcPr>
          <w:p w14:paraId="022E56A7" w14:textId="472E8471"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Mastrogamvraki and Zaravinos, 2020</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{"citationItems":[{"id":"ITEM-1","itemData":{"DOI":"10.1038/s41540-020-00144-8","ISSN":"20567189","PMID":"32737302","abstract":"The deregulated genes in colorectal cancer (CRC) vary significantly across different studies. Thus, a systems biology approach is needed to identify the co-deregulated genes (co-DEGs), explore their molecular networks, and spot the major hub proteins within these networks. We reanalyzed 19 GEO gene expression profiles to identify and annotate CRC versus normal signatures, single-gene perturbation, and single-drug perturbation signatures. We identified the co-DEGs across different studies, their upstream regulating kinases and transcription factors (TFs). Connectivity Map was used to identify likely repurposing drugs against CRC within each group. The functional changes of the co-upregulated genes in the first category were mainly associated with negative regulation of transforming growth factor β production and glomerular epithelial cell differentiation; whereas the co-downregulated genes were enriched in cotranslational protein targeting to the membrane. We identified 17 hub proteins across the co-upregulated genes and 18 hub proteins across the co-downregulated genes, composed of well-known TFs (MYC, TCF3, PML) and kinases (CSNK2A1, CDK1/4, MAPK14), and validated most of them using GEPIA2 and HPA, but also through two signature gene lists composed of the co-up and co-downregulated genes. We further identified a list of repurposing drugs that can potentially target the co-DEGs in CRC, including camptothecin, neostigmine bromide, emetine, remoxipride, cephaeline, thioridazine, and omeprazole. Similar analyses were performed in the co-DEG signatures in single-gene or drug perturbation experiments in CRC. MYC, PML, CDKs, CSNK2A1, and MAPKs were common hub proteins among all studies. Overall, we identified the critical genes in CRC and we propose repurposing drugs that could be used against them.","author":[{"dropping-particle":"","family":"Mastrogamvraki","given":"Natalia","non-dropping-particle":"","parse-names":false,"suffix":""},{"dropping-particle":"","family":"Zaravinos","given":"Apostolos","non-dropping-particle":"","parse-names":false,"suffix":""}],"container-title":"npj Systems Biology and Applications","id":"ITEM-1","issue":"1","issued":{"date-parts":[["2020"]]},"title":"Signatures of co-deregulated genes and their transcriptional regulators in colorectal cancer","type":"article-journal","volume":"6"},"uris":["http://www.mendeley.com/documents/?uuid=158e6d62-1a89-42ae-8aa9-c8ae26475575"]}],"mendeley":{"formattedCitation":"[21]","manualFormatting":"[22]","plainTextFormattedCitation":"[21]","previouslyFormattedCitation":"[22]"},"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22</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46BEFE10"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MYC, PML, CDKs, CSNK2A1, and MAPK</w:t>
            </w:r>
          </w:p>
        </w:tc>
        <w:tc>
          <w:tcPr>
            <w:tcW w:w="3340" w:type="dxa"/>
          </w:tcPr>
          <w:p w14:paraId="28258AE7"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1399E658" w14:textId="77777777" w:rsidTr="00480378">
        <w:trPr>
          <w:gridAfter w:val="1"/>
          <w:wAfter w:w="329" w:type="dxa"/>
          <w:jc w:val="center"/>
        </w:trPr>
        <w:tc>
          <w:tcPr>
            <w:tcW w:w="2510" w:type="dxa"/>
          </w:tcPr>
          <w:p w14:paraId="344334A4" w14:textId="3F499DB7"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Liu et al., 2020</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{"citationItems":[{"id":"ITEM-1","itemData":{"DOI":"10.12659/MSM.918906","ISSN":"16433750","PMID":"31893510","abstract":"Background: Despite noteworthy advancements in the multidisciplinary treatment of colorectal cancer (CRC) and deeper understanding in the molecular mechanisms of CRC, many of CRC patients with histologically identical tumors present different treatment response and prognosis. Thus, more evidence on novel predictive and prognostic biomarkers for CRC remains urgently needed. This study aims to identify potential prognostic biomarkers for CRC with integrative gene expression profiling analysis. Material/Methods: Differential expression analysis of paired CRC and adjacent normal tissue samples in 6 microarray datasets was independently performed, and the 6 datasets were integrated by the robust rank aggregation method to detect consistent differentially expressed genes (DEGs). Aberrant expression patterns of these genes were further validated in RNA sequencing data. Then, gene set enrichment analysis (GSEA) was performed to investigate significantly dysregulated biological functions in CRC. Finally, univariate, LASSO and multivariate Cox regression models were built to identify key prognostic genes in CRC patients. Results: A total of 990 DEGs (495 downregulated and 495 upregulated genes) were acquired after integratedly analyzing the 6 microarray datasets, and 4131 DEGs (2050 downregulated and 2081 upregulated genes) were obtained from the RNA sequencing dataset. Subsequently, these DEGs were intersected and 885 consistent DEGs were finally identified, including 458 downregulated and 427 upregulated genes. Two risky prognostic genes (TIMP1 and LZTS3) and 5 protective prognostic genes (AXIN2, CXCL1, ITLN1, CPT2 and CLDN23) were identified, which were significantly associated with the prognosis of CRC. Conclusions: The 7 genes that we identified would provide more evidence for further applying novel diagnostic and prognostic biomarkers in clinical practice to facilitate personalized treatment of CRC.","author":[{"dropping-particle":"","family":"Liu","given":"Xinkui","non-dropping-particle":"","parse-names":false,"suffix":""},{"dropping-particle":"","family":"Bing","given":"Zhitong","non-dropping-particle":"","parse-names":false,"suffix":""},{"dropping-particle":"","family":"Wu","given":"Jiarui","non-dropping-particle":"","parse-names":false,"suffix":""},{"dropping-particle":"","family":"Zhang","given":"Jingyuan","non-dropping-particle":"","parse-names":false,"suffix":""},{"dropping-particle":"","family":"Zhou","given":"Wei","non-dropping-particle":"","parse-names":false,"suffix":""},{"dropping-particle":"","family":"Ni","given":"Mengwei","non-dropping-particle":"","parse-names":false,"suffix":""},{"dropping-particle":"","family":"Meng","given":"Ziqi","non-dropping-particle":"","parse-names":false,"suffix":""},{"dropping-particle":"","family":"Liu","given":"Shuyu","non-dropping-particle":"","parse-names":false,"suffix":""},{"dropping-particle":"","family":"Tian","given":"Jinhui","non-dropping-particle":"","parse-names":false,"suffix":""},{"dropping-particle":"","family":"Zhang","given":"Xiaomeng","non-dropping-particle":"","parse-names":false,"suffix":""},{"dropping-particle":"","family":"Li","given":"Yingfei","non-dropping-particle":"","parse-names":false,"suffix":""},{"dropping-particle":"","family":"Jia","given":"Shanshan","non-dropping-particle":"","parse-names":false,"suffix":""},{"dropping-particle":"","family":"Guo","given":"Siyu","non-dropping-particle":"","parse-names":false,"suffix":""}],"container-title":"Medical Science Monitor","id":"ITEM-1","issued":{"date-parts":[["2020"]]},"title":"Integrative gene expression profiling analysis to investigate potential prognostic biomarkers for colorectal cancer","type":"article-journal","volume":"26"},"uris":["http://www.mendeley.com/documents/?uuid=096ae6ee-408e-49aa-b5bf-a9da6fa4cb3f"]}],"mendeley":{"formattedCitation":"[22]","manualFormatting":"[23]","plainTextFormattedCitation":"[22]","previouslyFormattedCitation":"[23]"},"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23</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11473A7E"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AXIN2, CXCL1, ITLN1, CPT2, CLDN23, TIMP1 and LZTS3</w:t>
            </w:r>
          </w:p>
        </w:tc>
        <w:tc>
          <w:tcPr>
            <w:tcW w:w="3340" w:type="dxa"/>
          </w:tcPr>
          <w:p w14:paraId="749BAF1D"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43068CB5" w14:textId="77777777" w:rsidTr="00480378">
        <w:trPr>
          <w:gridAfter w:val="1"/>
          <w:wAfter w:w="329" w:type="dxa"/>
          <w:jc w:val="center"/>
        </w:trPr>
        <w:tc>
          <w:tcPr>
            <w:tcW w:w="2510" w:type="dxa"/>
          </w:tcPr>
          <w:p w14:paraId="12268CB9" w14:textId="0F3EA48A"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Pirim, 2020</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{"citationItems":[{"id":"ITEM-1","itemData":{"DOI":"10.3233/CBM-191263","ISSN":"18758592","PMID":"32176635","abstract":"BACKGROUND: Colorectal cancer (CRC) is one of the leading causes of cancer-related deaths and mining the molecular factors underlying CRC pathogenesis is imperative for alleviating the disease burden. OBJECTIVE: To highlight key molecular pathways, prioritize hub genes and their regulators related to CRC. METHODS: Data sets of TCGA-COAD and GTEx were used to identify differentially expressed genes (DEGs) and their functional enrichments in pathways and biological processes were analyzed using bioinformatics tools. Protein-protein interaction network was constructed and hub genes were identified using Cytoscape. Ingenuity Pathway Analysis was used to analyze the relations of the hub genes with diseases and canonical pathways. Key regulators targeting the hub genes such as TFs, miRNAs and their interactions were identified using in silico tools. RESULTS: AURKA, CDK1, MYC, CDH1, CCNB1, CDC20, UBE2C, PLK1, KIF11, and CCNA2 were prioritized as hub genes based on their topological properties. Enrichment analyses emphasized the roles of DEGs and hub genes in the cell cycle process. Interactions of the hub genes with TFs and miRNAs suggested TP53, EZH2 and KLF4 as being promising candidate biomarkers for CRC. CONCLUSIONS: Our results provide in silico evidence for candidate biomolecules that may have strong biomarker potential for CRC-related translational strategies.","author":[{"dropping-particle":"","family":"Pirim","given":"Dilek","non-dropping-particle":"","parse-names":false,"suffix":""}],"container-title":"Cancer Biomarkers","id":"ITEM-1","issue":"4","issued":{"date-parts":[["2020"]]},"page":"555-568","title":"Integrative analyses of molecular pathways and key candidate biomarkers associated with colorectal cancer","type":"article-journal","volume":"27"},"uris":["http://www.mendeley.com/documents/?uuid=1417f591-77cc-4376-bf51-03891a9b3364"]}],"mendeley":{"formattedCitation":"[23]","manualFormatting":"[24]","plainTextFormattedCitation":"[23]","previouslyFormattedCitation":"[24]"},"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24</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6BF14502" w14:textId="77777777" w:rsidR="00B525CE" w:rsidRPr="005D091C" w:rsidRDefault="00B525CE" w:rsidP="00B525CE">
            <w:pPr>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AURKA, CDK1, MYC, CDH1, CCNB1, CDC20, UBE2C, PLK1, KIF11, and CCNA2</w:t>
            </w:r>
          </w:p>
        </w:tc>
        <w:tc>
          <w:tcPr>
            <w:tcW w:w="3340" w:type="dxa"/>
          </w:tcPr>
          <w:p w14:paraId="21F15996" w14:textId="77777777" w:rsidR="00B525CE" w:rsidRPr="00D63E2A" w:rsidRDefault="00B525CE" w:rsidP="00B525CE">
            <w:pPr>
              <w:spacing w:after="225" w:line="360" w:lineRule="atLeast"/>
              <w:jc w:val="center"/>
              <w:rPr>
                <w:rFonts w:ascii="Times New Roman" w:hAnsi="Times New Roman" w:cs="Times New Roman"/>
                <w:sz w:val="22"/>
                <w:shd w:val="clear" w:color="auto" w:fill="FFFFFF"/>
              </w:rPr>
            </w:pPr>
          </w:p>
        </w:tc>
      </w:tr>
      <w:tr w:rsidR="00B525CE" w:rsidRPr="00D63E2A" w14:paraId="70074101" w14:textId="77777777" w:rsidTr="00480378">
        <w:trPr>
          <w:gridAfter w:val="1"/>
          <w:wAfter w:w="329" w:type="dxa"/>
          <w:jc w:val="center"/>
        </w:trPr>
        <w:tc>
          <w:tcPr>
            <w:tcW w:w="2510" w:type="dxa"/>
          </w:tcPr>
          <w:p w14:paraId="6D50E4F3" w14:textId="5CE5E7C2"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lastRenderedPageBreak/>
              <w:t>Cui et al., 2017</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{"citationItems":[{"id":"ITEM-1","itemData":{"DOI":"10.3892/mmr.2016.6058","ISSN":"17913004","PMID":"28000901","abstract":"As the most common type of cancer and the second leading cause of cancer-associated mortality, colorectal cancer (CRC) has received increasing attention. The aim of the present study was to investigate the mechanisms of CRC by analyzing the microarray dataset, GSE32323. The GSE32323 dataset was downloaded from the Gene Expression Omnibus, and included 17 pairs of matched cancer and normal colorectal tissue samples. The differentially expressed genes (DEGs) were screened using the Linear Models for Microarray Data package and a search of CRC genes, also denoted as seed genes, was performed using the Online Mendelian Inheritance in Man database. Subsequently, the protein-protein interaction (PPI) network was downloaded from the Search Tool for the Retrieval of Interacting Genes database and the sub-network (CRC.PPI) of the DEGs and seed genes were obtained. In addition, the top 50 nodes with highest affinity scores in the CRC.PPI were identified using random walk with restart analysis. The potential functions of the DEGs included in the top 50 nodes were analyzed using the Database for Annotation, Visualization and Integrated Discovery online tool. Using the Drug Gene Interaction database, drug-gene interaction analysis was performed to identify antineoplastic drug interacts with genes. A total of 1,640 DEGs between the CRC and normal samples were screened. The obtained seed genes included cyclin D1 (CCND1) and aurora kinase A (AURKA). The enriched functions for the 31 DEGs in the PPI network of the top 50 nodes were predominantly associated with cell cycle. The DEGs may function in CRC by interacting with other genes in the PPI network of the top 50 nodes, for example, DEP domain-containing MTOR-interacting protein (DEPTOR)-CCND1, AURKA-breast carcinoma amplified sequence-1 (BCAS1), CCND1-BCAS1, CCND1-neural precursor cell expressed developmentally downregulated 9 (NEDD9) and CCND1-mitogen-activated protein kinase kinase 2 (MAP2K2). Only three DEGs (CCND1, AURKA and DEPTOR) had interactions with their corresponding antineoplastic drugs. Taken together, DEPTOR, AURKA, CCND1, BCAS1, NEDD9 and MAP2K2 may act in CRC.","author":[{"dropping-particle":"","family":"Cui","given":"Xiaofeng","non-dropping-particle":"","parse-names":false,"suffix":""},{"dropping-particle":"","family":"Shen","given":"Kexin","non-dropping-particle":"","parse-names":false,"suffix":""},{"dropping-particle":"","family":"Xie","given":"Zhongshi","non-dropping-particle":"","parse-names":false,"suffix":""},{"dropping-particle":"","family":"Liu","given":"Tongjun","non-dropping-particle":"","parse-names":false,"suffix":""},{"dropping-particle":"","family":"Zhang","given":"Haishan","non-dropping-particle":"","parse-names":false,"suffix":""}],"container-title":"Molecular Medicine Reports","id":"ITEM-1","issue":"2","issued":{"date-parts":[["2017"]]},"page":"867-872","title":"Identification of key genes in colorectal cancer using random walk with restart","type":"article-journal","volume":"15"},"uris":["http://www.mendeley.com/documents/?uuid=b0f8e6b9-8778-4c77-99b4-a88b4a11142c"]}],"mendeley":{"formattedCitation":"[24]","manualFormatting":"[25]","plainTextFormattedCitation":"[24]","previouslyFormattedCitation":"[25]"},"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25</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536C3F61" w14:textId="77777777" w:rsidR="00B525CE" w:rsidRPr="005D091C" w:rsidRDefault="00B525CE"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DEPTOR, AURKA, CCND1, BCAS1, NEDD9 and MAP2K2</w:t>
            </w:r>
          </w:p>
        </w:tc>
        <w:tc>
          <w:tcPr>
            <w:tcW w:w="3340" w:type="dxa"/>
          </w:tcPr>
          <w:p w14:paraId="7AC844E0" w14:textId="77777777" w:rsidR="00B525CE" w:rsidRPr="00D63E2A" w:rsidRDefault="00B525CE" w:rsidP="00B525CE">
            <w:pPr>
              <w:tabs>
                <w:tab w:val="left" w:pos="939"/>
              </w:tabs>
              <w:spacing w:after="225" w:line="360" w:lineRule="atLeast"/>
              <w:rPr>
                <w:rFonts w:ascii="Times New Roman" w:hAnsi="Times New Roman" w:cs="Times New Roman"/>
                <w:sz w:val="22"/>
                <w:shd w:val="clear" w:color="auto" w:fill="FFFFFF"/>
              </w:rPr>
            </w:pPr>
          </w:p>
        </w:tc>
      </w:tr>
      <w:tr w:rsidR="00B525CE" w:rsidRPr="00D63E2A" w14:paraId="404E6150" w14:textId="77777777" w:rsidTr="00480378">
        <w:trPr>
          <w:gridAfter w:val="1"/>
          <w:wAfter w:w="329" w:type="dxa"/>
          <w:jc w:val="center"/>
        </w:trPr>
        <w:tc>
          <w:tcPr>
            <w:tcW w:w="2510" w:type="dxa"/>
          </w:tcPr>
          <w:p w14:paraId="6155B879" w14:textId="5B9FBE76" w:rsidR="00B525CE" w:rsidRPr="003D0CBF" w:rsidRDefault="00B525CE" w:rsidP="00B525CE">
            <w:pPr>
              <w:rPr>
                <w:rFonts w:ascii="Times New Roman" w:hAnsi="Times New Roman" w:cs="Times New Roman"/>
                <w:sz w:val="22"/>
              </w:rPr>
            </w:pPr>
            <w:r w:rsidRPr="003D0CBF">
              <w:rPr>
                <w:rFonts w:ascii="Times New Roman" w:hAnsi="Times New Roman" w:cs="Times New Roman"/>
                <w:sz w:val="22"/>
              </w:rPr>
              <w:t>Zhu et al., 2019</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{"citationItems":[{"id":"ITEM-1","itemData":{"DOI":"10.3892/ol.2019.10698","ISSN":"17921082","abstract":"The aim of the present study was to identify key genes in colorectal cancer (CRC) that could be used to reliably diagnose this disease and to explore the potential underlying mechanisms in silico. The gene expression profiles of primary human cancer datasets GSE21510 and GSE32323 were downloaded from the Gene Expression Omnibus database. The limma R software package was used to identify differentially expressed (DE) genes. Gene Ontology and Kyoto Encyclopedia of Genes and Genomes (KEGG) pathway enrichment analyses were performed on DE genes using the Database for Annotation, Visualization and Integrated Discovery. The Search Tool for the Retrieval of Interacting Genes/Proteins database was used to construct a protein-protein interaction (PPI) network of the DE genes. Survival rate was analyzed and visualized using The Cancer Genome Atlas (TCGA). A total of 1,126 genes were significantly DE in the present study. All DE genes were enriched in KEGG pathways including 'cell cycle', 'mineral absorption', 'pancreatic secretion', 'pathways in cancer', 'metabolic pathways', 'aldosterone-regulated sodium reabsorption' and 'Wnt signaling pathway'. A total of 5 hub genes enriched in cell cycle and tumor-associated pathways, including E2F2, SKP2, MYC, CDKN1A and CDKN2B, were significantly DE and validated between tumor and normal tissues. CDKN1A and CDKN2B were identified within the PPI network using the Molecular Complex Detection algorithm. Survival and content distribution analyses of 362 clinical samples from TCGA revealed that CDKN1A effectively predicted the prognosis of patients. The present study identified key genes and potential signaling pathways involved in CRC. These findings may provide new insights for survival assessment during the clinical diagnosis of CRC.","author":[{"dropping-particle":"","family":"Zhu","given":"Hengzhou","non-dropping-particle":"","parse-names":false,"suffix":""},{"dropping-particle":"","family":"Ji","given":"Yi","non-dropping-particle":"","parse-names":false,"suffix":""},{"dropping-particle":"","family":"Li","given":"Wenting","non-dropping-particle":"","parse-names":false,"suffix":""},{"dropping-particle":"","family":"Wu","given":"Mianhua","non-dropping-particle":"","parse-names":false,"suffix":""}],"container-title":"Oncology Letters","id":"ITEM-1","issue":"4","issued":{"date-parts":[["2019"]]},"page":"3778-3786","title":"Identification of key pathways and genes in colorectal cancer to predict the prognosis based on mRNA interaction network","type":"article-journal","volume":"18"},"uris":["http://www.mendeley.com/documents/?uuid=46a499df-45c4-41d8-8575-8eb15747d1ec"]}],"mendeley":{"formattedCitation":"[25]","manualFormatting":"[26]","plainTextFormattedCitation":"[25]","previouslyFormattedCitation":"[26]"},"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26</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3092F690" w14:textId="77777777" w:rsidR="00B525CE" w:rsidRPr="005D091C" w:rsidRDefault="00B525CE"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E2F2, SKP2, MYC, CDKN1A and CDKN2B</w:t>
            </w:r>
          </w:p>
        </w:tc>
        <w:tc>
          <w:tcPr>
            <w:tcW w:w="3340" w:type="dxa"/>
          </w:tcPr>
          <w:p w14:paraId="1109CEC7" w14:textId="77777777" w:rsidR="00B525CE" w:rsidRPr="00D63E2A" w:rsidRDefault="00B525CE" w:rsidP="00B525CE">
            <w:pPr>
              <w:tabs>
                <w:tab w:val="left" w:pos="939"/>
              </w:tabs>
              <w:spacing w:after="225" w:line="360" w:lineRule="atLeast"/>
              <w:rPr>
                <w:rFonts w:ascii="Times New Roman" w:hAnsi="Times New Roman" w:cs="Times New Roman"/>
                <w:bCs/>
                <w:sz w:val="22"/>
                <w:shd w:val="clear" w:color="auto" w:fill="FFFFFF"/>
              </w:rPr>
            </w:pPr>
          </w:p>
        </w:tc>
      </w:tr>
      <w:tr w:rsidR="00BA387F" w:rsidRPr="00D63E2A" w14:paraId="64D7BED5" w14:textId="77777777" w:rsidTr="00480378">
        <w:trPr>
          <w:gridAfter w:val="1"/>
          <w:wAfter w:w="329" w:type="dxa"/>
          <w:jc w:val="center"/>
        </w:trPr>
        <w:tc>
          <w:tcPr>
            <w:tcW w:w="2510" w:type="dxa"/>
          </w:tcPr>
          <w:p w14:paraId="19F81CAC" w14:textId="21CBE062" w:rsidR="00BA387F" w:rsidRPr="003D0CBF" w:rsidRDefault="00BA387F" w:rsidP="00BA387F">
            <w:pPr>
              <w:rPr>
                <w:rFonts w:ascii="Times New Roman" w:hAnsi="Times New Roman" w:cs="Times New Roman"/>
                <w:sz w:val="22"/>
              </w:rPr>
            </w:pPr>
            <w:r w:rsidRPr="003D0CBF">
              <w:rPr>
                <w:rFonts w:ascii="Times New Roman" w:hAnsi="Times New Roman" w:cs="Times New Roman"/>
                <w:sz w:val="22"/>
              </w:rPr>
              <w:t>Peng et al., 2018</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{"citationItems":[{"id":"ITEM-1","itemData":{"DOI":"10.1002/jcp.26440","ISSN":"10974652","PMID":"29319171","abstract":"Although diabetes mellitus (DM) is reported as an independent risk factor for colorectal cancer (CRC) in many researches, the underlying pathophysiology is still unclear. We investigated the differentially expressed genes (DEGs) for the diabetes and CRC to reveal the underlying pathophysiological association between the type 2-diabetic (T2D) and CRC. Gene expression profiles for T2D (GSE55650), CRC (GSE8671), and Metformin treated cell lines (GSE67342) were downloaded from GEO database. The DEGs between T2D samples and their control samples were identified with t-test and variance analysis. After cluster analysis and functional enrichment analysis, protein-protein interaction (PPI) network was constructed to find potential genes for diabetes and CRC in Metformin's treatment. Totally, we identified 583 overlapped genes, 169 common DEGs, and 414 independent DEGs between T2D and CRC samples. The common genes contained 89 up-regulated (DEGs1) and 80 down-regulated genes (DEGs3); and independent DEGs contained 270 down-regulated genes (DEGs4) in diabetes and 144 down-regulated genes (DEGs2) in CRC. In enrichment analysis, the Ribosome pathway was significantly enriched by the independent DEGs. The common genes were mainly enriched in some inflammatory related pathways. Two target genes of Metformin were significantly interacted with six hub genes (HADHB, NDUFS3, TAF1, MYC, HNFF4A, and MAX) with significant changes in expression values (P &lt; 0.05, t-test). To summary, it is suggested that the six hub genes might play important roles in the process of Metformin treatment for diabetes and CRC. However, specific pathology remains to be further studied.","author":[{"dropping-particle":"","family":"Peng","given":"Wen Fang","non-dropping-particle":"","parse-names":false,"suffix":""},{"dropping-particle":"","family":"Bai","given":"Feng","non-dropping-particle":"","parse-names":false,"suffix":""},{"dropping-particle":"","family":"Shao","given":"Kan","non-dropping-particle":"","parse-names":false,"suffix":""},{"dropping-particle":"","family":"Shen","given":"Li Sha","non-dropping-particle":"","parse-names":false,"suffix":""},{"dropping-particle":"","family":"Li","given":"Hui Hua","non-dropping-particle":"","parse-names":false,"suffix":""},{"dropping-particle":"","family":"Huang","given":"Shan","non-dropping-particle":"","parse-names":false,"suffix":""}],"container-title":"Journal of Cellular Physiology","id":"ITEM-1","issue":"11","issued":{"date-parts":[["2018"]]},"page":"8551-8557","title":"The key genes underlying pathophysiology association between the type 2-diabetic and colorectal cancer","type":"article-journal","volume":"233"},"uris":["http://www.mendeley.com/documents/?uuid=22ca4808-ade5-4953-8081-bc90d11988fd"]}],"mendeley":{"formattedCitation":"[26]","manualFormatting":"[27]","plainTextFormattedCitation":"[26]","previouslyFormattedCitation":"[27]"},"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27</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5E70A775" w14:textId="77777777" w:rsidR="00BA387F" w:rsidRPr="005D091C" w:rsidRDefault="00BA387F"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HADHB, NDUFS3, TAF1, MYC, HNFF4A, and MAX</w:t>
            </w:r>
          </w:p>
        </w:tc>
        <w:tc>
          <w:tcPr>
            <w:tcW w:w="3340" w:type="dxa"/>
          </w:tcPr>
          <w:p w14:paraId="22D51D74" w14:textId="77777777" w:rsidR="00BA387F" w:rsidRPr="00D63E2A" w:rsidRDefault="00BA387F" w:rsidP="00B525CE">
            <w:pPr>
              <w:tabs>
                <w:tab w:val="left" w:pos="939"/>
              </w:tabs>
              <w:spacing w:after="225" w:line="360" w:lineRule="atLeast"/>
              <w:rPr>
                <w:rFonts w:ascii="Times New Roman" w:hAnsi="Times New Roman" w:cs="Times New Roman"/>
                <w:bCs/>
                <w:sz w:val="22"/>
                <w:shd w:val="clear" w:color="auto" w:fill="FFFFFF"/>
              </w:rPr>
            </w:pPr>
          </w:p>
        </w:tc>
      </w:tr>
      <w:tr w:rsidR="00BA387F" w:rsidRPr="00D63E2A" w14:paraId="4A18205C" w14:textId="77777777" w:rsidTr="00480378">
        <w:trPr>
          <w:gridAfter w:val="1"/>
          <w:wAfter w:w="329" w:type="dxa"/>
          <w:jc w:val="center"/>
        </w:trPr>
        <w:tc>
          <w:tcPr>
            <w:tcW w:w="2510" w:type="dxa"/>
          </w:tcPr>
          <w:p w14:paraId="43C0ED76" w14:textId="759E1FE5" w:rsidR="00BA387F" w:rsidRPr="003D0CBF" w:rsidRDefault="00BA387F" w:rsidP="00BA387F">
            <w:pPr>
              <w:rPr>
                <w:rFonts w:ascii="Times New Roman" w:hAnsi="Times New Roman" w:cs="Times New Roman"/>
                <w:sz w:val="22"/>
              </w:rPr>
            </w:pPr>
            <w:r w:rsidRPr="003D0CBF">
              <w:rPr>
                <w:rFonts w:ascii="Times New Roman" w:hAnsi="Times New Roman" w:cs="Times New Roman"/>
                <w:sz w:val="22"/>
              </w:rPr>
              <w:t>Liu et al., 2021</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{"citationItems":[{"id":"ITEM-1","itemData":{"DOI":"10.3389/fgene.2021.649752","ISSN":"16648021","abstract":"Tumor recurrence is one of the most important risk factors that can negatively affect the survival rate of colorectal cancer (CRC) patients. However, the key regulators dictating this process and their exact mechanisms are understudied. This study aimed to construct a gene co-expression network to predict the hub genes affecting CRC recurrence and to inspect the regulatory network of hub genes and transcription factors (TFs). A total of 177 cases from the GSE17536 dataset were analyzed via weighted gene co-expression network analysis to explore the modules related to CRC recurrence. Functional annotation of the key module genes was assessed through Gene Ontology and Kyoto Encyclopedia of Genes and Genomes analyses. The protein and protein interaction network was then built to screen hub genes. Samples from the Cancer Genome Atlas (TCGA) were further used to validate the hub genes. Construction of a TFs-miRNAs–hub genes network was also conducted using StarBase and Cytoscape approaches. After identification and validation, a total of five genes (TIMP1, SPARCL1, MYL9, TPM2, and CNN1) were selected as hub genes. A regulatory network of TFs-miRNAs-targets with 29 TFs, 58 miRNAs, and five hub genes was instituted, including model GATA6-MIR106A-CNN1, SP4-MIR424-TPM2, SP4-MIR326-MYL9, ETS1-MIR22-TIMP1, and ETS1-MIR22-SPARCL1. In conclusion, the identification of these hub genes and the prediction of the Regulatory relationship of TFs-miRNAs-hub genes may provide a novel insight for understanding the underlying mechanism for CRC recurrence.","author":[{"dropping-particle":"","family":"Liu","given":"Shengwei","non-dropping-particle":"","parse-names":false,"suffix":""},{"dropping-particle":"","family":"Zeng","given":"Fanping","non-dropping-particle":"","parse-names":false,"suffix":""},{"dropping-particle":"","family":"Fan","given":"Guangwen","non-dropping-particle":"","parse-names":false,"suffix":""},{"dropping-particle":"","family":"Dong","given":"Qiyong","non-dropping-particle":"","parse-names":false,"suffix":""}],"container-title":"Frontiers in Genetics","id":"ITEM-1","issued":{"date-parts":[["2021"]]},"title":"Identification of Hub Genes and Construction of a Transcriptional Regulatory Network Associated With Tumor Recurrence in Colorectal Cancer by Weighted Gene Co-expression Network Analysis","type":"article-journal","volume":"12"},"uris":["http://www.mendeley.com/documents/?uuid=5415d492-9f2a-4cb9-9808-b43148e1da1b"]}],"mendeley":{"formattedCitation":"[27]","manualFormatting":"[28]","plainTextFormattedCitation":"[27]","previouslyFormattedCitation":"[28]"},"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28</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5B6299EA" w14:textId="77777777" w:rsidR="00BA387F" w:rsidRPr="005D091C" w:rsidRDefault="00BA387F"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TIMP1, SPARCL1, MYL9, TPM2, and CNN1</w:t>
            </w:r>
          </w:p>
        </w:tc>
        <w:tc>
          <w:tcPr>
            <w:tcW w:w="3340" w:type="dxa"/>
          </w:tcPr>
          <w:p w14:paraId="70B77BDF" w14:textId="77777777" w:rsidR="00BA387F" w:rsidRPr="00D63E2A" w:rsidRDefault="00BA387F" w:rsidP="00B525CE">
            <w:pPr>
              <w:tabs>
                <w:tab w:val="left" w:pos="939"/>
              </w:tabs>
              <w:spacing w:after="225" w:line="360" w:lineRule="atLeast"/>
              <w:rPr>
                <w:rFonts w:ascii="Times New Roman" w:hAnsi="Times New Roman" w:cs="Times New Roman"/>
                <w:bCs/>
                <w:sz w:val="22"/>
                <w:shd w:val="clear" w:color="auto" w:fill="FFFFFF"/>
              </w:rPr>
            </w:pPr>
          </w:p>
        </w:tc>
      </w:tr>
      <w:tr w:rsidR="00BA387F" w:rsidRPr="00D63E2A" w14:paraId="7DBF230F" w14:textId="77777777" w:rsidTr="00480378">
        <w:trPr>
          <w:gridAfter w:val="1"/>
          <w:wAfter w:w="329" w:type="dxa"/>
          <w:jc w:val="center"/>
        </w:trPr>
        <w:tc>
          <w:tcPr>
            <w:tcW w:w="2510" w:type="dxa"/>
          </w:tcPr>
          <w:p w14:paraId="1A9E3720" w14:textId="20E312FF" w:rsidR="00BA387F" w:rsidRPr="003D0CBF" w:rsidRDefault="00BA387F" w:rsidP="00BA387F">
            <w:pPr>
              <w:rPr>
                <w:rFonts w:ascii="Times New Roman" w:hAnsi="Times New Roman" w:cs="Times New Roman"/>
                <w:sz w:val="22"/>
              </w:rPr>
            </w:pPr>
            <w:r w:rsidRPr="003D0CBF">
              <w:rPr>
                <w:rFonts w:ascii="Times New Roman" w:hAnsi="Times New Roman" w:cs="Times New Roman"/>
                <w:sz w:val="22"/>
              </w:rPr>
              <w:t>Asghari et al., 2018</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{"citationItems":[{"id":"ITEM-1","itemData":{"DOI":"10.4155/fsoa-2017-0108","ISSN":"20565623","abstract":"Aim: Until now, identification of drug targets for treatment of patients with specific stages of colorectal cancer (CRC) has remained a challenging field of research. Herein, we aimed to identify the key genes and regulatory networks involved in each stage of CRC. Results: The results of gene expression profiles were integrated with protein-protein interaction networks, and topologically analyzed. The most important regulatory genes (e.g., CDK1, UBC, ESR1 and ATXN1) and signaling pathways (e.g., Wnt, MAPK and JAK-STAT) in CRC initiation, progression and metastasis were identified. In vitro analysis confirmed some in silico findings. Conclusion: Our study introduces functional hub genes, subnetworks, prioritizes signaling pathways and novel biomarkers in CRC that may guide further development of targeted therapy programs. A comprehensive view of the molecular mechanisms involved in colorectal cancer (CRC) pathogenesis has been demonstrated. Cell cycle and signal transduction genes were contributors to CRC initiation and progression. In contrast to stage IV, the stages I-III of CRC shared a notable number of common genes suggesting their close gene signatures. The efficacy of these predictions has been validated using two colon cancer cell lines in vitro.","author":[{"dropping-particle":"","family":"Asghari","given":"Matin","non-dropping-particle":"","parse-names":false,"suffix":""},{"dropping-particle":"","family":"Abazari","given":"Mohammad Foad","non-dropping-particle":"","parse-names":false,"suffix":""},{"dropping-particle":"","family":"Bokharaei","given":"Hanieh","non-dropping-particle":"","parse-names":false,"suffix":""},{"dropping-particle":"","family":"Aleagha","given":"Maryam Nouri","non-dropping-particle":"","parse-names":false,"suffix":""},{"dropping-particle":"","family":"Poortahmasebi","given":"Vahdat","non-dropping-particle":"","parse-names":false,"suffix":""},{"dropping-particle":"","family":"Askari","given":"Hassan","non-dropping-particle":"","parse-names":false,"suffix":""},{"dropping-particle":"","family":"Torabinejad","given":"Sepehr","non-dropping-particle":"","parse-names":false,"suffix":""},{"dropping-particle":"","family":"Ardalan","given":"Abbas","non-dropping-particle":"","parse-names":false,"suffix":""},{"dropping-particle":"","family":"Negaresh","given":"Navid","non-dropping-particle":"","parse-names":false,"suffix":""},{"dropping-particle":"","family":"Ataei","given":"Atousa","non-dropping-particle":"","parse-names":false,"suffix":""},{"dropping-particle":"","family":"Pazooki","given":"Parisa","non-dropping-particle":"","parse-names":false,"suffix":""},{"dropping-particle":"","family":"Poorebrahim","given":"Mansour","non-dropping-particle":"","parse-names":false,"suffix":""}],"container-title":"Future Science OA","id":"ITEM-1","issue":"3","issued":{"date-parts":[["2018"]]},"title":"Key genes and regulatory networks involved in the initiation, progression and invasion of colorectal cancer","type":"article-journal","volume":"4"},"uris":["http://www.mendeley.com/documents/?uuid=d278dfda-33ca-408c-ad6c-0720c3fc6a0d"]}],"mendeley":{"formattedCitation":"[28]","manualFormatting":"[29]","plainTextFormattedCitation":"[28]","previouslyFormattedCitation":"[29]"},"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29</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42B587F6" w14:textId="77777777" w:rsidR="00BA387F" w:rsidRPr="005D091C" w:rsidRDefault="00BA387F"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CDK1, UBC, ESR1 and ATXN1</w:t>
            </w:r>
          </w:p>
        </w:tc>
        <w:tc>
          <w:tcPr>
            <w:tcW w:w="3340" w:type="dxa"/>
          </w:tcPr>
          <w:p w14:paraId="492DD131" w14:textId="77777777" w:rsidR="00BA387F" w:rsidRPr="00D63E2A" w:rsidRDefault="00BA387F" w:rsidP="00B525CE">
            <w:pPr>
              <w:tabs>
                <w:tab w:val="left" w:pos="939"/>
              </w:tabs>
              <w:spacing w:after="225" w:line="360" w:lineRule="atLeast"/>
              <w:rPr>
                <w:rFonts w:ascii="Times New Roman" w:hAnsi="Times New Roman" w:cs="Times New Roman"/>
                <w:bCs/>
                <w:sz w:val="22"/>
                <w:shd w:val="clear" w:color="auto" w:fill="FFFFFF"/>
              </w:rPr>
            </w:pPr>
          </w:p>
        </w:tc>
      </w:tr>
      <w:tr w:rsidR="00BA387F" w:rsidRPr="00D63E2A" w14:paraId="2A885B40" w14:textId="77777777" w:rsidTr="00480378">
        <w:trPr>
          <w:gridAfter w:val="1"/>
          <w:wAfter w:w="329" w:type="dxa"/>
          <w:jc w:val="center"/>
        </w:trPr>
        <w:tc>
          <w:tcPr>
            <w:tcW w:w="2510" w:type="dxa"/>
          </w:tcPr>
          <w:p w14:paraId="28B0E39F" w14:textId="2E63E2A0" w:rsidR="00BA387F" w:rsidRPr="003D0CBF" w:rsidRDefault="00BA387F" w:rsidP="00BA387F">
            <w:pPr>
              <w:rPr>
                <w:rFonts w:ascii="Times New Roman" w:hAnsi="Times New Roman" w:cs="Times New Roman"/>
                <w:sz w:val="22"/>
              </w:rPr>
            </w:pPr>
            <w:r w:rsidRPr="003D0CBF">
              <w:rPr>
                <w:rFonts w:ascii="Times New Roman" w:hAnsi="Times New Roman" w:cs="Times New Roman"/>
                <w:sz w:val="22"/>
              </w:rPr>
              <w:t>Lin et al., 2020</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{"citationItems":[{"id":"ITEM-1","itemData":{"DOI":"10.1155/2020/8325076","ISSN":"17414288","abstract":"Colorectal cancer (CRC) is now the second most deadly cancer globally. Chinese herbal medicine (CHM) plays an indispensable role in CRC treatment in China. However, the core herbs (the CHs) in the treatment of CRC and their underlying therapeutic mechanisms remain unclear. This study aims to uncovering the CHs and their mechanisms of action of CRC treatment, applying data mining and network pharmacology approach. First, CHM prescriptions treating CRC were collected from clinical studies from the Chinese National Knowledge Infrastructure (CNKI) and MEDLINE databases, and the CHs were identified through data mining. Then, the bioactive compounds and the corresponding putative targets of the CHs were obtained from three traditional Chinese medicine (TCM) databases. CRC related targets were acquired from three disease databases; the overlapping targets between the CHs and CRC were identified as the therapeutic targets. Subsequently, functional enrichment analysis was performed to elucidate the mechanisms of the CHs on CRC. Moreover, networks were constructed to screen the major bioactive compounds and therapeutic targets. Finally, prognostic values of the major target genes were evaluated by survival analysis, and molecular docking simulation was performed to assess the binding affinity of key targets and major bioactive compounds. It came out that 10 the CHs from 113 prescriptions and 190 bioactive compounds with 118 therapeutic targets were identified. The therapeutic targets were mainly enriched in the biological progress of transcription, apoptosis, and response to cytokine. Various cancer-associated signaling pathways, including microRNAs, TNF, apoptosis, PI3K-Akt, and p53, were involved. Furthermore, 15 major bioactive compounds and five key target genes (VEGFA, CASP3, MYC, CYP1Y1, and NFKB1) with prognostic significance were identified. Additionally, most major bioactive compounds might bind firmly to the key target proteins. This study provided an overview of the anti-CRC mechanisms of the CHs, which might refer to the regulation of apoptosis, transcription, and inflammation.","author":[{"dropping-particle":"","family":"Lin","given":"Tong","non-dropping-particle":"","parse-names":false,"suffix":""},{"dropping-particle":"","family":"Liang","given":"Caijun","non-dropping-particle":"","parse-names":false,"suffix":""},{"dropping-particle":"","family":"Peng","given":"Wenya","non-dropping-particle":"","parse-names":false,"suffix":""},{"dropping-particle":"","family":"Qiu","given":"Yuqin","non-dropping-particle":"","parse-names":false,"suffix":""},{"dropping-particle":"","family":"Peng","given":"Lisheng","non-dropping-particle":"","parse-names":false,"suffix":""}],"container-title":"Evidence-based Complementary and Alternative Medicine","id":"ITEM-1","issued":{"date-parts":[["2020"]]},"title":"Mechanisms of core Chinese herbs against colorectal cancer: A study based on data mining and network pharmacology","type":"article-journal","volume":"2020"},"uris":["http://www.mendeley.com/documents/?uuid=51044c5b-343e-49bc-8c20-28a1e9d12410"]}],"mendeley":{"formattedCitation":"[29]","manualFormatting":"[30]","plainTextFormattedCitation":"[29]","previouslyFormattedCitation":"[30]"},"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30</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25191744" w14:textId="77777777" w:rsidR="00BA387F" w:rsidRPr="005D091C" w:rsidRDefault="00BA387F"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VEGFA, CASP3, MYC, CYP1Y1, and NFKB1</w:t>
            </w:r>
          </w:p>
        </w:tc>
        <w:tc>
          <w:tcPr>
            <w:tcW w:w="3340" w:type="dxa"/>
          </w:tcPr>
          <w:p w14:paraId="4E9E50A3" w14:textId="77777777" w:rsidR="00BA387F" w:rsidRPr="00D63E2A" w:rsidRDefault="00BA387F" w:rsidP="00B525CE">
            <w:pPr>
              <w:tabs>
                <w:tab w:val="left" w:pos="939"/>
              </w:tabs>
              <w:spacing w:after="225" w:line="360" w:lineRule="atLeast"/>
              <w:rPr>
                <w:rFonts w:ascii="Times New Roman" w:hAnsi="Times New Roman" w:cs="Times New Roman"/>
                <w:bCs/>
                <w:sz w:val="22"/>
                <w:shd w:val="clear" w:color="auto" w:fill="FFFFFF"/>
              </w:rPr>
            </w:pPr>
            <w:r w:rsidRPr="00D63E2A">
              <w:rPr>
                <w:rFonts w:ascii="Times New Roman" w:hAnsi="Times New Roman" w:cs="Times New Roman"/>
                <w:color w:val="000000"/>
                <w:sz w:val="22"/>
              </w:rPr>
              <w:t>Quercetin, Wogonin, Luteolin, Eburicoic acid, Kaempferol, 5,7,4′-Trihydroxy-8-methoxyflavone, Quercetin der., Formononetin, Jaranol, Dehydrotumulosic acid, Pachymic acid, Carthamidin, Pinocembrin, Baicalein, Spinasterol</w:t>
            </w:r>
          </w:p>
        </w:tc>
      </w:tr>
      <w:tr w:rsidR="00BA387F" w:rsidRPr="00D63E2A" w14:paraId="60991FCA" w14:textId="77777777" w:rsidTr="00480378">
        <w:trPr>
          <w:gridAfter w:val="1"/>
          <w:wAfter w:w="329" w:type="dxa"/>
          <w:jc w:val="center"/>
        </w:trPr>
        <w:tc>
          <w:tcPr>
            <w:tcW w:w="2510" w:type="dxa"/>
          </w:tcPr>
          <w:p w14:paraId="4C217E84" w14:textId="7BE1456E" w:rsidR="00BA387F" w:rsidRPr="003D0CBF" w:rsidRDefault="00BA387F" w:rsidP="00BA387F">
            <w:pPr>
              <w:rPr>
                <w:rFonts w:ascii="Times New Roman" w:hAnsi="Times New Roman" w:cs="Times New Roman"/>
                <w:sz w:val="22"/>
              </w:rPr>
            </w:pPr>
            <w:r w:rsidRPr="003D0CBF">
              <w:rPr>
                <w:rFonts w:ascii="Times New Roman" w:hAnsi="Times New Roman" w:cs="Times New Roman"/>
                <w:sz w:val="22"/>
              </w:rPr>
              <w:t>Kasap et al., 2016</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{"citationItems":[{"id":"ITEM-1","itemData":{"DOI":"10.1007/s13277-015-4131-6","ISSN":"14230380","PMID":"26423403","abstract":"Colorectal adenomatous polyp (CRAP) is a major risk factor for the development of sporadic colorectal cancer (CRC). Histone modifications are one of the epigenetic mechanisms that may have key roles in the carcinogenesis of CRC. The objective of the present study is to investigate the alternations in the defined histone modification gene expression profiles in patients with CRAP and CRC. Histone modification enzyme key gene expressions of the CRC, CRAP, and control groups were evaluated and compared using the reverse transcription PCR (RT-PCR) array method. Gene expression analysis was performed in the CRAP group after dividing the patients into subgroups according to the polyp diameter, pathological results, and morphological parameters which are risk factors for developing CRC in patients with CRAP. PAK1, NEK6, AURKA, AURKB, HDAC1, and HDAC7 were significantly more overexpressed in CRC subjects compared to the controls (p &lt; 0.05). PAK1, NEK6, AURKA, AURKB, and HDAC1 were significantly more overexpressed in the CRAP group compared to the controls (p &lt; 0.005). There were no significant differences between the CRAP and CRC groups with regards to PAK1, NEK6, AURKA, or AURKB gene overexpression. PAK1, NEK6, AURKA, and AURKB were significantly in correlation with the polyp diameter as they were more overexpressed in polyps with larger diameters. In conclusion, overexpressions of NEK6, AURKA, AURKB, and PAK1 genes can be used as predictive markers to decide the colonoscopic surveillance intervals after the polypectomy procedure especially in polyps with larger diameters.","author":[{"dropping-particle":"","family":"Kasap","given":"Elmas","non-dropping-particle":"","parse-names":false,"suffix":""},{"dropping-particle":"","family":"Gerceker","given":"Emre","non-dropping-particle":"","parse-names":false,"suffix":""},{"dropping-particle":"","family":"Boyacıoglu","given":"Seda Örenay","non-dropping-particle":"","parse-names":false,"suffix":""},{"dropping-particle":"","family":"Yuceyar","given":"Hakan","non-dropping-particle":"","parse-names":false,"suffix":""},{"dropping-particle":"","family":"Yıldırm","given":"Hatice","non-dropping-particle":"","parse-names":false,"suffix":""},{"dropping-particle":"","family":"Ayhan","given":"Semin","non-dropping-particle":"","parse-names":false,"suffix":""},{"dropping-particle":"","family":"Korkmaz","given":"Mehmet","non-dropping-particle":"","parse-names":false,"suffix":""}],"container-title":"Tumor Biology","id":"ITEM-1","issue":"3","issued":{"date-parts":[["2016"]]},"page":"3071-3080","title":"The potential role of the NEK6, AURKA, AURKB, and PAK1 genes in adenomatous colorectal polyps and colorectal adenocarcinoma","type":"article-journal","volume":"37"},"uris":["http://www.mendeley.com/documents/?uuid=4586eeb9-f325-4fbf-a1f4-45e91a3a5b3c"]}],"mendeley":{"formattedCitation":"[30]","manualFormatting":"[31]","plainTextFormattedCitation":"[30]","previouslyFormattedCitation":"[31]"},"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31</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3BFF66BE" w14:textId="77777777" w:rsidR="00BA387F" w:rsidRPr="005D091C" w:rsidRDefault="00BA387F"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NEK6, AURKA, AURKB, and PAK1</w:t>
            </w:r>
          </w:p>
        </w:tc>
        <w:tc>
          <w:tcPr>
            <w:tcW w:w="3340" w:type="dxa"/>
          </w:tcPr>
          <w:p w14:paraId="50156A3A" w14:textId="77777777" w:rsidR="00BA387F" w:rsidRPr="00D63E2A" w:rsidRDefault="00BA387F" w:rsidP="00B525CE">
            <w:pPr>
              <w:tabs>
                <w:tab w:val="left" w:pos="939"/>
              </w:tabs>
              <w:spacing w:after="225" w:line="360" w:lineRule="atLeast"/>
              <w:rPr>
                <w:rFonts w:ascii="Times New Roman" w:hAnsi="Times New Roman" w:cs="Times New Roman"/>
                <w:color w:val="000000"/>
                <w:sz w:val="22"/>
              </w:rPr>
            </w:pPr>
          </w:p>
        </w:tc>
      </w:tr>
      <w:tr w:rsidR="00BA387F" w:rsidRPr="00D63E2A" w14:paraId="017078C8" w14:textId="77777777" w:rsidTr="00480378">
        <w:trPr>
          <w:gridAfter w:val="1"/>
          <w:wAfter w:w="329" w:type="dxa"/>
          <w:jc w:val="center"/>
        </w:trPr>
        <w:tc>
          <w:tcPr>
            <w:tcW w:w="2510" w:type="dxa"/>
          </w:tcPr>
          <w:p w14:paraId="6D6577B9" w14:textId="118A77BA" w:rsidR="00BA387F" w:rsidRPr="003D0CBF" w:rsidRDefault="00BA387F" w:rsidP="00BA387F">
            <w:pPr>
              <w:rPr>
                <w:rFonts w:ascii="Times New Roman" w:hAnsi="Times New Roman" w:cs="Times New Roman"/>
                <w:sz w:val="22"/>
              </w:rPr>
            </w:pPr>
            <w:r w:rsidRPr="003D0CBF">
              <w:rPr>
                <w:rFonts w:ascii="Times New Roman" w:hAnsi="Times New Roman" w:cs="Times New Roman"/>
                <w:sz w:val="22"/>
              </w:rPr>
              <w:t>Hameed et al., 2021</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{"citationItems":[{"id":"ITEM-1","itemData":{"DOI":"10.1371/journal.pone.0256020","ISSN":"19326203","PMID":"34473751","abstract":"Introduction The heterogeneity-specific nature of the available colorectal cancer (CRC) biomarkers is significantly contributing to the cancer-associated high mortality rate worldwide. Hence, this study was initiated to investigate a system of novel CRC biomarkers that could commonly be employed to the CRC patients and helpful to overcome the heterogenetic-specific barrier. Methods Initially, CRC-related hub genes were extracted through PubMed based literature mining. A protein-protein interaction (PPI) network of the extracted hub genes was constructed and analyzed to identify few more closely CRC-related hub genes (real hub genes). Later, a comprehensive bioinformatics approach was applied to uncover the diagnostic and prognostic role of the identified real hub genes in CRC patients of various clinicopathological features. Results Out of 210 collected hub genes, in total 6 genes (CXCL12, CXCL8, AGT, GNB1, GNG4, and CXCL1) were identified as the real hub genes. We further revealed that all the six real hub genes were significantly dysregulated in colon adenocarcinoma (COAD) patients of various clinicopathological features including different races, cancer stages, genders, age groups, and body weights. Additionally, the dysregulation of real hub genes has shown different abnormal correlations with many other parameters including promoter methylation, overall survival (OS), genetic alterations and copy number variations (CNVs), and CD8+T immune cells level. Finally, we identified a potential miRNA and various chemotherapeutic drugs via miRNA, and real hub genes drug interaction network that could be used in the treatment of CRC by regulating the expression of real hub genes. Conclusion In conclusion, we have identified six real hub genes as potential biomarkers of CRC patients that could help to overcome the heterogenetic-specific barrier across different clinicopathological features.","author":[{"dropping-particle":"","family":"Hameed","given":"Yasir","non-dropping-particle":"","parse-names":false,"suffix":""},{"dropping-particle":"","family":"Usman","given":"Muhammad","non-dropping-particle":"","parse-names":false,"suffix":""},{"dropping-particle":"","family":"Liang","given":"Shufang","non-dropping-particle":"","parse-names":false,"suffix":""},{"dropping-particle":"","family":"Ejaz","given":"Samina","non-dropping-particle":"","parse-names":false,"suffix":""}],"container-title":"PLoS ONE","id":"ITEM-1","issue":"9 September","issued":{"date-parts":[["2021"]]},"title":"Novel diagnostic and prognostic biomarkers of colorectal cancer: Capable to overcome the heterogeneity-specific barrier and valid for global applications","type":"article-journal","volume":"16"},"uris":["http://www.mendeley.com/documents/?uuid=eae9db33-412c-49cb-a0e9-808fbb1591e6"]}],"mendeley":{"formattedCitation":"[31]","manualFormatting":"[32]","plainTextFormattedCitation":"[31]","previouslyFormattedCitation":"[32]"},"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32</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68AEF143" w14:textId="77777777" w:rsidR="00BA387F" w:rsidRPr="005D091C" w:rsidRDefault="00BA387F"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CXCL12, CXCL8, AGT, GNB1, GNG4, and CXCL1</w:t>
            </w:r>
          </w:p>
        </w:tc>
        <w:tc>
          <w:tcPr>
            <w:tcW w:w="3340" w:type="dxa"/>
          </w:tcPr>
          <w:p w14:paraId="1A6A7753" w14:textId="77777777" w:rsidR="00BA387F" w:rsidRPr="00D63E2A" w:rsidRDefault="00BA387F" w:rsidP="00B525CE">
            <w:pPr>
              <w:tabs>
                <w:tab w:val="left" w:pos="939"/>
              </w:tabs>
              <w:spacing w:after="225" w:line="360" w:lineRule="atLeast"/>
              <w:rPr>
                <w:rFonts w:ascii="Times New Roman" w:hAnsi="Times New Roman" w:cs="Times New Roman"/>
                <w:color w:val="000000"/>
                <w:sz w:val="22"/>
              </w:rPr>
            </w:pPr>
          </w:p>
        </w:tc>
      </w:tr>
      <w:tr w:rsidR="00BA387F" w:rsidRPr="00D63E2A" w14:paraId="4AC1BF22" w14:textId="77777777" w:rsidTr="00480378">
        <w:trPr>
          <w:gridAfter w:val="1"/>
          <w:wAfter w:w="329" w:type="dxa"/>
          <w:jc w:val="center"/>
        </w:trPr>
        <w:tc>
          <w:tcPr>
            <w:tcW w:w="2510" w:type="dxa"/>
          </w:tcPr>
          <w:p w14:paraId="52D64B06" w14:textId="355620AC" w:rsidR="00BA387F" w:rsidRPr="003D0CBF" w:rsidRDefault="00BA387F" w:rsidP="00BA387F">
            <w:pPr>
              <w:rPr>
                <w:rFonts w:ascii="Times New Roman" w:hAnsi="Times New Roman" w:cs="Times New Roman"/>
                <w:sz w:val="22"/>
              </w:rPr>
            </w:pPr>
            <w:r w:rsidRPr="003D0CBF">
              <w:rPr>
                <w:rFonts w:ascii="Times New Roman" w:hAnsi="Times New Roman" w:cs="Times New Roman"/>
                <w:sz w:val="22"/>
              </w:rPr>
              <w:t>Yang et al., 2021</w:t>
            </w:r>
            <w:r w:rsidRPr="003D0CBF">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{"citationItems":[{"id":"ITEM-1","itemData":{"DOI":"10.1186/s12957-021-02335-x","ISSN":"14777819","PMID":"34419055","abstract":"Background: Colorectal cancer (CRC) is one of the most common cancers of the gastrointestinal tract and ranks third in cancer-related deaths worldwide. This study was conducted to identify novel biomarkers related to the pathogenesis of CRC based upon a bioinformatics analysis, and further verify the biomarkers in clinical tumor samples and CRC cell lines. Methods: A series of bioinformatics analyses were performed using datasets from NCBI-GEO and constructed a protein–protein interaction (PPI) network. This analysis enabled the identification of Hub genes, for which the mRNA expression and overall survival of CRC patients data distribution was explored in The Cancer Genome Atlas (TCGA) colon cancer and rectal cancer (COADREAD) database. Furthermore, the differential expression of HCAR3 and INLS5 was validated in clinical tumor samples by Real-time quantitative PCR analysis, western blotting analysis, and immunohistochemistry analysis. Finally, CRC cells over-expressing INSL5 were constructed and used for CCK8, cell cycle, and cell apoptosis validation assays in vitro. Results: A total of 286 differentially expressed genes (DEGs) were screened, including 64 genes with increased expression and 143 genes with decreased expression in 2 CRC database, from which 10 key genes were identified: CXCL1, HCAR3, CXCL6, CXCL8, CXCL2, CXCL5, PPY, SST, INSL5, and NPY1R. Among these genes, HCAR3 and INSL5 had not previously been explored and were further verified in vitro. Conclusions: HCAR3 expression was higher in CRC tissues and associated with better overall survival of CRC patients. INSL5 expression in normal tissue was higher than that in tumor tissue and its high expression was associated with a better prognosis for CRC. The overexpression of INSL5 significantly inhibited the proliferation and promoted the shearing of PARP of CRC cells. This integrated bioinformatics study presented 10 key hub genes associated with CRC. HCAR3 and INSL5 were expressed in tumor tissue and these were associated with poor survival and warrant further studies as potential therapeutic targets.","author":[{"dropping-particle":"","family":"Yang","given":"Xuan","non-dropping-particle":"","parse-names":false,"suffix":""},{"dropping-particle":"","family":"Wei","given":"Wangao","non-dropping-particle":"","parse-names":false,"suffix":""},{"dropping-particle":"","family":"Tan","given":"Shisheng","non-dropping-particle":"","parse-names":false,"suffix":""},{"dropping-particle":"","family":"Guo","given":"Linrui","non-dropping-particle":"","parse-names":false,"suffix":""},{"dropping-particle":"","family":"Qiao","given":"Song","non-dropping-particle":"","parse-names":false,"suffix":""},{"dropping-particle":"","family":"Yao","given":"Biao","non-dropping-particle":"","parse-names":false,"suffix":""},{"dropping-particle":"","family":"Wang","given":"Zi","non-dropping-particle":"","parse-names":false,"suffix":""}],"container-title":"World Journal of Surgical Oncology","id":"ITEM-1","issue":"1","issued":{"date-parts":[["2021"]]},"title":"Identification and verification of HCAR3 and INSL5 as new potential therapeutic targets of colorectal cancer","type":"article-journal","volume":"19"},"uris":["http://www.mendeley.com/documents/?uuid=ff099dca-a5e6-4652-9475-15c63a699c28"]}],"mendeley":{"formattedCitation":"[32]","manualFormatting":"[33]","plainTextFormattedCitation":"[32]","previouslyFormattedCitation":"[33]"},"properties":{"noteIndex":0},"schema":"https://github.com/citation-style-language/schema/raw/master/csl-citation.json"}</w:instrText>
            </w:r>
            <w:r w:rsidRPr="003D0CBF">
              <w:rPr>
                <w:rFonts w:ascii="Times New Roman" w:hAnsi="Times New Roman" w:cs="Times New Roman"/>
                <w:sz w:val="22"/>
              </w:rPr>
              <w:fldChar w:fldCharType="separate"/>
            </w:r>
            <w:r w:rsidR="00C07707">
              <w:rPr>
                <w:rFonts w:ascii="Times New Roman" w:hAnsi="Times New Roman" w:cs="Times New Roman"/>
                <w:noProof/>
                <w:sz w:val="22"/>
              </w:rPr>
              <w:t>[</w:t>
            </w:r>
            <w:r w:rsidRPr="003D0CBF">
              <w:rPr>
                <w:rFonts w:ascii="Times New Roman" w:hAnsi="Times New Roman" w:cs="Times New Roman"/>
                <w:noProof/>
                <w:sz w:val="22"/>
              </w:rPr>
              <w:t>33</w:t>
            </w:r>
            <w:r w:rsidR="00C07707">
              <w:rPr>
                <w:rFonts w:ascii="Times New Roman" w:hAnsi="Times New Roman" w:cs="Times New Roman"/>
                <w:noProof/>
                <w:sz w:val="22"/>
              </w:rPr>
              <w:t>]</w:t>
            </w:r>
            <w:r w:rsidRPr="003D0CBF">
              <w:rPr>
                <w:rFonts w:ascii="Times New Roman" w:hAnsi="Times New Roman" w:cs="Times New Roman"/>
                <w:sz w:val="22"/>
              </w:rPr>
              <w:fldChar w:fldCharType="end"/>
            </w:r>
          </w:p>
        </w:tc>
        <w:tc>
          <w:tcPr>
            <w:tcW w:w="3675" w:type="dxa"/>
            <w:gridSpan w:val="4"/>
          </w:tcPr>
          <w:p w14:paraId="02091221" w14:textId="77777777" w:rsidR="00BA387F" w:rsidRPr="005D091C" w:rsidRDefault="00BA387F"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CXCL1, HCAR3, CXCL6, CXCL8, CXCL2, CXCL5, PPY, SST, INSL5, and NPY1R</w:t>
            </w:r>
          </w:p>
        </w:tc>
        <w:tc>
          <w:tcPr>
            <w:tcW w:w="3340" w:type="dxa"/>
          </w:tcPr>
          <w:p w14:paraId="31093EFA" w14:textId="77777777" w:rsidR="00BA387F" w:rsidRPr="00D63E2A" w:rsidRDefault="00BA387F" w:rsidP="00B525CE">
            <w:pPr>
              <w:tabs>
                <w:tab w:val="left" w:pos="939"/>
              </w:tabs>
              <w:spacing w:after="225" w:line="360" w:lineRule="atLeast"/>
              <w:rPr>
                <w:rFonts w:ascii="Times New Roman" w:hAnsi="Times New Roman" w:cs="Times New Roman"/>
                <w:color w:val="000000"/>
                <w:sz w:val="22"/>
              </w:rPr>
            </w:pPr>
          </w:p>
        </w:tc>
      </w:tr>
      <w:tr w:rsidR="009F2618" w:rsidRPr="00D63E2A" w14:paraId="0B27B38E" w14:textId="77777777" w:rsidTr="00480378">
        <w:trPr>
          <w:gridAfter w:val="1"/>
          <w:wAfter w:w="329" w:type="dxa"/>
          <w:jc w:val="center"/>
        </w:trPr>
        <w:tc>
          <w:tcPr>
            <w:tcW w:w="2510" w:type="dxa"/>
          </w:tcPr>
          <w:p w14:paraId="499EECB0" w14:textId="3B34B707" w:rsidR="009F2618" w:rsidRPr="007B29F7" w:rsidRDefault="007B29F7" w:rsidP="00BA387F">
            <w:pPr>
              <w:rPr>
                <w:rFonts w:ascii="Times New Roman" w:hAnsi="Times New Roman" w:cs="Times New Roman"/>
                <w:sz w:val="22"/>
                <w:highlight w:val="yellow"/>
              </w:rPr>
            </w:pPr>
            <w:r w:rsidRPr="00AE148E">
              <w:rPr>
                <w:rFonts w:ascii="Times New Roman" w:hAnsi="Times New Roman" w:cs="Times New Roman"/>
                <w:noProof/>
                <w:sz w:val="24"/>
                <w:szCs w:val="24"/>
              </w:rPr>
              <w:t>Zhang</w:t>
            </w:r>
            <w:r w:rsidRPr="00AE148E">
              <w:rPr>
                <w:rFonts w:ascii="Times New Roman" w:hAnsi="Times New Roman" w:cs="Times New Roman"/>
                <w:sz w:val="22"/>
              </w:rPr>
              <w:t xml:space="preserve"> et al., 2018</w:t>
            </w:r>
            <w:r w:rsidR="009F2618" w:rsidRPr="00AE148E">
              <w:rPr>
                <w:rFonts w:ascii="Times New Roman" w:hAnsi="Times New Roman" w:cs="Times New Roman"/>
                <w:sz w:val="22"/>
              </w:rPr>
              <w:fldChar w:fldCharType="begin" w:fldLock="1"/>
            </w:r>
            <w:r w:rsidR="00480378">
              <w:rPr>
                <w:rFonts w:ascii="Times New Roman" w:hAnsi="Times New Roman" w:cs="Times New Roman"/>
                <w:sz w:val="22"/>
              </w:rPr>
              <w:instrText>ADDIN CSL_CITATION {"citationItems":[{"id":"ITEM-1","itemData":{"DOI":"10.1155/2018/3452739","ISSN":"18758630","PMID":"29651323","abstract":"Colorectal cancer is a malignant tumor which harmed human beings' health. The aim of this study was to explore common biomarkers associated with colorectal carcinogenesis in paired cancer and noncancer samples. At first, fifty-nine pairs of colorectal cancer and noncancer samples from three gene expression datasets were collected and analyzed. Then, 181 upregulation and 282 downregulation common differential expression genes (DEGs) were found. Next, functional annotation was performed in the DAVID database with the DEGs. Finally, real-time polymerase chain reaction (PCR) assay was conducted to verify the analyses in sixteen colorectal cancer and individual-matched adjacent mucosa samples. Real-time PCR showed that MCM2, RNASEH2A, and TOP2A were upregulated in colorectal cancer compared with adjacent mucosa samples (MCM2, P&lt;0.001; RNASEH2A, P&lt;0.001; TOP2A, P=0.001). These suggested that 463 DEGs might contribute to colorectal carcinogenesis.","author":[{"dropping-particle":"","family":"Zhang","given":"Lihua","non-dropping-particle":"","parse-names":false,"suffix":""},{"dropping-particle":"","family":"Yang","given":"Yonglong","non-dropping-particle":"","parse-names":false,"suffix":""},{"dropping-particle":"","family":"Cheng","given":"Lin","non-dropping-particle":"","parse-names":false,"suffix":""},{"dropping-particle":"","family":"Cheng","given":"Yu","non-dropping-particle":"","parse-names":false,"suffix":""},{"dropping-particle":"","family":"Zhou","given":"Hong Hao","non-dropping-particle":"","parse-names":false,"suffix":""},{"dropping-particle":"","family":"Tan","given":"Zhi Rong","non-dropping-particle":"","parse-names":false,"suffix":""}],"container-title":"Disease Markers","id":"ITEM-1","issued":{"date-parts":[["2018"]]},"title":"Identification of Common Genes Refers to Colorectal Carcinogenesis with Paired Cancer and Noncancer Samples","type":"article-journal","volume":"2018"},"uris":["http://www.mendeley.com/documents/?uuid=d1ff73c5-10c4-44f2-b76e-15cd33a44dc3"]}],"mendeley":{"formattedCitation":"[33]","plainTextFormattedCitation":"[33]","previouslyFormattedCitation":"[34]"},"properties":{"noteIndex":0},"schema":"https://github.com/citation-style-language/schema/raw/master/csl-citation.json"}</w:instrText>
            </w:r>
            <w:r w:rsidR="009F2618" w:rsidRPr="00AE148E">
              <w:rPr>
                <w:rFonts w:ascii="Times New Roman" w:hAnsi="Times New Roman" w:cs="Times New Roman"/>
                <w:sz w:val="22"/>
              </w:rPr>
              <w:fldChar w:fldCharType="separate"/>
            </w:r>
            <w:r w:rsidR="00480378" w:rsidRPr="00480378">
              <w:rPr>
                <w:rFonts w:ascii="Times New Roman" w:hAnsi="Times New Roman" w:cs="Times New Roman"/>
                <w:noProof/>
                <w:sz w:val="22"/>
              </w:rPr>
              <w:t>[33]</w:t>
            </w:r>
            <w:r w:rsidR="009F2618" w:rsidRPr="00AE148E">
              <w:rPr>
                <w:rFonts w:ascii="Times New Roman" w:hAnsi="Times New Roman" w:cs="Times New Roman"/>
                <w:sz w:val="22"/>
              </w:rPr>
              <w:fldChar w:fldCharType="end"/>
            </w:r>
          </w:p>
        </w:tc>
        <w:tc>
          <w:tcPr>
            <w:tcW w:w="3675" w:type="dxa"/>
            <w:gridSpan w:val="4"/>
          </w:tcPr>
          <w:p w14:paraId="70EAED4F" w14:textId="73768590" w:rsidR="009F2618" w:rsidRPr="005D091C" w:rsidRDefault="007B29F7"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MCM2, RNASEH2A, and TOP2A</w:t>
            </w:r>
          </w:p>
        </w:tc>
        <w:tc>
          <w:tcPr>
            <w:tcW w:w="3340" w:type="dxa"/>
          </w:tcPr>
          <w:p w14:paraId="7F9ED393" w14:textId="77777777" w:rsidR="009F2618" w:rsidRPr="00D63E2A" w:rsidRDefault="009F2618" w:rsidP="00B525CE">
            <w:pPr>
              <w:tabs>
                <w:tab w:val="left" w:pos="939"/>
              </w:tabs>
              <w:spacing w:after="225" w:line="360" w:lineRule="atLeast"/>
              <w:rPr>
                <w:rFonts w:ascii="Times New Roman" w:hAnsi="Times New Roman" w:cs="Times New Roman"/>
                <w:color w:val="000000"/>
                <w:sz w:val="22"/>
              </w:rPr>
            </w:pPr>
          </w:p>
        </w:tc>
      </w:tr>
      <w:tr w:rsidR="00C85449" w:rsidRPr="00D63E2A" w14:paraId="55297C36" w14:textId="77777777" w:rsidTr="00480378">
        <w:trPr>
          <w:gridAfter w:val="1"/>
          <w:wAfter w:w="329" w:type="dxa"/>
          <w:jc w:val="center"/>
        </w:trPr>
        <w:tc>
          <w:tcPr>
            <w:tcW w:w="2510" w:type="dxa"/>
          </w:tcPr>
          <w:p w14:paraId="42357D3D" w14:textId="1F652055" w:rsidR="00C85449" w:rsidRPr="00AE148E" w:rsidRDefault="004D78FA" w:rsidP="00BA387F">
            <w:pPr>
              <w:rPr>
                <w:rFonts w:ascii="Times New Roman" w:hAnsi="Times New Roman" w:cs="Times New Roman"/>
                <w:noProof/>
                <w:sz w:val="24"/>
                <w:szCs w:val="24"/>
              </w:rPr>
            </w:pPr>
            <w:r>
              <w:rPr>
                <w:rFonts w:ascii="Times New Roman" w:hAnsi="Times New Roman" w:cs="Times New Roman"/>
                <w:noProof/>
                <w:sz w:val="24"/>
                <w:szCs w:val="24"/>
              </w:rPr>
              <w:t>Yun et al., 2022</w:t>
            </w:r>
            <w:r w:rsidR="00C55454">
              <w:rPr>
                <w:rFonts w:ascii="Times New Roman" w:hAnsi="Times New Roman" w:cs="Times New Roman"/>
                <w:noProof/>
                <w:sz w:val="24"/>
                <w:szCs w:val="24"/>
              </w:rPr>
              <w:fldChar w:fldCharType="begin" w:fldLock="1"/>
            </w:r>
            <w:r w:rsidR="00480378">
              <w:rPr>
                <w:rFonts w:ascii="Times New Roman" w:hAnsi="Times New Roman" w:cs="Times New Roman"/>
                <w:noProof/>
                <w:sz w:val="24"/>
                <w:szCs w:val="24"/>
              </w:rPr>
              <w:instrText>ADDIN CSL_CITATION {"citationItems":[{"id":"ITEM-1","itemData":{"DOI":"10.3389/fgene.2022.1017539","ISSN":"16648021","abstract":"Colorectal cancer (CRC), a common malignant tumor, is one of the main causes of death in cancer patients in the world. Therefore, it is critical to understand the molecular mechanism of CRC and identify its diagnostic and prognostic biomarkers. The purpose of this study is to reveal the genes involved in the development of CRC and to predict drug candidates that may help treat CRC through bioinformatics analyses. Two independent CRC gene expression datasets including The Cancer Genome Atlas (TCGA) database and GSE104836 were used in this study. Differentially expressed genes (DEGs) were analyzed separately on the two datasets, and intersected for further analyses. 249 drug candidates for CRC were identified according to the intersected DEGs and the Crowd Extracted Expression of Differential Signatures (CREEDS) database. In addition, hub genes were analyzed using Cytoscape according to the DEGs, and survival analysis results showed that one of the hub genes, TIMP1 was related to the prognosis of CRC patients. Thus, we further focused on drugs that could reverse the expression level of TIMP1. Eight potential drugs with documentary evidence and two new drugs that could reverse the expression of TIMP1 were found among the 249 drugs. In conclusion, we successfully identified potential biomarkers for CRC and achieved drug repurposing using bioinformatics methods. Further exploration is needed to understand the molecular mechanisms of these identified genes and drugs/small molecules in the occurrence, development and treatment of CRC.","author":[{"dropping-particle":"","family":"Leng","given":"Xiaogang","non-dropping-particle":"","parse-names":false,"suffix":""},{"dropping-particle":"","family":"Yang","given":"Jianxiu","non-dropping-particle":"","parse-names":false,"suffix":""},{"dropping-particle":"","family":"Liu","given":"Tie","non-dropping-particle":"","parse-names":false,"suffix":""},{"dropping-particle":"","family":"Zhao","given":"Chunbo","non-dropping-particle":"","parse-names":false,"suffix":""},{"dropping-particle":"","family":"Cao","given":"Zhongzheng","non-dropping-particle":"","parse-names":false,"suffix":""},{"dropping-particle":"","family":"Li","given":"Chengren","non-dropping-particle":"","parse-names":false,"suffix":""},{"dropping-particle":"","family":"Sun","given":"Junxi","non-dropping-particle":"","parse-names":false,"suffix":""},{"dropping-particle":"","family":"Zheng","given":"Sheng","non-dropping-particle":"","parse-names":false,"suffix":""}],"container-title":"Frontiers in Genetics","id":"ITEM-1","issued":{"date-parts":[["2022"]]},"title":"A bioinformatics framework to identify the biomarkers and potential drugs for the treatment of colorectal cancer","type":"article-journal","volume":"13"},"uris":["http://www.mendeley.com/documents/?uuid=1bccabf8-d97d-4373-a3a5-7f8436ad97a2"]}],"mendeley":{"formattedCitation":"[34]","plainTextFormattedCitation":"[34]","previouslyFormattedCitation":"[35]"},"properties":{"noteIndex":0},"schema":"https://github.com/citation-style-language/schema/raw/master/csl-citation.json"}</w:instrText>
            </w:r>
            <w:r w:rsidR="00C55454">
              <w:rPr>
                <w:rFonts w:ascii="Times New Roman" w:hAnsi="Times New Roman" w:cs="Times New Roman"/>
                <w:noProof/>
                <w:sz w:val="24"/>
                <w:szCs w:val="24"/>
              </w:rPr>
              <w:fldChar w:fldCharType="separate"/>
            </w:r>
            <w:r w:rsidR="00480378" w:rsidRPr="00480378">
              <w:rPr>
                <w:rFonts w:ascii="Times New Roman" w:hAnsi="Times New Roman" w:cs="Times New Roman"/>
                <w:noProof/>
                <w:sz w:val="24"/>
                <w:szCs w:val="24"/>
              </w:rPr>
              <w:t>[34]</w:t>
            </w:r>
            <w:r w:rsidR="00C55454">
              <w:rPr>
                <w:rFonts w:ascii="Times New Roman" w:hAnsi="Times New Roman" w:cs="Times New Roman"/>
                <w:noProof/>
                <w:sz w:val="24"/>
                <w:szCs w:val="24"/>
              </w:rPr>
              <w:fldChar w:fldCharType="end"/>
            </w:r>
          </w:p>
        </w:tc>
        <w:tc>
          <w:tcPr>
            <w:tcW w:w="3675" w:type="dxa"/>
            <w:gridSpan w:val="4"/>
          </w:tcPr>
          <w:p w14:paraId="19125911" w14:textId="25756FAA" w:rsidR="00C85449" w:rsidRPr="005D091C" w:rsidRDefault="00C55454"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TIMP1 </w:t>
            </w:r>
          </w:p>
        </w:tc>
        <w:tc>
          <w:tcPr>
            <w:tcW w:w="3340" w:type="dxa"/>
          </w:tcPr>
          <w:p w14:paraId="6FEF94B9" w14:textId="2932155B" w:rsidR="00C85449" w:rsidRPr="00D63E2A" w:rsidRDefault="00C55454" w:rsidP="00B525CE">
            <w:pPr>
              <w:tabs>
                <w:tab w:val="left" w:pos="939"/>
              </w:tabs>
              <w:spacing w:after="225" w:line="360" w:lineRule="atLeast"/>
              <w:rPr>
                <w:rFonts w:ascii="Times New Roman" w:hAnsi="Times New Roman" w:cs="Times New Roman"/>
                <w:color w:val="000000"/>
                <w:sz w:val="22"/>
              </w:rPr>
            </w:pPr>
            <w:r w:rsidRPr="00C55454">
              <w:rPr>
                <w:rFonts w:ascii="Times New Roman" w:hAnsi="Times New Roman" w:cs="Times New Roman"/>
                <w:color w:val="000000"/>
                <w:sz w:val="22"/>
              </w:rPr>
              <w:t>formaldehyde, paclitaxel</w:t>
            </w:r>
            <w:r>
              <w:rPr>
                <w:rFonts w:ascii="Times New Roman" w:hAnsi="Times New Roman" w:cs="Times New Roman"/>
                <w:color w:val="000000"/>
                <w:sz w:val="22"/>
              </w:rPr>
              <w:t>/</w:t>
            </w:r>
            <w:r w:rsidRPr="00C55454">
              <w:rPr>
                <w:rFonts w:ascii="Times New Roman" w:hAnsi="Times New Roman" w:cs="Times New Roman"/>
                <w:color w:val="000000"/>
                <w:sz w:val="22"/>
              </w:rPr>
              <w:t>eribulin, erlotinib</w:t>
            </w:r>
            <w:r>
              <w:rPr>
                <w:rFonts w:ascii="Times New Roman" w:hAnsi="Times New Roman" w:cs="Times New Roman"/>
                <w:color w:val="000000"/>
                <w:sz w:val="22"/>
              </w:rPr>
              <w:t>/</w:t>
            </w:r>
            <w:r w:rsidRPr="00C55454">
              <w:rPr>
                <w:rFonts w:ascii="Times New Roman" w:hAnsi="Times New Roman" w:cs="Times New Roman"/>
                <w:color w:val="000000"/>
                <w:sz w:val="22"/>
              </w:rPr>
              <w:t>dimethyl sulfoxide, glucocorticoid</w:t>
            </w:r>
            <w:r>
              <w:rPr>
                <w:rFonts w:ascii="Times New Roman" w:hAnsi="Times New Roman" w:cs="Times New Roman"/>
                <w:color w:val="000000"/>
                <w:sz w:val="22"/>
              </w:rPr>
              <w:t>/</w:t>
            </w:r>
            <w:r w:rsidRPr="00C55454">
              <w:rPr>
                <w:rFonts w:ascii="Times New Roman" w:hAnsi="Times New Roman" w:cs="Times New Roman"/>
                <w:color w:val="000000"/>
                <w:sz w:val="22"/>
              </w:rPr>
              <w:t>dexamethasone, antagonist, trichostatin A, rosiglitazone, inhibitor, retinoic acid, and cisplatin.</w:t>
            </w:r>
          </w:p>
        </w:tc>
      </w:tr>
      <w:tr w:rsidR="004D78FA" w:rsidRPr="00D63E2A" w14:paraId="3BAA0961" w14:textId="77777777" w:rsidTr="00480378">
        <w:trPr>
          <w:gridAfter w:val="1"/>
          <w:wAfter w:w="329" w:type="dxa"/>
          <w:jc w:val="center"/>
        </w:trPr>
        <w:tc>
          <w:tcPr>
            <w:tcW w:w="2510" w:type="dxa"/>
          </w:tcPr>
          <w:p w14:paraId="30634547" w14:textId="3ADDFA14" w:rsidR="004D78FA" w:rsidRDefault="004D78FA" w:rsidP="00BA387F">
            <w:pPr>
              <w:rPr>
                <w:rFonts w:ascii="Times New Roman" w:hAnsi="Times New Roman" w:cs="Times New Roman"/>
                <w:noProof/>
                <w:sz w:val="24"/>
                <w:szCs w:val="24"/>
              </w:rPr>
            </w:pPr>
            <w:r>
              <w:rPr>
                <w:rFonts w:ascii="Times New Roman" w:hAnsi="Times New Roman" w:cs="Times New Roman"/>
                <w:noProof/>
                <w:sz w:val="24"/>
                <w:szCs w:val="24"/>
              </w:rPr>
              <w:t>Wang et al., 2022</w:t>
            </w:r>
            <w:r>
              <w:rPr>
                <w:rFonts w:ascii="Times New Roman" w:hAnsi="Times New Roman" w:cs="Times New Roman"/>
                <w:noProof/>
                <w:sz w:val="24"/>
                <w:szCs w:val="24"/>
              </w:rPr>
              <w:fldChar w:fldCharType="begin" w:fldLock="1"/>
            </w:r>
            <w:r w:rsidR="00480378">
              <w:rPr>
                <w:rFonts w:ascii="Times New Roman" w:hAnsi="Times New Roman" w:cs="Times New Roman"/>
                <w:noProof/>
                <w:sz w:val="24"/>
                <w:szCs w:val="24"/>
              </w:rPr>
              <w:instrText>ADDIN CSL_CITATION {"citationItems":[{"id":"ITEM-1","itemData":{"DOI":"10.1155/2022/2723264","ISSN":"23144378","PMID":"36483329","abstract":"The extensive morbidity of colorectal cancer (CRC) and the inferior prognosis of terminal CRC urgently call for reliable prognostic biomarkers. For this, we identified 704 differentially expressed genes (DEGs) by intersecting three datasets, GSE41328, GSE37364, and GSE15960 from Gene Expression Omnibus database, to maximize the accuracy of the results. Preliminary analysis of the DEGs was then performed using online gene analysis datasets, such as DAVID, UCSC Cancer Genome Browser, CBioPortal, STRING, and UCSC Cancer Genome Browser. Cytoscape was utilized to visualize the protein perception interaction network of DEGs, and the bubble map of GO and KEGG enrichment function was demonstrated using the R package. The Molecular Complex Detection (MCODE), Biological Network Gene Oncology (BiNGO) plug-in in Cytoscape, was applied to further screen the DEGs to obtain 15 seed genes, which were IL1RN, GALNT12, ADH6, SCN7A, CXCL1, FGF18, SOX9, ACACB, PRRX1, MZB1, SLC22A3, CNNM4, LY6E, IFITM2, and GDPD3. Among them, IL1RN, ADH6, SCN7A, ACACB, MZB1, and GDPD3 exhibited statistically significant survival differences, whereas limited studies were conducted in CRC. Based on the enrichment results of the \"Gene Ontology\"(GO) and \"Kyoto Encyclopedia of Genes and genomes \"(KEGG) as well as documented findings of key genes, we further emphasized the potential of IL1RN and PRRX1 as markers of immune infiltrates in CRC and confirmed our hypothesis by compiling data from the UALCAN, Tumor Immune Estimation Resource, and TISIDB databases for these two genes. The above-mentioned genes might offer a valuable insight into the diagnosis, immunotherapeutic targets, and prognosis of CRC.","author":[{"dropping-particle":"","family":"Wang","given":"Qi","non-dropping-particle":"","parse-names":false,"suffix":""},{"dropping-particle":"","family":"Huang","given":"Xufeng","non-dropping-particle":"","parse-names":false,"suffix":""},{"dropping-particle":"","family":"Zhou","given":"Shujing","non-dropping-particle":"","parse-names":false,"suffix":""},{"dropping-particle":"","family":"Ding","given":"Yuntao","non-dropping-particle":"","parse-names":false,"suffix":""},{"dropping-particle":"","family":"Wang","given":"Huizhi","non-dropping-particle":"","parse-names":false,"suffix":""},{"dropping-particle":"","family":"Jiang","given":"Weiye","non-dropping-particle":"","parse-names":false,"suffix":""},{"dropping-particle":"","family":"Xu","given":"Min","non-dropping-particle":"","parse-names":false,"suffix":""}],"container-title":"International Journal of Genomics","id":"ITEM-1","issued":{"date-parts":[["2022"]]},"title":"IL1RN and PRRX1 as a Prognostic Biomarker Correlated with Immune Infiltrates in Colorectal Cancer: Evidence from Bioinformatic Analysis","type":"article-journal","volume":"2022"},"uris":["http://www.mendeley.com/documents/?uuid=8c0c3f5d-ed1d-4077-9f0c-ac817b70a520"]}],"mendeley":{"formattedCitation":"[35]","plainTextFormattedCitation":"[35]","previouslyFormattedCitation":"[36]"},"properties":{"noteIndex":0},"schema":"https://github.com/citation-style-language/schema/raw/master/csl-citation.json"}</w:instrText>
            </w:r>
            <w:r>
              <w:rPr>
                <w:rFonts w:ascii="Times New Roman" w:hAnsi="Times New Roman" w:cs="Times New Roman"/>
                <w:noProof/>
                <w:sz w:val="24"/>
                <w:szCs w:val="24"/>
              </w:rPr>
              <w:fldChar w:fldCharType="separate"/>
            </w:r>
            <w:r w:rsidR="00480378" w:rsidRPr="00480378">
              <w:rPr>
                <w:rFonts w:ascii="Times New Roman" w:hAnsi="Times New Roman" w:cs="Times New Roman"/>
                <w:noProof/>
                <w:sz w:val="24"/>
                <w:szCs w:val="24"/>
              </w:rPr>
              <w:t>[35]</w:t>
            </w:r>
            <w:r>
              <w:rPr>
                <w:rFonts w:ascii="Times New Roman" w:hAnsi="Times New Roman" w:cs="Times New Roman"/>
                <w:noProof/>
                <w:sz w:val="24"/>
                <w:szCs w:val="24"/>
              </w:rPr>
              <w:fldChar w:fldCharType="end"/>
            </w:r>
          </w:p>
        </w:tc>
        <w:tc>
          <w:tcPr>
            <w:tcW w:w="3675" w:type="dxa"/>
            <w:gridSpan w:val="4"/>
          </w:tcPr>
          <w:p w14:paraId="6B658F27" w14:textId="74EE75E1" w:rsidR="004D78FA" w:rsidRPr="005D091C" w:rsidRDefault="004D78FA"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IL1RN and PRRX1</w:t>
            </w:r>
          </w:p>
        </w:tc>
        <w:tc>
          <w:tcPr>
            <w:tcW w:w="3340" w:type="dxa"/>
          </w:tcPr>
          <w:p w14:paraId="3231CD9F" w14:textId="77777777" w:rsidR="004D78FA" w:rsidRPr="004D78FA" w:rsidRDefault="004D78FA" w:rsidP="00B525CE">
            <w:pPr>
              <w:tabs>
                <w:tab w:val="left" w:pos="939"/>
              </w:tabs>
              <w:spacing w:after="225" w:line="360" w:lineRule="atLeast"/>
              <w:rPr>
                <w:rFonts w:ascii="Times New Roman" w:hAnsi="Times New Roman" w:cs="Times New Roman"/>
                <w:color w:val="000000"/>
                <w:sz w:val="22"/>
              </w:rPr>
            </w:pPr>
          </w:p>
        </w:tc>
      </w:tr>
      <w:tr w:rsidR="00653155" w:rsidRPr="00D63E2A" w14:paraId="1DA39BCB" w14:textId="77777777" w:rsidTr="00480378">
        <w:trPr>
          <w:gridAfter w:val="1"/>
          <w:wAfter w:w="329" w:type="dxa"/>
          <w:jc w:val="center"/>
        </w:trPr>
        <w:tc>
          <w:tcPr>
            <w:tcW w:w="2510" w:type="dxa"/>
          </w:tcPr>
          <w:p w14:paraId="10A8FD58" w14:textId="4EE72C0F" w:rsidR="00653155" w:rsidRDefault="00653155" w:rsidP="00BA387F">
            <w:pPr>
              <w:rPr>
                <w:rFonts w:ascii="Times New Roman" w:hAnsi="Times New Roman" w:cs="Times New Roman"/>
                <w:noProof/>
                <w:sz w:val="24"/>
                <w:szCs w:val="24"/>
              </w:rPr>
            </w:pPr>
            <w:r>
              <w:rPr>
                <w:rFonts w:ascii="Times New Roman" w:hAnsi="Times New Roman" w:cs="Times New Roman"/>
                <w:noProof/>
                <w:sz w:val="24"/>
                <w:szCs w:val="24"/>
              </w:rPr>
              <w:t xml:space="preserve">Sharma et al., 2022, </w:t>
            </w:r>
            <w:r>
              <w:rPr>
                <w:rFonts w:ascii="Times New Roman" w:hAnsi="Times New Roman" w:cs="Times New Roman"/>
                <w:noProof/>
                <w:sz w:val="24"/>
                <w:szCs w:val="24"/>
              </w:rPr>
              <w:fldChar w:fldCharType="begin" w:fldLock="1"/>
            </w:r>
            <w:r w:rsidR="00480378">
              <w:rPr>
                <w:rFonts w:ascii="Times New Roman" w:hAnsi="Times New Roman" w:cs="Times New Roman"/>
                <w:noProof/>
                <w:sz w:val="24"/>
                <w:szCs w:val="24"/>
              </w:rPr>
              <w:instrText>ADDIN CSL_CITATION {"citationItems":[{"id":"ITEM-1","itemData":{"DOI":"10.1016/j.compbiomed.2022.105688","ISSN":"18790534","PMID":"35680454","abstract":"Colorectal cancer (CRC) is the most common malignancy of digestive system with significant mortality rate. CRC patients with comparable clinical symptoms or at similar stages of the disease have different outcomes. This underlying clinical result is almost inevitably due to genetic heterogeneity. Therefore, the current study aimed to highlight gene signatures during CRC and unveil their potential mechanisms through bioinformatic analysis. The gene expression profiles (GSE28000, GSE33113, GSE44861, and GSE37182) were downloaded from the Gene Expression Omnibus database, and the differential expressed genes (DEGs) were identified in normal tissues and tumor tissue samples of CRC patients. In total, 8931 DEGs were identified in CRC, including 411 up-regulated genes and 166 down-regulated genes. Further, a protein-protein interaction network was constructed and the highly related genes were clustered using the Molecular Complex Detection algorithm (MCODE) to retrieve the core interaction in different genes’ crosstalk. The screened hub genes were subjected to functional enrichment analysis. GO analysis results showed that up-regulated DEGs were significantly enriched in biological processes (BP), including cell division, cell cycle, and cell proliferation; the down-regulated DEGs were significantly enriched in BP, including cellular homeostasis, detoxification, defense response, intracellular signaling cascade. Additionally, KEGG pathway analysis displayed the up-regulated DEGs were enriched in the cell cycle, TNF signaling, chemokine signaling pathway, while the down-regulated DEGs were enriched in NF-kB signaling, mineral reabsorption. Furthermore, the overall survival and expression levels of hub genes were detected by the UALCAN database and were further validated using Human Protein Atlas database. Taken together the identified DEGs (MT2A, CCNB1, DLGAP5, CCNA2, CXCL2, and RACGAP1) enhance our understanding of the molecular pathways that underpin CRC pathogenesis and could be exploited as molecular targets and diagnostic biomarkers for CRC therapy.","author":[{"dropping-particle":"","family":"Sharma","given":"Abhilasha","non-dropping-particle":"","parse-names":false,"suffix":""},{"dropping-particle":"","family":"Yadav","given":"Deep","non-dropping-particle":"","parse-names":false,"suffix":""},{"dropping-particle":"","family":"Rao","given":"Priyashi","non-dropping-particle":"","parse-names":false,"suffix":""},{"dropping-particle":"","family":"Sinha","given":"Sonam","non-dropping-particle":"","parse-names":false,"suffix":""},{"dropping-particle":"","family":"Goswami","given":"Dweipayan","non-dropping-particle":"","parse-names":false,"suffix":""},{"dropping-particle":"","family":"Rawal","given":"Rakesh M.","non-dropping-particle":"","parse-names":false,"suffix":""},{"dropping-particle":"","family":"Shrivastava","given":"Neeta","non-dropping-particle":"","parse-names":false,"suffix":""}],"container-title":"Computers in Biology and Medicine","id":"ITEM-1","issued":{"date-parts":[["2022"]]},"title":"Identification of potential therapeutic targets associated with diagnosis and prognosis of colorectal cancer patients based on integrated bioinformatics analysis","type":"article-journal","volume":"146"},"uris":["http://www.mendeley.com/documents/?uuid=2ca7d2c0-5479-4e0d-9c38-c4b91a82f272"]}],"mendeley":{"formattedCitation":"[36]","plainTextFormattedCitation":"[36]","previouslyFormattedCitation":"[37]"},"properties":{"noteIndex":0},"schema":"https://github.com/citation-style-language/schema/raw/master/csl-citation.json"}</w:instrText>
            </w:r>
            <w:r>
              <w:rPr>
                <w:rFonts w:ascii="Times New Roman" w:hAnsi="Times New Roman" w:cs="Times New Roman"/>
                <w:noProof/>
                <w:sz w:val="24"/>
                <w:szCs w:val="24"/>
              </w:rPr>
              <w:fldChar w:fldCharType="separate"/>
            </w:r>
            <w:r w:rsidR="00480378" w:rsidRPr="00480378">
              <w:rPr>
                <w:rFonts w:ascii="Times New Roman" w:hAnsi="Times New Roman" w:cs="Times New Roman"/>
                <w:noProof/>
                <w:sz w:val="24"/>
                <w:szCs w:val="24"/>
              </w:rPr>
              <w:t>[36]</w:t>
            </w:r>
            <w:r>
              <w:rPr>
                <w:rFonts w:ascii="Times New Roman" w:hAnsi="Times New Roman" w:cs="Times New Roman"/>
                <w:noProof/>
                <w:sz w:val="24"/>
                <w:szCs w:val="24"/>
              </w:rPr>
              <w:fldChar w:fldCharType="end"/>
            </w:r>
          </w:p>
        </w:tc>
        <w:tc>
          <w:tcPr>
            <w:tcW w:w="3675" w:type="dxa"/>
            <w:gridSpan w:val="4"/>
          </w:tcPr>
          <w:p w14:paraId="3E0BCF98" w14:textId="61A52F12" w:rsidR="00653155" w:rsidRPr="005D091C" w:rsidRDefault="00653155" w:rsidP="00B525CE">
            <w:pPr>
              <w:tabs>
                <w:tab w:val="left" w:pos="1653"/>
              </w:tabs>
              <w:rPr>
                <w:rFonts w:ascii="Times New Roman" w:hAnsi="Times New Roman" w:cs="Times New Roman"/>
                <w:i/>
                <w:iCs/>
                <w:sz w:val="22"/>
                <w:shd w:val="clear" w:color="auto" w:fill="FFFFFF"/>
              </w:rPr>
            </w:pPr>
            <w:r w:rsidRPr="005D091C">
              <w:rPr>
                <w:rFonts w:ascii="Times New Roman" w:hAnsi="Times New Roman" w:cs="Times New Roman"/>
                <w:i/>
                <w:iCs/>
                <w:sz w:val="22"/>
                <w:shd w:val="clear" w:color="auto" w:fill="FFFFFF"/>
              </w:rPr>
              <w:t>MT2A, CCNB1, DLGAP5, CCNA2, CXCL2, and RACGAP1</w:t>
            </w:r>
          </w:p>
        </w:tc>
        <w:tc>
          <w:tcPr>
            <w:tcW w:w="3340" w:type="dxa"/>
          </w:tcPr>
          <w:p w14:paraId="6627BDA7" w14:textId="77777777" w:rsidR="00653155" w:rsidRPr="004D78FA" w:rsidRDefault="00653155" w:rsidP="00B525CE">
            <w:pPr>
              <w:tabs>
                <w:tab w:val="left" w:pos="939"/>
              </w:tabs>
              <w:spacing w:after="225" w:line="360" w:lineRule="atLeast"/>
              <w:rPr>
                <w:rFonts w:ascii="Times New Roman" w:hAnsi="Times New Roman" w:cs="Times New Roman"/>
                <w:color w:val="000000"/>
                <w:sz w:val="22"/>
              </w:rPr>
            </w:pPr>
          </w:p>
        </w:tc>
      </w:tr>
      <w:tr w:rsidR="00BA387F" w:rsidRPr="00D63E2A" w14:paraId="59AC7331" w14:textId="77777777" w:rsidTr="00480378">
        <w:trPr>
          <w:gridAfter w:val="1"/>
          <w:wAfter w:w="329" w:type="dxa"/>
          <w:jc w:val="center"/>
        </w:trPr>
        <w:tc>
          <w:tcPr>
            <w:tcW w:w="9525" w:type="dxa"/>
            <w:gridSpan w:val="6"/>
          </w:tcPr>
          <w:p w14:paraId="05CE62AE" w14:textId="7F8D857F" w:rsidR="00BA387F" w:rsidRPr="00D63E2A" w:rsidRDefault="00BA387F" w:rsidP="008A5122">
            <w:pPr>
              <w:jc w:val="left"/>
              <w:rPr>
                <w:rFonts w:ascii="Times New Roman" w:hAnsi="Times New Roman" w:cs="Times New Roman"/>
                <w:sz w:val="22"/>
                <w:shd w:val="clear" w:color="auto" w:fill="FFFFFF"/>
              </w:rPr>
            </w:pPr>
            <w:r w:rsidRPr="00D63E2A">
              <w:rPr>
                <w:rFonts w:ascii="Times New Roman" w:hAnsi="Times New Roman" w:cs="Times New Roman"/>
                <w:sz w:val="22"/>
                <w:shd w:val="clear" w:color="auto" w:fill="FFFFFF"/>
              </w:rPr>
              <w:t>Common in 1</w:t>
            </w:r>
            <w:r w:rsidR="00FD05B0">
              <w:rPr>
                <w:rFonts w:ascii="Times New Roman" w:hAnsi="Times New Roman" w:cs="Times New Roman"/>
                <w:sz w:val="22"/>
                <w:shd w:val="clear" w:color="auto" w:fill="FFFFFF"/>
              </w:rPr>
              <w:t>1</w:t>
            </w:r>
            <w:r w:rsidRPr="00D63E2A">
              <w:rPr>
                <w:rFonts w:ascii="Times New Roman" w:hAnsi="Times New Roman" w:cs="Times New Roman"/>
                <w:sz w:val="22"/>
                <w:shd w:val="clear" w:color="auto" w:fill="FFFFFF"/>
              </w:rPr>
              <w:t xml:space="preserve"> papers: </w:t>
            </w:r>
            <w:r w:rsidRPr="005D091C">
              <w:rPr>
                <w:rFonts w:ascii="Times New Roman" w:hAnsi="Times New Roman" w:cs="Times New Roman"/>
                <w:i/>
                <w:iCs/>
                <w:sz w:val="22"/>
                <w:shd w:val="clear" w:color="auto" w:fill="FFFFFF"/>
              </w:rPr>
              <w:t>MYC</w:t>
            </w:r>
          </w:p>
        </w:tc>
      </w:tr>
      <w:tr w:rsidR="00BA387F" w:rsidRPr="00D63E2A" w14:paraId="7ACE920D" w14:textId="77777777" w:rsidTr="00480378">
        <w:trPr>
          <w:gridAfter w:val="1"/>
          <w:wAfter w:w="329" w:type="dxa"/>
          <w:jc w:val="center"/>
        </w:trPr>
        <w:tc>
          <w:tcPr>
            <w:tcW w:w="9525" w:type="dxa"/>
            <w:gridSpan w:val="6"/>
          </w:tcPr>
          <w:p w14:paraId="47CC11AA" w14:textId="710C9A35" w:rsidR="00BA387F" w:rsidRPr="00D63E2A" w:rsidRDefault="00BA387F" w:rsidP="008A5122">
            <w:pPr>
              <w:jc w:val="left"/>
              <w:rPr>
                <w:rFonts w:ascii="Times New Roman" w:hAnsi="Times New Roman" w:cs="Times New Roman"/>
                <w:sz w:val="22"/>
                <w:shd w:val="clear" w:color="auto" w:fill="FFFFFF"/>
              </w:rPr>
            </w:pPr>
            <w:r w:rsidRPr="00D63E2A">
              <w:rPr>
                <w:rFonts w:ascii="Times New Roman" w:hAnsi="Times New Roman" w:cs="Times New Roman"/>
                <w:sz w:val="22"/>
                <w:shd w:val="clear" w:color="auto" w:fill="FFFFFF"/>
              </w:rPr>
              <w:t xml:space="preserve">Common in </w:t>
            </w:r>
            <w:r w:rsidR="00FD05B0">
              <w:rPr>
                <w:rFonts w:ascii="Times New Roman" w:hAnsi="Times New Roman" w:cs="Times New Roman"/>
                <w:sz w:val="22"/>
                <w:shd w:val="clear" w:color="auto" w:fill="FFFFFF"/>
              </w:rPr>
              <w:t>7</w:t>
            </w:r>
            <w:r w:rsidRPr="00D63E2A">
              <w:rPr>
                <w:rFonts w:ascii="Times New Roman" w:hAnsi="Times New Roman" w:cs="Times New Roman"/>
                <w:sz w:val="22"/>
                <w:shd w:val="clear" w:color="auto" w:fill="FFFFFF"/>
              </w:rPr>
              <w:t xml:space="preserve"> papers: </w:t>
            </w:r>
            <w:r w:rsidRPr="005D091C">
              <w:rPr>
                <w:rFonts w:ascii="Times New Roman" w:hAnsi="Times New Roman" w:cs="Times New Roman"/>
                <w:i/>
                <w:iCs/>
                <w:sz w:val="22"/>
                <w:shd w:val="clear" w:color="auto" w:fill="FFFFFF"/>
              </w:rPr>
              <w:t>CDK1</w:t>
            </w:r>
            <w:r w:rsidR="00E7497B" w:rsidRPr="005D091C">
              <w:rPr>
                <w:rFonts w:ascii="Times New Roman" w:hAnsi="Times New Roman" w:cs="Times New Roman"/>
                <w:i/>
                <w:iCs/>
                <w:sz w:val="22"/>
                <w:shd w:val="clear" w:color="auto" w:fill="FFFFFF"/>
              </w:rPr>
              <w:t>, CXCL1</w:t>
            </w:r>
          </w:p>
        </w:tc>
      </w:tr>
      <w:tr w:rsidR="00BA387F" w:rsidRPr="00D63E2A" w14:paraId="26F3497A" w14:textId="77777777" w:rsidTr="00480378">
        <w:trPr>
          <w:gridAfter w:val="1"/>
          <w:wAfter w:w="329" w:type="dxa"/>
          <w:jc w:val="center"/>
        </w:trPr>
        <w:tc>
          <w:tcPr>
            <w:tcW w:w="9525" w:type="dxa"/>
            <w:gridSpan w:val="6"/>
          </w:tcPr>
          <w:p w14:paraId="3B4025B4" w14:textId="4E6CBAB4" w:rsidR="00BA387F" w:rsidRPr="00D63E2A" w:rsidRDefault="00BA387F" w:rsidP="008A5122">
            <w:pPr>
              <w:spacing w:line="360" w:lineRule="atLeast"/>
              <w:jc w:val="left"/>
              <w:rPr>
                <w:rFonts w:ascii="Times New Roman" w:hAnsi="Times New Roman" w:cs="Times New Roman"/>
                <w:sz w:val="22"/>
                <w:shd w:val="clear" w:color="auto" w:fill="FFFFFF"/>
              </w:rPr>
            </w:pPr>
            <w:r w:rsidRPr="00D63E2A">
              <w:rPr>
                <w:rFonts w:ascii="Times New Roman" w:hAnsi="Times New Roman" w:cs="Times New Roman"/>
                <w:sz w:val="22"/>
                <w:shd w:val="clear" w:color="auto" w:fill="FFFFFF"/>
              </w:rPr>
              <w:t xml:space="preserve">Common in 6 papers: </w:t>
            </w:r>
            <w:r w:rsidRPr="005D091C">
              <w:rPr>
                <w:rFonts w:ascii="Times New Roman" w:hAnsi="Times New Roman" w:cs="Times New Roman"/>
                <w:i/>
                <w:iCs/>
                <w:sz w:val="22"/>
                <w:shd w:val="clear" w:color="auto" w:fill="FFFFFF"/>
              </w:rPr>
              <w:t>CXCL8, CXCL12</w:t>
            </w:r>
            <w:r w:rsidR="00F44DFF" w:rsidRPr="005D091C">
              <w:rPr>
                <w:rFonts w:ascii="Times New Roman" w:hAnsi="Times New Roman" w:cs="Times New Roman"/>
                <w:i/>
                <w:iCs/>
                <w:sz w:val="22"/>
                <w:shd w:val="clear" w:color="auto" w:fill="FFFFFF"/>
              </w:rPr>
              <w:t>, TOP2A</w:t>
            </w:r>
            <w:r w:rsidR="00C55454" w:rsidRPr="005D091C">
              <w:rPr>
                <w:rFonts w:ascii="Times New Roman" w:hAnsi="Times New Roman" w:cs="Times New Roman"/>
                <w:i/>
                <w:iCs/>
                <w:sz w:val="22"/>
                <w:shd w:val="clear" w:color="auto" w:fill="FFFFFF"/>
              </w:rPr>
              <w:t>, TIMP1</w:t>
            </w:r>
          </w:p>
        </w:tc>
      </w:tr>
      <w:tr w:rsidR="00BA387F" w:rsidRPr="00D63E2A" w14:paraId="3A7AA28C" w14:textId="77777777" w:rsidTr="00480378">
        <w:trPr>
          <w:gridAfter w:val="1"/>
          <w:wAfter w:w="329" w:type="dxa"/>
          <w:jc w:val="center"/>
        </w:trPr>
        <w:tc>
          <w:tcPr>
            <w:tcW w:w="9525" w:type="dxa"/>
            <w:gridSpan w:val="6"/>
          </w:tcPr>
          <w:p w14:paraId="5E56940D" w14:textId="0123DB64" w:rsidR="00BA387F" w:rsidRPr="00D63E2A" w:rsidRDefault="00BA387F" w:rsidP="008A5122">
            <w:pPr>
              <w:spacing w:line="360" w:lineRule="atLeast"/>
              <w:jc w:val="left"/>
              <w:rPr>
                <w:rFonts w:ascii="Times New Roman" w:hAnsi="Times New Roman" w:cs="Times New Roman"/>
                <w:sz w:val="22"/>
                <w:shd w:val="clear" w:color="auto" w:fill="FFFFFF"/>
              </w:rPr>
            </w:pPr>
            <w:r w:rsidRPr="00D63E2A">
              <w:rPr>
                <w:rFonts w:ascii="Times New Roman" w:hAnsi="Times New Roman" w:cs="Times New Roman"/>
                <w:sz w:val="22"/>
                <w:shd w:val="clear" w:color="auto" w:fill="FFFFFF"/>
              </w:rPr>
              <w:lastRenderedPageBreak/>
              <w:t xml:space="preserve">Common in 5 papers: </w:t>
            </w:r>
            <w:r w:rsidRPr="005D091C">
              <w:rPr>
                <w:rFonts w:ascii="Times New Roman" w:hAnsi="Times New Roman" w:cs="Times New Roman"/>
                <w:i/>
                <w:iCs/>
                <w:sz w:val="22"/>
                <w:shd w:val="clear" w:color="auto" w:fill="FFFFFF"/>
              </w:rPr>
              <w:t>AURKA</w:t>
            </w:r>
          </w:p>
        </w:tc>
      </w:tr>
      <w:tr w:rsidR="00BA387F" w:rsidRPr="00D63E2A" w14:paraId="4A3DA3B2" w14:textId="77777777" w:rsidTr="00480378">
        <w:trPr>
          <w:gridAfter w:val="1"/>
          <w:wAfter w:w="329" w:type="dxa"/>
          <w:jc w:val="center"/>
        </w:trPr>
        <w:tc>
          <w:tcPr>
            <w:tcW w:w="9525" w:type="dxa"/>
            <w:gridSpan w:val="6"/>
          </w:tcPr>
          <w:p w14:paraId="0DBA96F3" w14:textId="56C3141C" w:rsidR="00BA387F" w:rsidRPr="00D63E2A" w:rsidRDefault="00BA387F" w:rsidP="00FD05B0">
            <w:pPr>
              <w:spacing w:line="360" w:lineRule="atLeast"/>
              <w:jc w:val="left"/>
              <w:rPr>
                <w:rFonts w:ascii="Times New Roman" w:hAnsi="Times New Roman" w:cs="Times New Roman"/>
                <w:sz w:val="22"/>
                <w:shd w:val="clear" w:color="auto" w:fill="FFFFFF"/>
              </w:rPr>
            </w:pPr>
            <w:r w:rsidRPr="00D63E2A">
              <w:rPr>
                <w:rFonts w:ascii="Times New Roman" w:hAnsi="Times New Roman" w:cs="Times New Roman"/>
                <w:sz w:val="22"/>
                <w:shd w:val="clear" w:color="auto" w:fill="FFFFFF"/>
              </w:rPr>
              <w:t>Common in 4 papers:</w:t>
            </w:r>
            <w:r w:rsidR="00FD05B0">
              <w:rPr>
                <w:rFonts w:ascii="Times New Roman" w:hAnsi="Times New Roman" w:cs="Times New Roman"/>
                <w:sz w:val="22"/>
                <w:shd w:val="clear" w:color="auto" w:fill="FFFFFF"/>
              </w:rPr>
              <w:t xml:space="preserve"> </w:t>
            </w:r>
            <w:r w:rsidR="00FD05B0" w:rsidRPr="005D091C">
              <w:rPr>
                <w:rFonts w:ascii="Times New Roman" w:hAnsi="Times New Roman" w:cs="Times New Roman"/>
                <w:i/>
                <w:iCs/>
                <w:sz w:val="22"/>
                <w:shd w:val="clear" w:color="auto" w:fill="FFFFFF"/>
              </w:rPr>
              <w:t>CCNB1</w:t>
            </w:r>
            <w:r w:rsidRPr="005D091C">
              <w:rPr>
                <w:rFonts w:ascii="Times New Roman" w:hAnsi="Times New Roman" w:cs="Times New Roman"/>
                <w:i/>
                <w:iCs/>
                <w:sz w:val="22"/>
                <w:shd w:val="clear" w:color="auto" w:fill="FFFFFF"/>
              </w:rPr>
              <w:t>, CCNA2</w:t>
            </w:r>
          </w:p>
        </w:tc>
      </w:tr>
      <w:tr w:rsidR="007D4AE8" w:rsidRPr="00D63E2A" w14:paraId="2B79846E" w14:textId="77777777" w:rsidTr="00480378">
        <w:tblPrEx>
          <w:jc w:val="left"/>
        </w:tblPrEx>
        <w:trPr>
          <w:trHeight w:val="300"/>
        </w:trPr>
        <w:tc>
          <w:tcPr>
            <w:tcW w:w="9854" w:type="dxa"/>
            <w:gridSpan w:val="7"/>
            <w:tcBorders>
              <w:top w:val="nil"/>
              <w:left w:val="nil"/>
              <w:bottom w:val="single" w:sz="4" w:space="0" w:color="auto"/>
              <w:right w:val="nil"/>
            </w:tcBorders>
            <w:noWrap/>
          </w:tcPr>
          <w:p w14:paraId="0C3B1F36" w14:textId="77777777" w:rsidR="00FE7058" w:rsidRDefault="00FE7058">
            <w:pPr>
              <w:rPr>
                <w:rFonts w:ascii="Times New Roman" w:hAnsi="Times New Roman" w:cs="Times New Roman"/>
                <w:b/>
                <w:bCs/>
                <w:sz w:val="28"/>
                <w:szCs w:val="28"/>
              </w:rPr>
            </w:pPr>
          </w:p>
          <w:p w14:paraId="69AC9947" w14:textId="77777777" w:rsidR="00FE7058" w:rsidRDefault="00FE7058">
            <w:pPr>
              <w:rPr>
                <w:rFonts w:ascii="Times New Roman" w:hAnsi="Times New Roman" w:cs="Times New Roman"/>
                <w:b/>
                <w:bCs/>
                <w:sz w:val="28"/>
                <w:szCs w:val="28"/>
              </w:rPr>
            </w:pPr>
          </w:p>
          <w:p w14:paraId="2E69CA10" w14:textId="6F49E6BA" w:rsidR="007D4AE8" w:rsidRPr="00331F87" w:rsidRDefault="007D4AE8">
            <w:pPr>
              <w:rPr>
                <w:rFonts w:ascii="Times New Roman" w:hAnsi="Times New Roman" w:cs="Times New Roman"/>
                <w:b/>
                <w:bCs/>
                <w:sz w:val="28"/>
                <w:szCs w:val="28"/>
              </w:rPr>
            </w:pPr>
            <w:r w:rsidRPr="00331F87">
              <w:rPr>
                <w:rFonts w:ascii="Times New Roman" w:hAnsi="Times New Roman" w:cs="Times New Roman"/>
                <w:b/>
                <w:bCs/>
                <w:sz w:val="28"/>
                <w:szCs w:val="28"/>
              </w:rPr>
              <w:t>Table S</w:t>
            </w:r>
            <w:r w:rsidR="0062252E" w:rsidRPr="00331F87">
              <w:rPr>
                <w:rFonts w:ascii="Times New Roman" w:hAnsi="Times New Roman" w:cs="Times New Roman"/>
                <w:b/>
                <w:bCs/>
                <w:sz w:val="28"/>
                <w:szCs w:val="28"/>
              </w:rPr>
              <w:t>2</w:t>
            </w:r>
            <w:r w:rsidR="00567A9B">
              <w:rPr>
                <w:rFonts w:ascii="Times New Roman" w:hAnsi="Times New Roman" w:cs="Times New Roman"/>
                <w:b/>
                <w:bCs/>
                <w:sz w:val="28"/>
                <w:szCs w:val="28"/>
              </w:rPr>
              <w:t xml:space="preserve">: </w:t>
            </w:r>
            <w:r w:rsidRPr="00331F87">
              <w:rPr>
                <w:rFonts w:ascii="Times New Roman" w:hAnsi="Times New Roman" w:cs="Times New Roman"/>
                <w:b/>
                <w:bCs/>
                <w:sz w:val="28"/>
                <w:szCs w:val="28"/>
              </w:rPr>
              <w:t xml:space="preserve"> </w:t>
            </w:r>
            <w:r w:rsidRPr="00331F87">
              <w:rPr>
                <w:rFonts w:ascii="Times New Roman" w:hAnsi="Times New Roman"/>
                <w:b/>
                <w:bCs/>
                <w:sz w:val="28"/>
                <w:szCs w:val="28"/>
              </w:rPr>
              <w:t xml:space="preserve">Association of cKGs with </w:t>
            </w:r>
            <w:r w:rsidR="00331F87" w:rsidRPr="00331F87">
              <w:rPr>
                <w:rFonts w:ascii="Times New Roman" w:hAnsi="Times New Roman"/>
                <w:b/>
                <w:bCs/>
                <w:sz w:val="28"/>
                <w:szCs w:val="28"/>
              </w:rPr>
              <w:t xml:space="preserve">different </w:t>
            </w:r>
            <w:r w:rsidRPr="00331F87">
              <w:rPr>
                <w:rFonts w:ascii="Times New Roman" w:hAnsi="Times New Roman"/>
                <w:b/>
                <w:bCs/>
                <w:sz w:val="28"/>
                <w:szCs w:val="28"/>
              </w:rPr>
              <w:t>disease</w:t>
            </w:r>
            <w:r w:rsidR="00331F87" w:rsidRPr="00331F87">
              <w:rPr>
                <w:rFonts w:ascii="Times New Roman" w:hAnsi="Times New Roman"/>
                <w:b/>
                <w:bCs/>
                <w:sz w:val="28"/>
                <w:szCs w:val="28"/>
              </w:rPr>
              <w:t>s</w:t>
            </w:r>
          </w:p>
        </w:tc>
      </w:tr>
      <w:tr w:rsidR="00D63E2A" w:rsidRPr="00D63E2A" w14:paraId="5D1F2E3C" w14:textId="77777777" w:rsidTr="00480378">
        <w:tblPrEx>
          <w:jc w:val="left"/>
        </w:tblPrEx>
        <w:trPr>
          <w:trHeight w:val="300"/>
        </w:trPr>
        <w:tc>
          <w:tcPr>
            <w:tcW w:w="3348" w:type="dxa"/>
            <w:gridSpan w:val="2"/>
            <w:tcBorders>
              <w:top w:val="single" w:sz="4" w:space="0" w:color="auto"/>
              <w:left w:val="nil"/>
              <w:bottom w:val="single" w:sz="4" w:space="0" w:color="auto"/>
              <w:right w:val="nil"/>
            </w:tcBorders>
            <w:noWrap/>
            <w:hideMark/>
          </w:tcPr>
          <w:p w14:paraId="7703198C"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Term</w:t>
            </w:r>
          </w:p>
        </w:tc>
        <w:tc>
          <w:tcPr>
            <w:tcW w:w="1218" w:type="dxa"/>
            <w:tcBorders>
              <w:top w:val="single" w:sz="4" w:space="0" w:color="auto"/>
              <w:left w:val="nil"/>
              <w:bottom w:val="single" w:sz="4" w:space="0" w:color="auto"/>
              <w:right w:val="nil"/>
            </w:tcBorders>
            <w:noWrap/>
            <w:hideMark/>
          </w:tcPr>
          <w:p w14:paraId="4CF803B3" w14:textId="77777777" w:rsidR="00EB4CF9" w:rsidRPr="00D63E2A" w:rsidRDefault="00EB4CF9">
            <w:pPr>
              <w:rPr>
                <w:rFonts w:ascii="Times New Roman" w:hAnsi="Times New Roman" w:cs="Times New Roman"/>
                <w:sz w:val="22"/>
              </w:rPr>
            </w:pPr>
            <w:r w:rsidRPr="00D63E2A">
              <w:rPr>
                <w:rFonts w:ascii="Times New Roman" w:hAnsi="Times New Roman" w:cs="Times New Roman"/>
                <w:sz w:val="22"/>
              </w:rPr>
              <w:t>Overlap</w:t>
            </w:r>
          </w:p>
        </w:tc>
        <w:tc>
          <w:tcPr>
            <w:tcW w:w="1299" w:type="dxa"/>
            <w:tcBorders>
              <w:top w:val="single" w:sz="4" w:space="0" w:color="auto"/>
              <w:left w:val="nil"/>
              <w:bottom w:val="single" w:sz="4" w:space="0" w:color="auto"/>
              <w:right w:val="nil"/>
            </w:tcBorders>
            <w:noWrap/>
            <w:hideMark/>
          </w:tcPr>
          <w:p w14:paraId="61B2BCF9" w14:textId="77777777" w:rsidR="00EB4CF9" w:rsidRPr="00D63E2A" w:rsidRDefault="00EB4CF9">
            <w:pPr>
              <w:rPr>
                <w:rFonts w:ascii="Times New Roman" w:hAnsi="Times New Roman" w:cs="Times New Roman"/>
                <w:sz w:val="22"/>
              </w:rPr>
            </w:pPr>
            <w:r w:rsidRPr="00D63E2A">
              <w:rPr>
                <w:rFonts w:ascii="Times New Roman" w:hAnsi="Times New Roman" w:cs="Times New Roman"/>
                <w:sz w:val="22"/>
              </w:rPr>
              <w:t>P-value</w:t>
            </w:r>
          </w:p>
        </w:tc>
        <w:tc>
          <w:tcPr>
            <w:tcW w:w="3989" w:type="dxa"/>
            <w:gridSpan w:val="3"/>
            <w:tcBorders>
              <w:top w:val="single" w:sz="4" w:space="0" w:color="auto"/>
              <w:left w:val="nil"/>
              <w:bottom w:val="single" w:sz="4" w:space="0" w:color="auto"/>
              <w:right w:val="nil"/>
            </w:tcBorders>
            <w:noWrap/>
            <w:hideMark/>
          </w:tcPr>
          <w:p w14:paraId="21087938" w14:textId="77777777" w:rsidR="00EB4CF9" w:rsidRPr="00D63E2A" w:rsidRDefault="00EB4CF9">
            <w:pPr>
              <w:rPr>
                <w:rFonts w:ascii="Times New Roman" w:hAnsi="Times New Roman" w:cs="Times New Roman"/>
                <w:sz w:val="22"/>
              </w:rPr>
            </w:pPr>
            <w:r w:rsidRPr="00D63E2A">
              <w:rPr>
                <w:rFonts w:ascii="Times New Roman" w:hAnsi="Times New Roman" w:cs="Times New Roman"/>
                <w:sz w:val="22"/>
              </w:rPr>
              <w:t>Genes</w:t>
            </w:r>
          </w:p>
        </w:tc>
      </w:tr>
      <w:tr w:rsidR="00D63E2A" w:rsidRPr="00D63E2A" w14:paraId="0B699BB2" w14:textId="77777777" w:rsidTr="00480378">
        <w:tblPrEx>
          <w:jc w:val="left"/>
        </w:tblPrEx>
        <w:trPr>
          <w:trHeight w:val="300"/>
        </w:trPr>
        <w:tc>
          <w:tcPr>
            <w:tcW w:w="3348" w:type="dxa"/>
            <w:gridSpan w:val="2"/>
            <w:tcBorders>
              <w:top w:val="single" w:sz="4" w:space="0" w:color="auto"/>
              <w:left w:val="nil"/>
              <w:bottom w:val="nil"/>
              <w:right w:val="nil"/>
            </w:tcBorders>
            <w:noWrap/>
            <w:hideMark/>
          </w:tcPr>
          <w:p w14:paraId="103DAC49" w14:textId="39190B45"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Malignant tumor of colon</w:t>
            </w:r>
            <w:r w:rsidR="00D63E2A" w:rsidRPr="00D63E2A">
              <w:rPr>
                <w:rFonts w:ascii="Times New Roman" w:hAnsi="Times New Roman" w:cs="Times New Roman"/>
                <w:sz w:val="22"/>
              </w:rPr>
              <w:t xml:space="preserve"> </w:t>
            </w:r>
          </w:p>
        </w:tc>
        <w:tc>
          <w:tcPr>
            <w:tcW w:w="1218" w:type="dxa"/>
            <w:tcBorders>
              <w:top w:val="single" w:sz="4" w:space="0" w:color="auto"/>
              <w:left w:val="nil"/>
              <w:bottom w:val="nil"/>
              <w:right w:val="nil"/>
            </w:tcBorders>
            <w:noWrap/>
            <w:hideMark/>
          </w:tcPr>
          <w:p w14:paraId="290722FE" w14:textId="4183F059"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8/2001</w:t>
            </w:r>
          </w:p>
        </w:tc>
        <w:tc>
          <w:tcPr>
            <w:tcW w:w="1299" w:type="dxa"/>
            <w:tcBorders>
              <w:top w:val="single" w:sz="4" w:space="0" w:color="auto"/>
              <w:left w:val="nil"/>
              <w:bottom w:val="nil"/>
              <w:right w:val="nil"/>
            </w:tcBorders>
            <w:noWrap/>
            <w:hideMark/>
          </w:tcPr>
          <w:p w14:paraId="11D64623"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1.24E-06</w:t>
            </w:r>
          </w:p>
        </w:tc>
        <w:tc>
          <w:tcPr>
            <w:tcW w:w="3989" w:type="dxa"/>
            <w:gridSpan w:val="3"/>
            <w:tcBorders>
              <w:top w:val="single" w:sz="4" w:space="0" w:color="auto"/>
              <w:left w:val="nil"/>
              <w:bottom w:val="nil"/>
              <w:right w:val="nil"/>
            </w:tcBorders>
            <w:noWrap/>
            <w:hideMark/>
          </w:tcPr>
          <w:p w14:paraId="644D7AB7"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CEMIP, CXCL8, MMP7, CA4, GUCA2B, MS4A12, CLDN1, GUCA2A</w:t>
            </w:r>
          </w:p>
        </w:tc>
      </w:tr>
      <w:tr w:rsidR="00D63E2A" w:rsidRPr="00D63E2A" w14:paraId="6A3CC77D" w14:textId="77777777" w:rsidTr="00480378">
        <w:tblPrEx>
          <w:jc w:val="left"/>
        </w:tblPrEx>
        <w:trPr>
          <w:trHeight w:val="300"/>
        </w:trPr>
        <w:tc>
          <w:tcPr>
            <w:tcW w:w="3348" w:type="dxa"/>
            <w:gridSpan w:val="2"/>
            <w:tcBorders>
              <w:top w:val="nil"/>
              <w:left w:val="nil"/>
              <w:bottom w:val="nil"/>
              <w:right w:val="nil"/>
            </w:tcBorders>
            <w:noWrap/>
            <w:hideMark/>
          </w:tcPr>
          <w:p w14:paraId="6D86ADA4"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Colonic Neoplasms</w:t>
            </w:r>
          </w:p>
        </w:tc>
        <w:tc>
          <w:tcPr>
            <w:tcW w:w="1218" w:type="dxa"/>
            <w:tcBorders>
              <w:top w:val="nil"/>
              <w:left w:val="nil"/>
              <w:bottom w:val="nil"/>
              <w:right w:val="nil"/>
            </w:tcBorders>
            <w:noWrap/>
            <w:hideMark/>
          </w:tcPr>
          <w:p w14:paraId="62C04C56" w14:textId="3C64ED5A"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6/778</w:t>
            </w:r>
          </w:p>
        </w:tc>
        <w:tc>
          <w:tcPr>
            <w:tcW w:w="1299" w:type="dxa"/>
            <w:tcBorders>
              <w:top w:val="nil"/>
              <w:left w:val="nil"/>
              <w:bottom w:val="nil"/>
              <w:right w:val="nil"/>
            </w:tcBorders>
            <w:noWrap/>
            <w:hideMark/>
          </w:tcPr>
          <w:p w14:paraId="063D5E7B"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1.33E-06</w:t>
            </w:r>
          </w:p>
        </w:tc>
        <w:tc>
          <w:tcPr>
            <w:tcW w:w="3989" w:type="dxa"/>
            <w:gridSpan w:val="3"/>
            <w:tcBorders>
              <w:top w:val="nil"/>
              <w:left w:val="nil"/>
              <w:bottom w:val="nil"/>
              <w:right w:val="nil"/>
            </w:tcBorders>
            <w:noWrap/>
            <w:hideMark/>
          </w:tcPr>
          <w:p w14:paraId="7B5E42FC"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CEMIP, CXCL8, MMP7, CA4, CLDN1, GUCA2A</w:t>
            </w:r>
          </w:p>
        </w:tc>
      </w:tr>
      <w:tr w:rsidR="00D63E2A" w:rsidRPr="00D63E2A" w14:paraId="55FF70F6" w14:textId="77777777" w:rsidTr="00480378">
        <w:tblPrEx>
          <w:jc w:val="left"/>
        </w:tblPrEx>
        <w:trPr>
          <w:trHeight w:val="300"/>
        </w:trPr>
        <w:tc>
          <w:tcPr>
            <w:tcW w:w="3348" w:type="dxa"/>
            <w:gridSpan w:val="2"/>
            <w:tcBorders>
              <w:top w:val="nil"/>
              <w:left w:val="nil"/>
              <w:bottom w:val="nil"/>
              <w:right w:val="nil"/>
            </w:tcBorders>
            <w:noWrap/>
            <w:hideMark/>
          </w:tcPr>
          <w:p w14:paraId="38BDEFAF"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Incontinence</w:t>
            </w:r>
          </w:p>
        </w:tc>
        <w:tc>
          <w:tcPr>
            <w:tcW w:w="1218" w:type="dxa"/>
            <w:tcBorders>
              <w:top w:val="nil"/>
              <w:left w:val="nil"/>
              <w:bottom w:val="nil"/>
              <w:right w:val="nil"/>
            </w:tcBorders>
            <w:noWrap/>
            <w:hideMark/>
          </w:tcPr>
          <w:p w14:paraId="69A0EE47" w14:textId="1B9CC43D"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2/7</w:t>
            </w:r>
          </w:p>
        </w:tc>
        <w:tc>
          <w:tcPr>
            <w:tcW w:w="1299" w:type="dxa"/>
            <w:tcBorders>
              <w:top w:val="nil"/>
              <w:left w:val="nil"/>
              <w:bottom w:val="nil"/>
              <w:right w:val="nil"/>
            </w:tcBorders>
            <w:noWrap/>
            <w:hideMark/>
          </w:tcPr>
          <w:p w14:paraId="5DE21499"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5.77E-06</w:t>
            </w:r>
          </w:p>
        </w:tc>
        <w:tc>
          <w:tcPr>
            <w:tcW w:w="3989" w:type="dxa"/>
            <w:gridSpan w:val="3"/>
            <w:tcBorders>
              <w:top w:val="nil"/>
              <w:left w:val="nil"/>
              <w:bottom w:val="nil"/>
              <w:right w:val="nil"/>
            </w:tcBorders>
            <w:noWrap/>
            <w:hideMark/>
          </w:tcPr>
          <w:p w14:paraId="453D269F"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CXCL8, CLDN1</w:t>
            </w:r>
          </w:p>
        </w:tc>
      </w:tr>
      <w:tr w:rsidR="00D63E2A" w:rsidRPr="00D63E2A" w14:paraId="0D995DDD" w14:textId="77777777" w:rsidTr="00480378">
        <w:tblPrEx>
          <w:jc w:val="left"/>
        </w:tblPrEx>
        <w:trPr>
          <w:trHeight w:val="300"/>
        </w:trPr>
        <w:tc>
          <w:tcPr>
            <w:tcW w:w="3348" w:type="dxa"/>
            <w:gridSpan w:val="2"/>
            <w:tcBorders>
              <w:top w:val="nil"/>
              <w:left w:val="nil"/>
              <w:bottom w:val="nil"/>
              <w:right w:val="nil"/>
            </w:tcBorders>
            <w:noWrap/>
            <w:hideMark/>
          </w:tcPr>
          <w:p w14:paraId="439D66FB"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Adenomatous Polyps</w:t>
            </w:r>
          </w:p>
        </w:tc>
        <w:tc>
          <w:tcPr>
            <w:tcW w:w="1218" w:type="dxa"/>
            <w:tcBorders>
              <w:top w:val="nil"/>
              <w:left w:val="nil"/>
              <w:bottom w:val="nil"/>
              <w:right w:val="nil"/>
            </w:tcBorders>
            <w:noWrap/>
            <w:hideMark/>
          </w:tcPr>
          <w:p w14:paraId="08848E51" w14:textId="5B1DCBF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3/69</w:t>
            </w:r>
          </w:p>
        </w:tc>
        <w:tc>
          <w:tcPr>
            <w:tcW w:w="1299" w:type="dxa"/>
            <w:tcBorders>
              <w:top w:val="nil"/>
              <w:left w:val="nil"/>
              <w:bottom w:val="nil"/>
              <w:right w:val="nil"/>
            </w:tcBorders>
            <w:noWrap/>
            <w:hideMark/>
          </w:tcPr>
          <w:p w14:paraId="605478D0"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6.36E-06</w:t>
            </w:r>
          </w:p>
        </w:tc>
        <w:tc>
          <w:tcPr>
            <w:tcW w:w="3989" w:type="dxa"/>
            <w:gridSpan w:val="3"/>
            <w:tcBorders>
              <w:top w:val="nil"/>
              <w:left w:val="nil"/>
              <w:bottom w:val="nil"/>
              <w:right w:val="nil"/>
            </w:tcBorders>
            <w:noWrap/>
            <w:hideMark/>
          </w:tcPr>
          <w:p w14:paraId="23ABB707"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CXCL8, MMP7, ADH1C</w:t>
            </w:r>
          </w:p>
        </w:tc>
      </w:tr>
      <w:tr w:rsidR="00D63E2A" w:rsidRPr="00D63E2A" w14:paraId="5FB4CC20" w14:textId="77777777" w:rsidTr="00480378">
        <w:tblPrEx>
          <w:jc w:val="left"/>
        </w:tblPrEx>
        <w:trPr>
          <w:trHeight w:val="300"/>
        </w:trPr>
        <w:tc>
          <w:tcPr>
            <w:tcW w:w="3348" w:type="dxa"/>
            <w:gridSpan w:val="2"/>
            <w:tcBorders>
              <w:top w:val="nil"/>
              <w:left w:val="nil"/>
              <w:bottom w:val="nil"/>
              <w:right w:val="nil"/>
            </w:tcBorders>
            <w:noWrap/>
            <w:hideMark/>
          </w:tcPr>
          <w:p w14:paraId="4FB2A45A"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Adenocarcinoma</w:t>
            </w:r>
          </w:p>
        </w:tc>
        <w:tc>
          <w:tcPr>
            <w:tcW w:w="1218" w:type="dxa"/>
            <w:tcBorders>
              <w:top w:val="nil"/>
              <w:left w:val="nil"/>
              <w:bottom w:val="nil"/>
              <w:right w:val="nil"/>
            </w:tcBorders>
            <w:noWrap/>
            <w:hideMark/>
          </w:tcPr>
          <w:p w14:paraId="1357EBF6" w14:textId="6453BC0D"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7/1712</w:t>
            </w:r>
          </w:p>
        </w:tc>
        <w:tc>
          <w:tcPr>
            <w:tcW w:w="1299" w:type="dxa"/>
            <w:tcBorders>
              <w:top w:val="nil"/>
              <w:left w:val="nil"/>
              <w:bottom w:val="nil"/>
              <w:right w:val="nil"/>
            </w:tcBorders>
            <w:noWrap/>
            <w:hideMark/>
          </w:tcPr>
          <w:p w14:paraId="2F03F8FC"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8.06E-06</w:t>
            </w:r>
          </w:p>
        </w:tc>
        <w:tc>
          <w:tcPr>
            <w:tcW w:w="3989" w:type="dxa"/>
            <w:gridSpan w:val="3"/>
            <w:tcBorders>
              <w:top w:val="nil"/>
              <w:left w:val="nil"/>
              <w:bottom w:val="nil"/>
              <w:right w:val="nil"/>
            </w:tcBorders>
            <w:noWrap/>
            <w:hideMark/>
          </w:tcPr>
          <w:p w14:paraId="4673B35D"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CEMIP, CXCL8, MMP7, ADH1C, GUCA2B, CLDN1, GUCA2A</w:t>
            </w:r>
          </w:p>
        </w:tc>
      </w:tr>
      <w:tr w:rsidR="00D63E2A" w:rsidRPr="00D63E2A" w14:paraId="35BEEABF" w14:textId="77777777" w:rsidTr="00480378">
        <w:tblPrEx>
          <w:jc w:val="left"/>
        </w:tblPrEx>
        <w:trPr>
          <w:trHeight w:val="300"/>
        </w:trPr>
        <w:tc>
          <w:tcPr>
            <w:tcW w:w="3348" w:type="dxa"/>
            <w:gridSpan w:val="2"/>
            <w:tcBorders>
              <w:top w:val="nil"/>
              <w:left w:val="nil"/>
              <w:bottom w:val="nil"/>
              <w:right w:val="nil"/>
            </w:tcBorders>
            <w:noWrap/>
            <w:hideMark/>
          </w:tcPr>
          <w:p w14:paraId="3607E38F"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Adenoma of large intestine</w:t>
            </w:r>
          </w:p>
        </w:tc>
        <w:tc>
          <w:tcPr>
            <w:tcW w:w="1218" w:type="dxa"/>
            <w:tcBorders>
              <w:top w:val="nil"/>
              <w:left w:val="nil"/>
              <w:bottom w:val="nil"/>
              <w:right w:val="nil"/>
            </w:tcBorders>
            <w:noWrap/>
            <w:hideMark/>
          </w:tcPr>
          <w:p w14:paraId="67B1A90F" w14:textId="7E7A50CA"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4/258</w:t>
            </w:r>
          </w:p>
        </w:tc>
        <w:tc>
          <w:tcPr>
            <w:tcW w:w="1299" w:type="dxa"/>
            <w:tcBorders>
              <w:top w:val="nil"/>
              <w:left w:val="nil"/>
              <w:bottom w:val="nil"/>
              <w:right w:val="nil"/>
            </w:tcBorders>
            <w:noWrap/>
            <w:hideMark/>
          </w:tcPr>
          <w:p w14:paraId="25AF8290"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8.31E-06</w:t>
            </w:r>
          </w:p>
        </w:tc>
        <w:tc>
          <w:tcPr>
            <w:tcW w:w="3989" w:type="dxa"/>
            <w:gridSpan w:val="3"/>
            <w:tcBorders>
              <w:top w:val="nil"/>
              <w:left w:val="nil"/>
              <w:bottom w:val="nil"/>
              <w:right w:val="nil"/>
            </w:tcBorders>
            <w:noWrap/>
            <w:hideMark/>
          </w:tcPr>
          <w:p w14:paraId="5930872F"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CEMIP, CXCL8, MMP7, ADH1C</w:t>
            </w:r>
          </w:p>
        </w:tc>
      </w:tr>
      <w:tr w:rsidR="00D63E2A" w:rsidRPr="00D63E2A" w14:paraId="4ECBE018" w14:textId="77777777" w:rsidTr="00480378">
        <w:tblPrEx>
          <w:jc w:val="left"/>
        </w:tblPrEx>
        <w:trPr>
          <w:trHeight w:val="300"/>
        </w:trPr>
        <w:tc>
          <w:tcPr>
            <w:tcW w:w="3348" w:type="dxa"/>
            <w:gridSpan w:val="2"/>
            <w:tcBorders>
              <w:top w:val="nil"/>
              <w:left w:val="nil"/>
              <w:bottom w:val="nil"/>
              <w:right w:val="nil"/>
            </w:tcBorders>
            <w:noWrap/>
            <w:hideMark/>
          </w:tcPr>
          <w:p w14:paraId="78405E9A"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Colorectal Neoplasms</w:t>
            </w:r>
          </w:p>
        </w:tc>
        <w:tc>
          <w:tcPr>
            <w:tcW w:w="1218" w:type="dxa"/>
            <w:tcBorders>
              <w:top w:val="nil"/>
              <w:left w:val="nil"/>
              <w:bottom w:val="nil"/>
              <w:right w:val="nil"/>
            </w:tcBorders>
            <w:noWrap/>
            <w:hideMark/>
          </w:tcPr>
          <w:p w14:paraId="587A2325" w14:textId="31602B2C"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6/1073</w:t>
            </w:r>
          </w:p>
        </w:tc>
        <w:tc>
          <w:tcPr>
            <w:tcW w:w="1299" w:type="dxa"/>
            <w:tcBorders>
              <w:top w:val="nil"/>
              <w:left w:val="nil"/>
              <w:bottom w:val="nil"/>
              <w:right w:val="nil"/>
            </w:tcBorders>
            <w:noWrap/>
            <w:hideMark/>
          </w:tcPr>
          <w:p w14:paraId="60A31D2E"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8.61E-06</w:t>
            </w:r>
          </w:p>
        </w:tc>
        <w:tc>
          <w:tcPr>
            <w:tcW w:w="3989" w:type="dxa"/>
            <w:gridSpan w:val="3"/>
            <w:tcBorders>
              <w:top w:val="nil"/>
              <w:left w:val="nil"/>
              <w:bottom w:val="nil"/>
              <w:right w:val="nil"/>
            </w:tcBorders>
            <w:noWrap/>
            <w:hideMark/>
          </w:tcPr>
          <w:p w14:paraId="6CA34646"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CEMIP, CXCL8, MMP7, ADH1C, CLDN1, GUCA2A</w:t>
            </w:r>
          </w:p>
        </w:tc>
      </w:tr>
      <w:tr w:rsidR="00D63E2A" w:rsidRPr="00D63E2A" w14:paraId="5468A9E8" w14:textId="77777777" w:rsidTr="00480378">
        <w:tblPrEx>
          <w:jc w:val="left"/>
        </w:tblPrEx>
        <w:trPr>
          <w:trHeight w:val="300"/>
        </w:trPr>
        <w:tc>
          <w:tcPr>
            <w:tcW w:w="3348" w:type="dxa"/>
            <w:gridSpan w:val="2"/>
            <w:tcBorders>
              <w:top w:val="nil"/>
              <w:left w:val="nil"/>
              <w:bottom w:val="nil"/>
              <w:right w:val="nil"/>
            </w:tcBorders>
            <w:noWrap/>
            <w:hideMark/>
          </w:tcPr>
          <w:p w14:paraId="7E60CB83"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Adenocarcinoma of colon</w:t>
            </w:r>
          </w:p>
        </w:tc>
        <w:tc>
          <w:tcPr>
            <w:tcW w:w="1218" w:type="dxa"/>
            <w:tcBorders>
              <w:top w:val="nil"/>
              <w:left w:val="nil"/>
              <w:bottom w:val="nil"/>
              <w:right w:val="nil"/>
            </w:tcBorders>
            <w:noWrap/>
            <w:hideMark/>
          </w:tcPr>
          <w:p w14:paraId="626C55C7" w14:textId="2A1B84AB"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4/267</w:t>
            </w:r>
          </w:p>
        </w:tc>
        <w:tc>
          <w:tcPr>
            <w:tcW w:w="1299" w:type="dxa"/>
            <w:tcBorders>
              <w:top w:val="nil"/>
              <w:left w:val="nil"/>
              <w:bottom w:val="nil"/>
              <w:right w:val="nil"/>
            </w:tcBorders>
            <w:noWrap/>
            <w:hideMark/>
          </w:tcPr>
          <w:p w14:paraId="7123906D"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9.52E-06</w:t>
            </w:r>
          </w:p>
        </w:tc>
        <w:tc>
          <w:tcPr>
            <w:tcW w:w="3989" w:type="dxa"/>
            <w:gridSpan w:val="3"/>
            <w:tcBorders>
              <w:top w:val="nil"/>
              <w:left w:val="nil"/>
              <w:bottom w:val="nil"/>
              <w:right w:val="nil"/>
            </w:tcBorders>
            <w:noWrap/>
            <w:hideMark/>
          </w:tcPr>
          <w:p w14:paraId="7C689D54"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CXCL8, MMP7, CLDN1, GUCA2A</w:t>
            </w:r>
          </w:p>
        </w:tc>
      </w:tr>
      <w:tr w:rsidR="00D63E2A" w:rsidRPr="00D63E2A" w14:paraId="1B8754FF" w14:textId="77777777" w:rsidTr="00480378">
        <w:tblPrEx>
          <w:jc w:val="left"/>
        </w:tblPrEx>
        <w:trPr>
          <w:trHeight w:val="300"/>
        </w:trPr>
        <w:tc>
          <w:tcPr>
            <w:tcW w:w="3348" w:type="dxa"/>
            <w:gridSpan w:val="2"/>
            <w:tcBorders>
              <w:top w:val="nil"/>
              <w:left w:val="nil"/>
              <w:bottom w:val="nil"/>
              <w:right w:val="nil"/>
            </w:tcBorders>
            <w:noWrap/>
            <w:hideMark/>
          </w:tcPr>
          <w:p w14:paraId="4E4B1600"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Colon Carcinoma</w:t>
            </w:r>
          </w:p>
        </w:tc>
        <w:tc>
          <w:tcPr>
            <w:tcW w:w="1218" w:type="dxa"/>
            <w:tcBorders>
              <w:top w:val="nil"/>
              <w:left w:val="nil"/>
              <w:bottom w:val="nil"/>
              <w:right w:val="nil"/>
            </w:tcBorders>
            <w:noWrap/>
            <w:hideMark/>
          </w:tcPr>
          <w:p w14:paraId="3197ED58" w14:textId="05705EBF"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7/2091</w:t>
            </w:r>
          </w:p>
        </w:tc>
        <w:tc>
          <w:tcPr>
            <w:tcW w:w="1299" w:type="dxa"/>
            <w:tcBorders>
              <w:top w:val="nil"/>
              <w:left w:val="nil"/>
              <w:bottom w:val="nil"/>
              <w:right w:val="nil"/>
            </w:tcBorders>
            <w:noWrap/>
            <w:hideMark/>
          </w:tcPr>
          <w:p w14:paraId="2C791FAA"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3.05E-05</w:t>
            </w:r>
          </w:p>
        </w:tc>
        <w:tc>
          <w:tcPr>
            <w:tcW w:w="3989" w:type="dxa"/>
            <w:gridSpan w:val="3"/>
            <w:tcBorders>
              <w:top w:val="nil"/>
              <w:left w:val="nil"/>
              <w:bottom w:val="nil"/>
              <w:right w:val="nil"/>
            </w:tcBorders>
            <w:noWrap/>
            <w:hideMark/>
          </w:tcPr>
          <w:p w14:paraId="3DC0764E"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CEMIP, CXCL8, MMP7, GUCA2B, MS4A12, CLDN1, GUCA2A</w:t>
            </w:r>
          </w:p>
        </w:tc>
      </w:tr>
      <w:tr w:rsidR="00D63E2A" w:rsidRPr="00D63E2A" w14:paraId="1F8B8A9E" w14:textId="77777777" w:rsidTr="00480378">
        <w:tblPrEx>
          <w:jc w:val="left"/>
        </w:tblPrEx>
        <w:trPr>
          <w:trHeight w:val="300"/>
        </w:trPr>
        <w:tc>
          <w:tcPr>
            <w:tcW w:w="3348" w:type="dxa"/>
            <w:gridSpan w:val="2"/>
            <w:tcBorders>
              <w:top w:val="nil"/>
              <w:left w:val="nil"/>
              <w:bottom w:val="nil"/>
              <w:right w:val="nil"/>
            </w:tcBorders>
            <w:noWrap/>
            <w:hideMark/>
          </w:tcPr>
          <w:p w14:paraId="31D47921"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Mouth Neoplasms</w:t>
            </w:r>
          </w:p>
        </w:tc>
        <w:tc>
          <w:tcPr>
            <w:tcW w:w="1218" w:type="dxa"/>
            <w:tcBorders>
              <w:top w:val="nil"/>
              <w:left w:val="nil"/>
              <w:bottom w:val="nil"/>
              <w:right w:val="nil"/>
            </w:tcBorders>
            <w:noWrap/>
            <w:hideMark/>
          </w:tcPr>
          <w:p w14:paraId="3F37AD32" w14:textId="7A74EB81"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3/132</w:t>
            </w:r>
          </w:p>
        </w:tc>
        <w:tc>
          <w:tcPr>
            <w:tcW w:w="1299" w:type="dxa"/>
            <w:tcBorders>
              <w:top w:val="nil"/>
              <w:left w:val="nil"/>
              <w:bottom w:val="nil"/>
              <w:right w:val="nil"/>
            </w:tcBorders>
            <w:noWrap/>
            <w:hideMark/>
          </w:tcPr>
          <w:p w14:paraId="55FC3892"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4.46E-05</w:t>
            </w:r>
          </w:p>
        </w:tc>
        <w:tc>
          <w:tcPr>
            <w:tcW w:w="3989" w:type="dxa"/>
            <w:gridSpan w:val="3"/>
            <w:tcBorders>
              <w:top w:val="nil"/>
              <w:left w:val="nil"/>
              <w:bottom w:val="nil"/>
              <w:right w:val="nil"/>
            </w:tcBorders>
            <w:noWrap/>
            <w:hideMark/>
          </w:tcPr>
          <w:p w14:paraId="481317F9"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CXCL8, MMP7, ADH1C</w:t>
            </w:r>
          </w:p>
        </w:tc>
      </w:tr>
      <w:tr w:rsidR="00D63E2A" w:rsidRPr="00D63E2A" w14:paraId="016EBABA" w14:textId="77777777" w:rsidTr="00480378">
        <w:tblPrEx>
          <w:jc w:val="left"/>
        </w:tblPrEx>
        <w:trPr>
          <w:trHeight w:val="300"/>
        </w:trPr>
        <w:tc>
          <w:tcPr>
            <w:tcW w:w="3348" w:type="dxa"/>
            <w:gridSpan w:val="2"/>
            <w:tcBorders>
              <w:top w:val="nil"/>
              <w:left w:val="nil"/>
              <w:bottom w:val="nil"/>
              <w:right w:val="nil"/>
            </w:tcBorders>
            <w:noWrap/>
            <w:hideMark/>
          </w:tcPr>
          <w:p w14:paraId="47519D19"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Stage III Colon Cancer AJCC v7</w:t>
            </w:r>
          </w:p>
        </w:tc>
        <w:tc>
          <w:tcPr>
            <w:tcW w:w="1218" w:type="dxa"/>
            <w:tcBorders>
              <w:top w:val="nil"/>
              <w:left w:val="nil"/>
              <w:bottom w:val="nil"/>
              <w:right w:val="nil"/>
            </w:tcBorders>
            <w:noWrap/>
            <w:hideMark/>
          </w:tcPr>
          <w:p w14:paraId="2104AFC9" w14:textId="0B032C9B"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2/23</w:t>
            </w:r>
          </w:p>
        </w:tc>
        <w:tc>
          <w:tcPr>
            <w:tcW w:w="1299" w:type="dxa"/>
            <w:tcBorders>
              <w:top w:val="nil"/>
              <w:left w:val="nil"/>
              <w:bottom w:val="nil"/>
              <w:right w:val="nil"/>
            </w:tcBorders>
            <w:noWrap/>
            <w:hideMark/>
          </w:tcPr>
          <w:p w14:paraId="4BD8747B"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6.91E-05</w:t>
            </w:r>
          </w:p>
        </w:tc>
        <w:tc>
          <w:tcPr>
            <w:tcW w:w="3989" w:type="dxa"/>
            <w:gridSpan w:val="3"/>
            <w:tcBorders>
              <w:top w:val="nil"/>
              <w:left w:val="nil"/>
              <w:bottom w:val="nil"/>
              <w:right w:val="nil"/>
            </w:tcBorders>
            <w:noWrap/>
            <w:hideMark/>
          </w:tcPr>
          <w:p w14:paraId="49F970F1"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CEMIP, CXCL8</w:t>
            </w:r>
          </w:p>
        </w:tc>
      </w:tr>
      <w:tr w:rsidR="00D63E2A" w:rsidRPr="00D63E2A" w14:paraId="33FA48B3" w14:textId="77777777" w:rsidTr="00480378">
        <w:tblPrEx>
          <w:jc w:val="left"/>
        </w:tblPrEx>
        <w:trPr>
          <w:trHeight w:val="300"/>
        </w:trPr>
        <w:tc>
          <w:tcPr>
            <w:tcW w:w="3348" w:type="dxa"/>
            <w:gridSpan w:val="2"/>
            <w:tcBorders>
              <w:top w:val="nil"/>
              <w:left w:val="nil"/>
              <w:bottom w:val="nil"/>
              <w:right w:val="nil"/>
            </w:tcBorders>
            <w:noWrap/>
            <w:hideMark/>
          </w:tcPr>
          <w:p w14:paraId="0FFE17A3"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Healing ulcer</w:t>
            </w:r>
          </w:p>
        </w:tc>
        <w:tc>
          <w:tcPr>
            <w:tcW w:w="1218" w:type="dxa"/>
            <w:tcBorders>
              <w:top w:val="nil"/>
              <w:left w:val="nil"/>
              <w:bottom w:val="nil"/>
              <w:right w:val="nil"/>
            </w:tcBorders>
            <w:noWrap/>
            <w:hideMark/>
          </w:tcPr>
          <w:p w14:paraId="21DD862F" w14:textId="1B31EEC8"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2/24</w:t>
            </w:r>
          </w:p>
        </w:tc>
        <w:tc>
          <w:tcPr>
            <w:tcW w:w="1299" w:type="dxa"/>
            <w:tcBorders>
              <w:top w:val="nil"/>
              <w:left w:val="nil"/>
              <w:bottom w:val="nil"/>
              <w:right w:val="nil"/>
            </w:tcBorders>
            <w:noWrap/>
            <w:hideMark/>
          </w:tcPr>
          <w:p w14:paraId="4A71805E"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7.54E-05</w:t>
            </w:r>
          </w:p>
        </w:tc>
        <w:tc>
          <w:tcPr>
            <w:tcW w:w="3989" w:type="dxa"/>
            <w:gridSpan w:val="3"/>
            <w:tcBorders>
              <w:top w:val="nil"/>
              <w:left w:val="nil"/>
              <w:bottom w:val="nil"/>
              <w:right w:val="nil"/>
            </w:tcBorders>
            <w:noWrap/>
            <w:hideMark/>
          </w:tcPr>
          <w:p w14:paraId="7F567CAF"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CXCL8, MMP7</w:t>
            </w:r>
          </w:p>
        </w:tc>
      </w:tr>
      <w:tr w:rsidR="00D63E2A" w:rsidRPr="00D63E2A" w14:paraId="50649253" w14:textId="77777777" w:rsidTr="00480378">
        <w:tblPrEx>
          <w:jc w:val="left"/>
        </w:tblPrEx>
        <w:trPr>
          <w:trHeight w:val="300"/>
        </w:trPr>
        <w:tc>
          <w:tcPr>
            <w:tcW w:w="3348" w:type="dxa"/>
            <w:gridSpan w:val="2"/>
            <w:tcBorders>
              <w:top w:val="nil"/>
              <w:left w:val="nil"/>
              <w:bottom w:val="nil"/>
              <w:right w:val="nil"/>
            </w:tcBorders>
            <w:noWrap/>
            <w:hideMark/>
          </w:tcPr>
          <w:p w14:paraId="23C3D013"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Stage III Colon Cancer</w:t>
            </w:r>
          </w:p>
        </w:tc>
        <w:tc>
          <w:tcPr>
            <w:tcW w:w="1218" w:type="dxa"/>
            <w:tcBorders>
              <w:top w:val="nil"/>
              <w:left w:val="nil"/>
              <w:bottom w:val="nil"/>
              <w:right w:val="nil"/>
            </w:tcBorders>
            <w:noWrap/>
            <w:hideMark/>
          </w:tcPr>
          <w:p w14:paraId="2A122299" w14:textId="1CC70D31"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2/24</w:t>
            </w:r>
          </w:p>
        </w:tc>
        <w:tc>
          <w:tcPr>
            <w:tcW w:w="1299" w:type="dxa"/>
            <w:tcBorders>
              <w:top w:val="nil"/>
              <w:left w:val="nil"/>
              <w:bottom w:val="nil"/>
              <w:right w:val="nil"/>
            </w:tcBorders>
            <w:noWrap/>
            <w:hideMark/>
          </w:tcPr>
          <w:p w14:paraId="14C61C2E"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7.54E-05</w:t>
            </w:r>
          </w:p>
        </w:tc>
        <w:tc>
          <w:tcPr>
            <w:tcW w:w="3989" w:type="dxa"/>
            <w:gridSpan w:val="3"/>
            <w:tcBorders>
              <w:top w:val="nil"/>
              <w:left w:val="nil"/>
              <w:bottom w:val="nil"/>
              <w:right w:val="nil"/>
            </w:tcBorders>
            <w:noWrap/>
            <w:hideMark/>
          </w:tcPr>
          <w:p w14:paraId="0F33C6F6"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CEMIP, CXCL8</w:t>
            </w:r>
          </w:p>
        </w:tc>
      </w:tr>
      <w:tr w:rsidR="00D63E2A" w:rsidRPr="00D63E2A" w14:paraId="2E380243" w14:textId="77777777" w:rsidTr="00480378">
        <w:tblPrEx>
          <w:jc w:val="left"/>
        </w:tblPrEx>
        <w:trPr>
          <w:trHeight w:val="300"/>
        </w:trPr>
        <w:tc>
          <w:tcPr>
            <w:tcW w:w="3348" w:type="dxa"/>
            <w:gridSpan w:val="2"/>
            <w:tcBorders>
              <w:top w:val="nil"/>
              <w:left w:val="nil"/>
              <w:bottom w:val="nil"/>
              <w:right w:val="nil"/>
            </w:tcBorders>
            <w:noWrap/>
            <w:hideMark/>
          </w:tcPr>
          <w:p w14:paraId="3D4E5484"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Intestinal Neoplasms</w:t>
            </w:r>
          </w:p>
        </w:tc>
        <w:tc>
          <w:tcPr>
            <w:tcW w:w="1218" w:type="dxa"/>
            <w:tcBorders>
              <w:top w:val="nil"/>
              <w:left w:val="nil"/>
              <w:bottom w:val="nil"/>
              <w:right w:val="nil"/>
            </w:tcBorders>
            <w:noWrap/>
            <w:hideMark/>
          </w:tcPr>
          <w:p w14:paraId="010D280B" w14:textId="2D6D4C3D"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3/158</w:t>
            </w:r>
          </w:p>
        </w:tc>
        <w:tc>
          <w:tcPr>
            <w:tcW w:w="1299" w:type="dxa"/>
            <w:tcBorders>
              <w:top w:val="nil"/>
              <w:left w:val="nil"/>
              <w:bottom w:val="nil"/>
              <w:right w:val="nil"/>
            </w:tcBorders>
            <w:noWrap/>
            <w:hideMark/>
          </w:tcPr>
          <w:p w14:paraId="70C5EA89"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7.62E-05</w:t>
            </w:r>
          </w:p>
        </w:tc>
        <w:tc>
          <w:tcPr>
            <w:tcW w:w="3989" w:type="dxa"/>
            <w:gridSpan w:val="3"/>
            <w:tcBorders>
              <w:top w:val="nil"/>
              <w:left w:val="nil"/>
              <w:bottom w:val="nil"/>
              <w:right w:val="nil"/>
            </w:tcBorders>
            <w:noWrap/>
            <w:hideMark/>
          </w:tcPr>
          <w:p w14:paraId="73C380FB"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CXCL8, MMP7, GUCA2A</w:t>
            </w:r>
          </w:p>
        </w:tc>
      </w:tr>
      <w:tr w:rsidR="00D63E2A" w:rsidRPr="00D63E2A" w14:paraId="1F36F8C4" w14:textId="77777777" w:rsidTr="00480378">
        <w:tblPrEx>
          <w:jc w:val="left"/>
        </w:tblPrEx>
        <w:trPr>
          <w:trHeight w:val="300"/>
        </w:trPr>
        <w:tc>
          <w:tcPr>
            <w:tcW w:w="3348" w:type="dxa"/>
            <w:gridSpan w:val="2"/>
            <w:tcBorders>
              <w:top w:val="nil"/>
              <w:left w:val="nil"/>
              <w:bottom w:val="nil"/>
              <w:right w:val="nil"/>
            </w:tcBorders>
            <w:noWrap/>
            <w:hideMark/>
          </w:tcPr>
          <w:p w14:paraId="35BB9F87"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Lip and Oral Cavity Carcinoma</w:t>
            </w:r>
          </w:p>
        </w:tc>
        <w:tc>
          <w:tcPr>
            <w:tcW w:w="1218" w:type="dxa"/>
            <w:tcBorders>
              <w:top w:val="nil"/>
              <w:left w:val="nil"/>
              <w:bottom w:val="nil"/>
              <w:right w:val="nil"/>
            </w:tcBorders>
            <w:noWrap/>
            <w:hideMark/>
          </w:tcPr>
          <w:p w14:paraId="79E3DA0D" w14:textId="440156D0"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4/473</w:t>
            </w:r>
          </w:p>
        </w:tc>
        <w:tc>
          <w:tcPr>
            <w:tcW w:w="1299" w:type="dxa"/>
            <w:tcBorders>
              <w:top w:val="nil"/>
              <w:left w:val="nil"/>
              <w:bottom w:val="nil"/>
              <w:right w:val="nil"/>
            </w:tcBorders>
            <w:noWrap/>
            <w:hideMark/>
          </w:tcPr>
          <w:p w14:paraId="35312706"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8.93E-05</w:t>
            </w:r>
          </w:p>
        </w:tc>
        <w:tc>
          <w:tcPr>
            <w:tcW w:w="3989" w:type="dxa"/>
            <w:gridSpan w:val="3"/>
            <w:tcBorders>
              <w:top w:val="nil"/>
              <w:left w:val="nil"/>
              <w:bottom w:val="nil"/>
              <w:right w:val="nil"/>
            </w:tcBorders>
            <w:noWrap/>
            <w:hideMark/>
          </w:tcPr>
          <w:p w14:paraId="39B2E639"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CXCL8, MMP7, ADH1C, CLDN1</w:t>
            </w:r>
          </w:p>
        </w:tc>
      </w:tr>
      <w:tr w:rsidR="00D63E2A" w:rsidRPr="00D63E2A" w14:paraId="7DA901FF" w14:textId="77777777" w:rsidTr="00480378">
        <w:tblPrEx>
          <w:jc w:val="left"/>
        </w:tblPrEx>
        <w:trPr>
          <w:trHeight w:val="300"/>
        </w:trPr>
        <w:tc>
          <w:tcPr>
            <w:tcW w:w="3348" w:type="dxa"/>
            <w:gridSpan w:val="2"/>
            <w:tcBorders>
              <w:top w:val="nil"/>
              <w:left w:val="nil"/>
              <w:bottom w:val="nil"/>
              <w:right w:val="nil"/>
            </w:tcBorders>
            <w:noWrap/>
            <w:hideMark/>
          </w:tcPr>
          <w:p w14:paraId="1AF24BCD"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Follicular thyroid carcinoma</w:t>
            </w:r>
          </w:p>
        </w:tc>
        <w:tc>
          <w:tcPr>
            <w:tcW w:w="1218" w:type="dxa"/>
            <w:tcBorders>
              <w:top w:val="nil"/>
              <w:left w:val="nil"/>
              <w:bottom w:val="nil"/>
              <w:right w:val="nil"/>
            </w:tcBorders>
            <w:noWrap/>
            <w:hideMark/>
          </w:tcPr>
          <w:p w14:paraId="5C52ADB8" w14:textId="0DBBDF98"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3/167</w:t>
            </w:r>
          </w:p>
        </w:tc>
        <w:tc>
          <w:tcPr>
            <w:tcW w:w="1299" w:type="dxa"/>
            <w:tcBorders>
              <w:top w:val="nil"/>
              <w:left w:val="nil"/>
              <w:bottom w:val="nil"/>
              <w:right w:val="nil"/>
            </w:tcBorders>
            <w:noWrap/>
            <w:hideMark/>
          </w:tcPr>
          <w:p w14:paraId="6ADF5929"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8.98E-05</w:t>
            </w:r>
          </w:p>
        </w:tc>
        <w:tc>
          <w:tcPr>
            <w:tcW w:w="3989" w:type="dxa"/>
            <w:gridSpan w:val="3"/>
            <w:tcBorders>
              <w:top w:val="nil"/>
              <w:left w:val="nil"/>
              <w:bottom w:val="nil"/>
              <w:right w:val="nil"/>
            </w:tcBorders>
            <w:noWrap/>
            <w:hideMark/>
          </w:tcPr>
          <w:p w14:paraId="156C7AA0"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CXCL8, MMP7, CLDN1</w:t>
            </w:r>
          </w:p>
        </w:tc>
      </w:tr>
      <w:tr w:rsidR="00D63E2A" w:rsidRPr="00D63E2A" w14:paraId="3692ABFD" w14:textId="77777777" w:rsidTr="00480378">
        <w:tblPrEx>
          <w:jc w:val="left"/>
        </w:tblPrEx>
        <w:trPr>
          <w:trHeight w:val="300"/>
        </w:trPr>
        <w:tc>
          <w:tcPr>
            <w:tcW w:w="3348" w:type="dxa"/>
            <w:gridSpan w:val="2"/>
            <w:tcBorders>
              <w:top w:val="nil"/>
              <w:left w:val="nil"/>
              <w:bottom w:val="nil"/>
              <w:right w:val="nil"/>
            </w:tcBorders>
            <w:noWrap/>
            <w:hideMark/>
          </w:tcPr>
          <w:p w14:paraId="57BE847A"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Irritable Bowel Syndrome</w:t>
            </w:r>
          </w:p>
        </w:tc>
        <w:tc>
          <w:tcPr>
            <w:tcW w:w="1218" w:type="dxa"/>
            <w:tcBorders>
              <w:top w:val="nil"/>
              <w:left w:val="nil"/>
              <w:bottom w:val="nil"/>
              <w:right w:val="nil"/>
            </w:tcBorders>
            <w:noWrap/>
            <w:hideMark/>
          </w:tcPr>
          <w:p w14:paraId="42ED2B70" w14:textId="198DEFDB"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3/167</w:t>
            </w:r>
          </w:p>
        </w:tc>
        <w:tc>
          <w:tcPr>
            <w:tcW w:w="1299" w:type="dxa"/>
            <w:tcBorders>
              <w:top w:val="nil"/>
              <w:left w:val="nil"/>
              <w:bottom w:val="nil"/>
              <w:right w:val="nil"/>
            </w:tcBorders>
            <w:noWrap/>
            <w:hideMark/>
          </w:tcPr>
          <w:p w14:paraId="1FA84FD7"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8.98E-05</w:t>
            </w:r>
          </w:p>
        </w:tc>
        <w:tc>
          <w:tcPr>
            <w:tcW w:w="3989" w:type="dxa"/>
            <w:gridSpan w:val="3"/>
            <w:tcBorders>
              <w:top w:val="nil"/>
              <w:left w:val="nil"/>
              <w:bottom w:val="nil"/>
              <w:right w:val="nil"/>
            </w:tcBorders>
            <w:noWrap/>
            <w:hideMark/>
          </w:tcPr>
          <w:p w14:paraId="170BB104"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CXCL8, GUCA2B, CLDN1</w:t>
            </w:r>
          </w:p>
        </w:tc>
      </w:tr>
      <w:tr w:rsidR="00D63E2A" w:rsidRPr="00D63E2A" w14:paraId="42283ACB" w14:textId="77777777" w:rsidTr="00480378">
        <w:tblPrEx>
          <w:jc w:val="left"/>
        </w:tblPrEx>
        <w:trPr>
          <w:trHeight w:val="300"/>
        </w:trPr>
        <w:tc>
          <w:tcPr>
            <w:tcW w:w="3348" w:type="dxa"/>
            <w:gridSpan w:val="2"/>
            <w:tcBorders>
              <w:top w:val="nil"/>
              <w:left w:val="nil"/>
              <w:bottom w:val="nil"/>
              <w:right w:val="nil"/>
            </w:tcBorders>
            <w:noWrap/>
            <w:hideMark/>
          </w:tcPr>
          <w:p w14:paraId="33DCD1F7"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Adenoma</w:t>
            </w:r>
          </w:p>
        </w:tc>
        <w:tc>
          <w:tcPr>
            <w:tcW w:w="1218" w:type="dxa"/>
            <w:tcBorders>
              <w:top w:val="nil"/>
              <w:left w:val="nil"/>
              <w:bottom w:val="nil"/>
              <w:right w:val="nil"/>
            </w:tcBorders>
            <w:noWrap/>
            <w:hideMark/>
          </w:tcPr>
          <w:p w14:paraId="396FCE64" w14:textId="6B60B31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5/1000</w:t>
            </w:r>
          </w:p>
        </w:tc>
        <w:tc>
          <w:tcPr>
            <w:tcW w:w="1299" w:type="dxa"/>
            <w:tcBorders>
              <w:top w:val="nil"/>
              <w:left w:val="nil"/>
              <w:bottom w:val="nil"/>
              <w:right w:val="nil"/>
            </w:tcBorders>
            <w:noWrap/>
            <w:hideMark/>
          </w:tcPr>
          <w:p w14:paraId="114DAE1E"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1.11E-04</w:t>
            </w:r>
          </w:p>
        </w:tc>
        <w:tc>
          <w:tcPr>
            <w:tcW w:w="3989" w:type="dxa"/>
            <w:gridSpan w:val="3"/>
            <w:tcBorders>
              <w:top w:val="nil"/>
              <w:left w:val="nil"/>
              <w:bottom w:val="nil"/>
              <w:right w:val="nil"/>
            </w:tcBorders>
            <w:noWrap/>
            <w:hideMark/>
          </w:tcPr>
          <w:p w14:paraId="6C1D7BEE"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CEMIP, CXCL8, MMP7, ADH1C, CLDN1</w:t>
            </w:r>
          </w:p>
        </w:tc>
      </w:tr>
      <w:tr w:rsidR="00D63E2A" w:rsidRPr="00D63E2A" w14:paraId="5C28F94D" w14:textId="77777777" w:rsidTr="00480378">
        <w:tblPrEx>
          <w:jc w:val="left"/>
        </w:tblPrEx>
        <w:trPr>
          <w:trHeight w:val="300"/>
        </w:trPr>
        <w:tc>
          <w:tcPr>
            <w:tcW w:w="3348" w:type="dxa"/>
            <w:gridSpan w:val="2"/>
            <w:tcBorders>
              <w:top w:val="nil"/>
              <w:left w:val="nil"/>
              <w:right w:val="nil"/>
            </w:tcBorders>
            <w:noWrap/>
            <w:hideMark/>
          </w:tcPr>
          <w:p w14:paraId="1C6455CA" w14:textId="77777777" w:rsidR="00EB4CF9" w:rsidRPr="00D63E2A" w:rsidRDefault="00EB4CF9" w:rsidP="00D63E2A">
            <w:pPr>
              <w:jc w:val="left"/>
              <w:rPr>
                <w:rFonts w:ascii="Times New Roman" w:hAnsi="Times New Roman" w:cs="Times New Roman"/>
                <w:sz w:val="22"/>
              </w:rPr>
            </w:pPr>
            <w:r w:rsidRPr="00D63E2A">
              <w:rPr>
                <w:rFonts w:ascii="Times New Roman" w:hAnsi="Times New Roman" w:cs="Times New Roman"/>
                <w:sz w:val="22"/>
              </w:rPr>
              <w:t>Metastatic Neoplasm</w:t>
            </w:r>
          </w:p>
        </w:tc>
        <w:tc>
          <w:tcPr>
            <w:tcW w:w="1218" w:type="dxa"/>
            <w:tcBorders>
              <w:top w:val="nil"/>
              <w:left w:val="nil"/>
              <w:right w:val="nil"/>
            </w:tcBorders>
            <w:noWrap/>
            <w:hideMark/>
          </w:tcPr>
          <w:p w14:paraId="503BEA44" w14:textId="1CBFE6E0"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4/544</w:t>
            </w:r>
          </w:p>
        </w:tc>
        <w:tc>
          <w:tcPr>
            <w:tcW w:w="1299" w:type="dxa"/>
            <w:tcBorders>
              <w:top w:val="nil"/>
              <w:left w:val="nil"/>
              <w:right w:val="nil"/>
            </w:tcBorders>
            <w:noWrap/>
            <w:hideMark/>
          </w:tcPr>
          <w:p w14:paraId="25972246" w14:textId="77777777" w:rsidR="00EB4CF9" w:rsidRPr="00D63E2A" w:rsidRDefault="00EB4CF9" w:rsidP="00EB4CF9">
            <w:pPr>
              <w:rPr>
                <w:rFonts w:ascii="Times New Roman" w:hAnsi="Times New Roman" w:cs="Times New Roman"/>
                <w:sz w:val="22"/>
              </w:rPr>
            </w:pPr>
            <w:r w:rsidRPr="00D63E2A">
              <w:rPr>
                <w:rFonts w:ascii="Times New Roman" w:hAnsi="Times New Roman" w:cs="Times New Roman"/>
                <w:sz w:val="22"/>
              </w:rPr>
              <w:t>1.53E-04</w:t>
            </w:r>
          </w:p>
        </w:tc>
        <w:tc>
          <w:tcPr>
            <w:tcW w:w="3989" w:type="dxa"/>
            <w:gridSpan w:val="3"/>
            <w:tcBorders>
              <w:top w:val="nil"/>
              <w:left w:val="nil"/>
              <w:right w:val="nil"/>
            </w:tcBorders>
            <w:noWrap/>
            <w:hideMark/>
          </w:tcPr>
          <w:p w14:paraId="320A9CAA" w14:textId="77777777" w:rsidR="00EB4CF9" w:rsidRPr="005D091C" w:rsidRDefault="00EB4CF9" w:rsidP="00EB4CF9">
            <w:pPr>
              <w:rPr>
                <w:rFonts w:ascii="Times New Roman" w:hAnsi="Times New Roman" w:cs="Times New Roman"/>
                <w:i/>
                <w:iCs/>
                <w:sz w:val="22"/>
              </w:rPr>
            </w:pPr>
            <w:r w:rsidRPr="005D091C">
              <w:rPr>
                <w:rFonts w:ascii="Times New Roman" w:hAnsi="Times New Roman" w:cs="Times New Roman"/>
                <w:i/>
                <w:iCs/>
                <w:sz w:val="22"/>
              </w:rPr>
              <w:t>CEMIP, CXCL8, MMP7, CLDN1</w:t>
            </w:r>
          </w:p>
        </w:tc>
      </w:tr>
    </w:tbl>
    <w:p w14:paraId="5AFB8936" w14:textId="77777777" w:rsidR="00331F87" w:rsidRDefault="00331F87">
      <w:pPr>
        <w:rPr>
          <w:rFonts w:ascii="Times New Roman" w:hAnsi="Times New Roman" w:cs="Times New Roman"/>
          <w:b/>
          <w:sz w:val="24"/>
          <w:szCs w:val="24"/>
        </w:rPr>
      </w:pPr>
    </w:p>
    <w:p w14:paraId="67E43B05" w14:textId="77777777" w:rsidR="00331F87" w:rsidRDefault="00331F87">
      <w:pPr>
        <w:rPr>
          <w:rFonts w:ascii="Times New Roman" w:hAnsi="Times New Roman" w:cs="Times New Roman"/>
          <w:b/>
          <w:sz w:val="24"/>
          <w:szCs w:val="24"/>
        </w:rPr>
      </w:pPr>
    </w:p>
    <w:p w14:paraId="0C934F6E" w14:textId="77777777" w:rsidR="00331F87" w:rsidRDefault="00331F87">
      <w:pPr>
        <w:rPr>
          <w:rFonts w:ascii="Times New Roman" w:hAnsi="Times New Roman" w:cs="Times New Roman"/>
          <w:b/>
          <w:sz w:val="24"/>
          <w:szCs w:val="24"/>
        </w:rPr>
      </w:pPr>
    </w:p>
    <w:p w14:paraId="681FEDEC" w14:textId="39B91625" w:rsidR="005C23CE" w:rsidRPr="005C23CE" w:rsidRDefault="005C23CE">
      <w:pPr>
        <w:rPr>
          <w:rFonts w:ascii="Times New Roman" w:hAnsi="Times New Roman" w:cs="Times New Roman"/>
          <w:b/>
          <w:sz w:val="24"/>
          <w:szCs w:val="24"/>
        </w:rPr>
      </w:pPr>
      <w:r w:rsidRPr="005C23CE">
        <w:rPr>
          <w:rFonts w:ascii="Times New Roman" w:hAnsi="Times New Roman" w:cs="Times New Roman"/>
          <w:b/>
          <w:sz w:val="24"/>
          <w:szCs w:val="24"/>
        </w:rPr>
        <w:t>References</w:t>
      </w:r>
      <w:r w:rsidR="00305420">
        <w:rPr>
          <w:rFonts w:ascii="Times New Roman" w:hAnsi="Times New Roman" w:cs="Times New Roman"/>
          <w:b/>
          <w:sz w:val="24"/>
          <w:szCs w:val="24"/>
        </w:rPr>
        <w:t>:</w:t>
      </w:r>
      <w:r w:rsidRPr="005C23CE">
        <w:rPr>
          <w:rFonts w:ascii="Times New Roman" w:hAnsi="Times New Roman" w:cs="Times New Roman"/>
          <w:b/>
          <w:sz w:val="24"/>
          <w:szCs w:val="24"/>
        </w:rPr>
        <w:t xml:space="preserve"> </w:t>
      </w:r>
    </w:p>
    <w:p w14:paraId="583C9703" w14:textId="02E4A468" w:rsidR="00480378" w:rsidRPr="00480378" w:rsidRDefault="005C23CE" w:rsidP="00480378">
      <w:pPr>
        <w:autoSpaceDE w:val="0"/>
        <w:autoSpaceDN w:val="0"/>
        <w:adjustRightInd w:val="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480378" w:rsidRPr="00480378">
        <w:rPr>
          <w:rFonts w:ascii="Times New Roman" w:hAnsi="Times New Roman" w:cs="Times New Roman"/>
          <w:noProof/>
          <w:sz w:val="24"/>
          <w:szCs w:val="24"/>
        </w:rPr>
        <w:t>1. Dong S, Ding Z, Zhang H, Chen Q. Identification of Prognostic Biomarkers and Drugs Targeting Them in Colon Adenocarcinoma: A Bioinformatic Analysis. Integr Cancer Ther. 2019;18.</w:t>
      </w:r>
    </w:p>
    <w:p w14:paraId="277A2529"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2. Rahman F, Mahmud P, Karim R, Hossain T, Islam F. Determination of novel biomarkers and pathways shared by colorectal cancer and endometrial cancer via comprehensive bioinformatics analysis. Informatics Med Unlocked. 2020;20.</w:t>
      </w:r>
    </w:p>
    <w:p w14:paraId="13F04BEC"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3. Xu H, Ma Y, Zhang J, Gu J, Jing X, Lu S, et al. Identification and Verification of Core Genes in Colorectal Cancer. Biomed Res Int. 2020;2020.</w:t>
      </w:r>
    </w:p>
    <w:p w14:paraId="049D4ECA"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lastRenderedPageBreak/>
        <w:t>4. Zheng Z, Xie J, Xiong L, Gao M, Qin L, Dai C, et al. Identification of candidate biomarkers and therapeutic drugs of colorectal cancer by integrated bioinformatics analysis. Med Oncol. 2020;37:1–11.</w:t>
      </w:r>
    </w:p>
    <w:p w14:paraId="21E45BC0"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5. Zhang J, Zhang H, Li F, Song Z, Li Y, Zhao T. Identification of intestinal flora-related key genes and therapeutic drugs in colorectal cancer. BMC Med Genomics. 2020;13.</w:t>
      </w:r>
    </w:p>
    <w:p w14:paraId="50A08959"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6. Rahman MR, Islam T, Gov E, Turanli B, Gulfidan G, Shahjaman M, et al. Identification of prognostic biomarker signatures and candidate drugs in colorectal cancer: Insights from systems biology analysis. Med. 2019;55.</w:t>
      </w:r>
    </w:p>
    <w:p w14:paraId="39C208CE"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7. Chen J, Wang Z, Shen X, Cui X, Guo Y. Identification of novel biomarkers and small molecule drugs in human colorectal cancer by microarray and bioinformatics analysis. Mol Genet Genomic Med. 2019;7.</w:t>
      </w:r>
    </w:p>
    <w:p w14:paraId="63D888C5"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8. Yu C, Chen F, Jiang J, Zhang H, Zhou M. Screening key genes and signaling pathways in colorectal cancer by integrated bioinformatics analysis. Mol Med Rep. 2019;20:1259–69.</w:t>
      </w:r>
    </w:p>
    <w:p w14:paraId="0503E7C7"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9. Yang J, Gao S, Qiu M, Kan S. Integrated Analysis of Gene Expression and Metabolite Data Reveals Candidate Molecular Markers in Colorectal Carcinoma. Cancer Biother Radiopharm. 2020. https://doi.org/10.1089/cbr.2020.3980.</w:t>
      </w:r>
    </w:p>
    <w:p w14:paraId="01DF7A97"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10. Liang B, Li C, Zhao J. Identification of key pathways and genes in colorectal cancer using bioinformatics analysis. Med Oncol. 2016;33.</w:t>
      </w:r>
    </w:p>
    <w:p w14:paraId="756E964B"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11. Dai GP, Wang LP, Wen YQ, Ren XQ, Zuo SG. Identification of key genes for predicting colorectal cancer prognosis by integrated bioinformatics analysis. Oncol Lett. 2020;19:388–98.</w:t>
      </w:r>
    </w:p>
    <w:p w14:paraId="2E88B83B"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12. Guo Y, Bao Y, Ma M, Yang W. Identification of key candidate genes and pathways in colorectal cancer by integrated bioinformatical analysis. Int J Mol Sci. 2017;18.</w:t>
      </w:r>
    </w:p>
    <w:p w14:paraId="4E107916"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13. Ding X, Duan H, Luo H. Identification of Core Gene Expression Signature and Key Pathways in Colorectal Cancer. Front Genet. 2020;11.</w:t>
      </w:r>
    </w:p>
    <w:p w14:paraId="69023009"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14. Yuan Y, Chen J, Wang J, Xu M, Zhang Y, Sun P, et al. Identification Hub Genes in Colorectal Cancer by Integrating Weighted Gene Co-Expression Network Analysis and Clinical Validation in vivo and vitro. Front Oncol. 2020;10.</w:t>
      </w:r>
    </w:p>
    <w:p w14:paraId="13F9AA74"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15. Zhao Z, Fan X, Yang L, Song J, Fang S, Tu J, et al. The identification of a common different gene expression signature in patients with colorectal cancer. Math Biosci Eng. 2019;16:2942–58.</w:t>
      </w:r>
    </w:p>
    <w:p w14:paraId="6C0CEE2B"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16. Tang L, Lei YY, Liu YJ, Tang B, Yang SM. The expression of seven key genes can predict distant metastasis of colorectal cancer to the liver or lung. J Dig Dis. 2020;21:639–49.</w:t>
      </w:r>
    </w:p>
    <w:p w14:paraId="4719D325"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17. Hozhabri H, Lashkari A, Razavi SM, Mohammadian A. Integration of gene expression data identifies key genes and pathways in colorectal cancer. Med Oncol. 2021;38.</w:t>
      </w:r>
    </w:p>
    <w:p w14:paraId="44C5FF18"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18. Berg KCG, Eide PW, Eilertsen IA, Johannessen B, Bruun J, Danielsen SA, et al. Multi-omics of 34 colorectal cancer cell lines - a resource for biomedical studies. Mol Cancer. 2017;16.</w:t>
      </w:r>
    </w:p>
    <w:p w14:paraId="7AD80E96"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19. Qi Y, Qi H, Liu Z, He P, Li B. Bioinformatics Analysis of Key Genes and Pathways in Colorectal Cancer. J Comput Biol. 2019;26:364–75.</w:t>
      </w:r>
    </w:p>
    <w:p w14:paraId="4DB48CA6"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20. Chen Z, Lin Y, Gao J, Lin S, Zheng Y, Liu Y, et al. Identification of key candidate genes for colorectal cancer by bioinformatics analysis. Oncol Lett. 2019;18:6583–93.</w:t>
      </w:r>
    </w:p>
    <w:p w14:paraId="22849566"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21. Mastrogamvraki N, Zaravinos A. Signatures of co-deregulated genes and their transcriptional regulators in colorectal cancer. npj Syst Biol Appl. 2020;6.</w:t>
      </w:r>
    </w:p>
    <w:p w14:paraId="53641C68"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22. Liu X, Bing Z, Wu J, Zhang J, Zhou W, Ni M, et al. Integrative gene expression profiling analysis to investigate potential prognostic biomarkers for colorectal cancer. Med Sci Monit. 2020;26.</w:t>
      </w:r>
    </w:p>
    <w:p w14:paraId="42A29E05"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 xml:space="preserve">23. Pirim D. Integrative analyses of molecular pathways and key candidate biomarkers associated </w:t>
      </w:r>
      <w:r w:rsidRPr="00480378">
        <w:rPr>
          <w:rFonts w:ascii="Times New Roman" w:hAnsi="Times New Roman" w:cs="Times New Roman"/>
          <w:noProof/>
          <w:sz w:val="24"/>
          <w:szCs w:val="24"/>
        </w:rPr>
        <w:lastRenderedPageBreak/>
        <w:t>with colorectal cancer. Cancer Biomarkers. 2020;27:555–68.</w:t>
      </w:r>
    </w:p>
    <w:p w14:paraId="7394F04B"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24. Cui X, Shen K, Xie Z, Liu T, Zhang H. Identification of key genes in colorectal cancer using random walk with restart. Mol Med Rep. 2017;15:867–72.</w:t>
      </w:r>
    </w:p>
    <w:p w14:paraId="33D35C37"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25. Zhu H, Ji Y, Li W, Wu M. Identification of key pathways and genes in colorectal cancer to predict the prognosis based on mRNA interaction network. Oncol Lett. 2019;18:3778–86.</w:t>
      </w:r>
    </w:p>
    <w:p w14:paraId="4E858445"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26. Peng WF, Bai F, Shao K, Shen LS, Li HH, Huang S. The key genes underlying pathophysiology association between the type 2-diabetic and colorectal cancer. J Cell Physiol. 2018;233:8551–7.</w:t>
      </w:r>
    </w:p>
    <w:p w14:paraId="7330202F"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27. Liu S, Zeng F, Fan G, Dong Q. Identification of Hub Genes and Construction of a Transcriptional Regulatory Network Associated With Tumor Recurrence in Colorectal Cancer by Weighted Gene Co-expression Network Analysis. Front Genet. 2021;12.</w:t>
      </w:r>
    </w:p>
    <w:p w14:paraId="184F921A"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28. Asghari M, Abazari MF, Bokharaei H, Aleagha MN, Poortahmasebi V, Askari H, et al. Key genes and regulatory networks involved in the initiation, progression and invasion of colorectal cancer. Futur Sci OA. 2018;4.</w:t>
      </w:r>
    </w:p>
    <w:p w14:paraId="3FA4BFFE"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29. Lin T, Liang C, Peng W, Qiu Y, Peng L. Mechanisms of core Chinese herbs against colorectal cancer: A study based on data mining and network pharmacology. Evidence-based Complement Altern Med. 2020;2020.</w:t>
      </w:r>
    </w:p>
    <w:p w14:paraId="2E66573B"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30. Kasap E, Gerceker E, Boyacıoglu SÖ, Yuceyar H, Yıldırm H, Ayhan S, et al. The potential role of the NEK6, AURKA, AURKB, and PAK1 genes in adenomatous colorectal polyps and colorectal adenocarcinoma. Tumor Biol. 2016;37:3071–80.</w:t>
      </w:r>
    </w:p>
    <w:p w14:paraId="272D31C0"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31. Hameed Y, Usman M, Liang S, Ejaz S. Novel diagnostic and prognostic biomarkers of colorectal cancer: Capable to overcome the heterogeneity-specific barrier and valid for global applications. PLoS One. 2021;16 9 September.</w:t>
      </w:r>
    </w:p>
    <w:p w14:paraId="0BDA58E3"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32. Yang X, Wei W, Tan S, Guo L, Qiao S, Yao B, et al. Identification and verification of HCAR3 and INSL5 as new potential therapeutic targets of colorectal cancer. World J Surg Oncol. 2021;19.</w:t>
      </w:r>
    </w:p>
    <w:p w14:paraId="5290B08A"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33. Zhang L, Yang Y, Cheng L, Cheng Y, Zhou HH, Tan ZR. Identification of Common Genes Refers to Colorectal Carcinogenesis with Paired Cancer and Noncancer Samples. Dis Markers. 2018;2018.</w:t>
      </w:r>
    </w:p>
    <w:p w14:paraId="13D18131"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34. Leng X, Yang J, Liu T, Zhao C, Cao Z, Li C, et al. A bioinformatics framework to identify the biomarkers and potential drugs for the treatment of colorectal cancer. Front Genet. 2022;13.</w:t>
      </w:r>
    </w:p>
    <w:p w14:paraId="6755ED38" w14:textId="77777777" w:rsidR="00480378" w:rsidRPr="00480378" w:rsidRDefault="00480378" w:rsidP="00480378">
      <w:pPr>
        <w:autoSpaceDE w:val="0"/>
        <w:autoSpaceDN w:val="0"/>
        <w:adjustRightInd w:val="0"/>
        <w:rPr>
          <w:rFonts w:ascii="Times New Roman" w:hAnsi="Times New Roman" w:cs="Times New Roman"/>
          <w:noProof/>
          <w:sz w:val="24"/>
          <w:szCs w:val="24"/>
        </w:rPr>
      </w:pPr>
      <w:r w:rsidRPr="00480378">
        <w:rPr>
          <w:rFonts w:ascii="Times New Roman" w:hAnsi="Times New Roman" w:cs="Times New Roman"/>
          <w:noProof/>
          <w:sz w:val="24"/>
          <w:szCs w:val="24"/>
        </w:rPr>
        <w:t>35. Wang Q, Huang X, Zhou S, Ding Y, Wang H, Jiang W, et al. IL1RN and PRRX1 as a Prognostic Biomarker Correlated with Immune Infiltrates in Colorectal Cancer: Evidence from Bioinformatic Analysis. Int J Genomics. 2022;2022.</w:t>
      </w:r>
    </w:p>
    <w:p w14:paraId="667A74ED" w14:textId="77777777" w:rsidR="00480378" w:rsidRPr="00480378" w:rsidRDefault="00480378" w:rsidP="00480378">
      <w:pPr>
        <w:autoSpaceDE w:val="0"/>
        <w:autoSpaceDN w:val="0"/>
        <w:adjustRightInd w:val="0"/>
        <w:rPr>
          <w:rFonts w:ascii="Times New Roman" w:hAnsi="Times New Roman" w:cs="Times New Roman"/>
          <w:noProof/>
          <w:sz w:val="24"/>
        </w:rPr>
      </w:pPr>
      <w:r w:rsidRPr="00480378">
        <w:rPr>
          <w:rFonts w:ascii="Times New Roman" w:hAnsi="Times New Roman" w:cs="Times New Roman"/>
          <w:noProof/>
          <w:sz w:val="24"/>
          <w:szCs w:val="24"/>
        </w:rPr>
        <w:t>36. Sharma A, Yadav D, Rao P, Sinha S, Goswami D, Rawal RM, et al. Identification of potential therapeutic targets associated with diagnosis and prognosis of colorectal cancer patients based on integrated bioinformatics analysis. Comput Biol Med. 2022;146.</w:t>
      </w:r>
    </w:p>
    <w:p w14:paraId="2BF77391" w14:textId="67D6917E" w:rsidR="005C23CE" w:rsidRPr="005C23CE" w:rsidRDefault="005C23CE">
      <w:pPr>
        <w:rPr>
          <w:rFonts w:ascii="Times New Roman" w:hAnsi="Times New Roman" w:cs="Times New Roman"/>
          <w:sz w:val="24"/>
          <w:szCs w:val="24"/>
        </w:rPr>
      </w:pPr>
      <w:r>
        <w:rPr>
          <w:rFonts w:ascii="Times New Roman" w:hAnsi="Times New Roman" w:cs="Times New Roman"/>
          <w:sz w:val="24"/>
          <w:szCs w:val="24"/>
        </w:rPr>
        <w:fldChar w:fldCharType="end"/>
      </w:r>
      <w:bookmarkEnd w:id="0"/>
    </w:p>
    <w:sectPr w:rsidR="005C23CE" w:rsidRPr="005C23CE" w:rsidSect="00926E8F">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5F732" w14:textId="77777777" w:rsidR="00C528EC" w:rsidRDefault="00C528EC" w:rsidP="00B517F4">
      <w:r>
        <w:separator/>
      </w:r>
    </w:p>
  </w:endnote>
  <w:endnote w:type="continuationSeparator" w:id="0">
    <w:p w14:paraId="13CD7E98" w14:textId="77777777" w:rsidR="00C528EC" w:rsidRDefault="00C528EC" w:rsidP="00B51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08D74" w14:textId="77777777" w:rsidR="00C528EC" w:rsidRDefault="00C528EC" w:rsidP="00B517F4">
      <w:r>
        <w:separator/>
      </w:r>
    </w:p>
  </w:footnote>
  <w:footnote w:type="continuationSeparator" w:id="0">
    <w:p w14:paraId="0A16AAA8" w14:textId="77777777" w:rsidR="00C528EC" w:rsidRDefault="00C528EC" w:rsidP="00B517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717"/>
    <w:rsid w:val="00007B53"/>
    <w:rsid w:val="00023A20"/>
    <w:rsid w:val="000442E4"/>
    <w:rsid w:val="00053B05"/>
    <w:rsid w:val="000A51B2"/>
    <w:rsid w:val="000A6605"/>
    <w:rsid w:val="000C15A4"/>
    <w:rsid w:val="000C4DC5"/>
    <w:rsid w:val="000C5ED8"/>
    <w:rsid w:val="000C7E15"/>
    <w:rsid w:val="000E4262"/>
    <w:rsid w:val="000F3F90"/>
    <w:rsid w:val="00104A35"/>
    <w:rsid w:val="00117374"/>
    <w:rsid w:val="001567F1"/>
    <w:rsid w:val="00164E76"/>
    <w:rsid w:val="00186EDF"/>
    <w:rsid w:val="001923DA"/>
    <w:rsid w:val="001C41B8"/>
    <w:rsid w:val="001F288C"/>
    <w:rsid w:val="0025117C"/>
    <w:rsid w:val="002511C9"/>
    <w:rsid w:val="00252BC9"/>
    <w:rsid w:val="00256A39"/>
    <w:rsid w:val="002A67B5"/>
    <w:rsid w:val="002D68B4"/>
    <w:rsid w:val="002F03ED"/>
    <w:rsid w:val="002F4F9C"/>
    <w:rsid w:val="00305420"/>
    <w:rsid w:val="00326155"/>
    <w:rsid w:val="00331531"/>
    <w:rsid w:val="00331F87"/>
    <w:rsid w:val="00343A93"/>
    <w:rsid w:val="003777AA"/>
    <w:rsid w:val="0038012B"/>
    <w:rsid w:val="0038415F"/>
    <w:rsid w:val="00397DEC"/>
    <w:rsid w:val="003B3892"/>
    <w:rsid w:val="003D0CBF"/>
    <w:rsid w:val="003E476A"/>
    <w:rsid w:val="003F45D1"/>
    <w:rsid w:val="00447390"/>
    <w:rsid w:val="0045206E"/>
    <w:rsid w:val="00480378"/>
    <w:rsid w:val="00494A7F"/>
    <w:rsid w:val="004D68BE"/>
    <w:rsid w:val="004D78FA"/>
    <w:rsid w:val="004D7E44"/>
    <w:rsid w:val="004E24EB"/>
    <w:rsid w:val="004F28FA"/>
    <w:rsid w:val="00500F2F"/>
    <w:rsid w:val="00527677"/>
    <w:rsid w:val="005324A1"/>
    <w:rsid w:val="00543AC2"/>
    <w:rsid w:val="00544CAB"/>
    <w:rsid w:val="00547DEC"/>
    <w:rsid w:val="00567A9B"/>
    <w:rsid w:val="00575BDF"/>
    <w:rsid w:val="00582295"/>
    <w:rsid w:val="005954F7"/>
    <w:rsid w:val="005B01BF"/>
    <w:rsid w:val="005C23CE"/>
    <w:rsid w:val="005D091C"/>
    <w:rsid w:val="005D63A5"/>
    <w:rsid w:val="005F76DC"/>
    <w:rsid w:val="00622383"/>
    <w:rsid w:val="0062252E"/>
    <w:rsid w:val="0064121B"/>
    <w:rsid w:val="00653155"/>
    <w:rsid w:val="006F0BA7"/>
    <w:rsid w:val="006F2B41"/>
    <w:rsid w:val="007154B9"/>
    <w:rsid w:val="007326F3"/>
    <w:rsid w:val="007461C7"/>
    <w:rsid w:val="00764256"/>
    <w:rsid w:val="007B29F7"/>
    <w:rsid w:val="007D4AE8"/>
    <w:rsid w:val="007E7364"/>
    <w:rsid w:val="007F21F3"/>
    <w:rsid w:val="007F57DB"/>
    <w:rsid w:val="00810061"/>
    <w:rsid w:val="00811675"/>
    <w:rsid w:val="00825AFE"/>
    <w:rsid w:val="00825FFC"/>
    <w:rsid w:val="008420F7"/>
    <w:rsid w:val="00880E13"/>
    <w:rsid w:val="008843DF"/>
    <w:rsid w:val="008A5122"/>
    <w:rsid w:val="00900CBE"/>
    <w:rsid w:val="009177F0"/>
    <w:rsid w:val="00926E8F"/>
    <w:rsid w:val="0093579C"/>
    <w:rsid w:val="00935D01"/>
    <w:rsid w:val="00996A71"/>
    <w:rsid w:val="009A71E2"/>
    <w:rsid w:val="009B172D"/>
    <w:rsid w:val="009D1D0D"/>
    <w:rsid w:val="009F2618"/>
    <w:rsid w:val="00A10861"/>
    <w:rsid w:val="00A15693"/>
    <w:rsid w:val="00A32E46"/>
    <w:rsid w:val="00A47D33"/>
    <w:rsid w:val="00A824DE"/>
    <w:rsid w:val="00A94C62"/>
    <w:rsid w:val="00AA4576"/>
    <w:rsid w:val="00AD0077"/>
    <w:rsid w:val="00AE148E"/>
    <w:rsid w:val="00AE6A2B"/>
    <w:rsid w:val="00B00266"/>
    <w:rsid w:val="00B00DF5"/>
    <w:rsid w:val="00B4203C"/>
    <w:rsid w:val="00B4380E"/>
    <w:rsid w:val="00B517F4"/>
    <w:rsid w:val="00B525CE"/>
    <w:rsid w:val="00B67343"/>
    <w:rsid w:val="00BA387F"/>
    <w:rsid w:val="00BD73BB"/>
    <w:rsid w:val="00C0213C"/>
    <w:rsid w:val="00C07707"/>
    <w:rsid w:val="00C07C21"/>
    <w:rsid w:val="00C13A2E"/>
    <w:rsid w:val="00C51717"/>
    <w:rsid w:val="00C528EC"/>
    <w:rsid w:val="00C55454"/>
    <w:rsid w:val="00C713AB"/>
    <w:rsid w:val="00C75B99"/>
    <w:rsid w:val="00C84718"/>
    <w:rsid w:val="00C85449"/>
    <w:rsid w:val="00C92FD2"/>
    <w:rsid w:val="00C96EA7"/>
    <w:rsid w:val="00CE7995"/>
    <w:rsid w:val="00D43A08"/>
    <w:rsid w:val="00D63E2A"/>
    <w:rsid w:val="00D76C98"/>
    <w:rsid w:val="00D906C4"/>
    <w:rsid w:val="00DB4A75"/>
    <w:rsid w:val="00DE2D04"/>
    <w:rsid w:val="00DF11C6"/>
    <w:rsid w:val="00DF6570"/>
    <w:rsid w:val="00E7497B"/>
    <w:rsid w:val="00E81E72"/>
    <w:rsid w:val="00E826F0"/>
    <w:rsid w:val="00E97123"/>
    <w:rsid w:val="00EA7154"/>
    <w:rsid w:val="00EA77F2"/>
    <w:rsid w:val="00EB4CF9"/>
    <w:rsid w:val="00EC4A29"/>
    <w:rsid w:val="00EE2A11"/>
    <w:rsid w:val="00EE3A4D"/>
    <w:rsid w:val="00F0291F"/>
    <w:rsid w:val="00F06931"/>
    <w:rsid w:val="00F44DFF"/>
    <w:rsid w:val="00F54117"/>
    <w:rsid w:val="00F602D2"/>
    <w:rsid w:val="00F6176A"/>
    <w:rsid w:val="00FC04EF"/>
    <w:rsid w:val="00FC235B"/>
    <w:rsid w:val="00FD05B0"/>
    <w:rsid w:val="00FE7058"/>
    <w:rsid w:val="00FF1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03629"/>
  <w15:docId w15:val="{C9BA8FD6-F08C-4B7B-B607-9E07FE88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7F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517F4"/>
    <w:rPr>
      <w:sz w:val="18"/>
      <w:szCs w:val="18"/>
    </w:rPr>
  </w:style>
  <w:style w:type="paragraph" w:styleId="Footer">
    <w:name w:val="footer"/>
    <w:basedOn w:val="Normal"/>
    <w:link w:val="FooterChar"/>
    <w:uiPriority w:val="99"/>
    <w:unhideWhenUsed/>
    <w:rsid w:val="00B517F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517F4"/>
    <w:rPr>
      <w:sz w:val="18"/>
      <w:szCs w:val="18"/>
    </w:rPr>
  </w:style>
  <w:style w:type="table" w:styleId="TableGrid">
    <w:name w:val="Table Grid"/>
    <w:basedOn w:val="TableNormal"/>
    <w:uiPriority w:val="39"/>
    <w:rsid w:val="00B51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67B5"/>
    <w:pPr>
      <w:widowControl w:val="0"/>
      <w:jc w:val="both"/>
    </w:pPr>
  </w:style>
  <w:style w:type="character" w:styleId="Hyperlink">
    <w:name w:val="Hyperlink"/>
    <w:basedOn w:val="DefaultParagraphFont"/>
    <w:uiPriority w:val="99"/>
    <w:unhideWhenUsed/>
    <w:rsid w:val="00C0213C"/>
    <w:rPr>
      <w:color w:val="0563C1" w:themeColor="hyperlink"/>
      <w:u w:val="single"/>
    </w:rPr>
  </w:style>
  <w:style w:type="character" w:customStyle="1" w:styleId="UnresolvedMention">
    <w:name w:val="Unresolved Mention"/>
    <w:basedOn w:val="DefaultParagraphFont"/>
    <w:uiPriority w:val="99"/>
    <w:semiHidden/>
    <w:unhideWhenUsed/>
    <w:rsid w:val="00C0213C"/>
    <w:rPr>
      <w:color w:val="605E5C"/>
      <w:shd w:val="clear" w:color="auto" w:fill="E1DFDD"/>
    </w:rPr>
  </w:style>
  <w:style w:type="character" w:styleId="CommentReference">
    <w:name w:val="annotation reference"/>
    <w:basedOn w:val="DefaultParagraphFont"/>
    <w:uiPriority w:val="99"/>
    <w:semiHidden/>
    <w:unhideWhenUsed/>
    <w:rsid w:val="007B29F7"/>
    <w:rPr>
      <w:sz w:val="16"/>
      <w:szCs w:val="16"/>
    </w:rPr>
  </w:style>
  <w:style w:type="paragraph" w:styleId="CommentText">
    <w:name w:val="annotation text"/>
    <w:basedOn w:val="Normal"/>
    <w:link w:val="CommentTextChar"/>
    <w:uiPriority w:val="99"/>
    <w:semiHidden/>
    <w:unhideWhenUsed/>
    <w:rsid w:val="007B29F7"/>
    <w:rPr>
      <w:sz w:val="20"/>
      <w:szCs w:val="20"/>
    </w:rPr>
  </w:style>
  <w:style w:type="character" w:customStyle="1" w:styleId="CommentTextChar">
    <w:name w:val="Comment Text Char"/>
    <w:basedOn w:val="DefaultParagraphFont"/>
    <w:link w:val="CommentText"/>
    <w:uiPriority w:val="99"/>
    <w:semiHidden/>
    <w:rsid w:val="007B29F7"/>
    <w:rPr>
      <w:sz w:val="20"/>
      <w:szCs w:val="20"/>
    </w:rPr>
  </w:style>
  <w:style w:type="paragraph" w:styleId="CommentSubject">
    <w:name w:val="annotation subject"/>
    <w:basedOn w:val="CommentText"/>
    <w:next w:val="CommentText"/>
    <w:link w:val="CommentSubjectChar"/>
    <w:uiPriority w:val="99"/>
    <w:semiHidden/>
    <w:unhideWhenUsed/>
    <w:rsid w:val="007B29F7"/>
    <w:rPr>
      <w:b/>
      <w:bCs/>
    </w:rPr>
  </w:style>
  <w:style w:type="character" w:customStyle="1" w:styleId="CommentSubjectChar">
    <w:name w:val="Comment Subject Char"/>
    <w:basedOn w:val="CommentTextChar"/>
    <w:link w:val="CommentSubject"/>
    <w:uiPriority w:val="99"/>
    <w:semiHidden/>
    <w:rsid w:val="007B29F7"/>
    <w:rPr>
      <w:b/>
      <w:bCs/>
      <w:sz w:val="20"/>
      <w:szCs w:val="20"/>
    </w:rPr>
  </w:style>
  <w:style w:type="paragraph" w:styleId="BalloonText">
    <w:name w:val="Balloon Text"/>
    <w:basedOn w:val="Normal"/>
    <w:link w:val="BalloonTextChar"/>
    <w:uiPriority w:val="99"/>
    <w:semiHidden/>
    <w:unhideWhenUsed/>
    <w:rsid w:val="007B29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9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635579">
      <w:bodyDiv w:val="1"/>
      <w:marLeft w:val="0"/>
      <w:marRight w:val="0"/>
      <w:marTop w:val="0"/>
      <w:marBottom w:val="0"/>
      <w:divBdr>
        <w:top w:val="none" w:sz="0" w:space="0" w:color="auto"/>
        <w:left w:val="none" w:sz="0" w:space="0" w:color="auto"/>
        <w:bottom w:val="none" w:sz="0" w:space="0" w:color="auto"/>
        <w:right w:val="none" w:sz="0" w:space="0" w:color="auto"/>
      </w:divBdr>
    </w:div>
    <w:div w:id="445926749">
      <w:bodyDiv w:val="1"/>
      <w:marLeft w:val="0"/>
      <w:marRight w:val="0"/>
      <w:marTop w:val="0"/>
      <w:marBottom w:val="0"/>
      <w:divBdr>
        <w:top w:val="none" w:sz="0" w:space="0" w:color="auto"/>
        <w:left w:val="none" w:sz="0" w:space="0" w:color="auto"/>
        <w:bottom w:val="none" w:sz="0" w:space="0" w:color="auto"/>
        <w:right w:val="none" w:sz="0" w:space="0" w:color="auto"/>
      </w:divBdr>
    </w:div>
    <w:div w:id="753622126">
      <w:bodyDiv w:val="1"/>
      <w:marLeft w:val="0"/>
      <w:marRight w:val="0"/>
      <w:marTop w:val="0"/>
      <w:marBottom w:val="0"/>
      <w:divBdr>
        <w:top w:val="none" w:sz="0" w:space="0" w:color="auto"/>
        <w:left w:val="none" w:sz="0" w:space="0" w:color="auto"/>
        <w:bottom w:val="none" w:sz="0" w:space="0" w:color="auto"/>
        <w:right w:val="none" w:sz="0" w:space="0" w:color="auto"/>
      </w:divBdr>
    </w:div>
    <w:div w:id="777915376">
      <w:bodyDiv w:val="1"/>
      <w:marLeft w:val="0"/>
      <w:marRight w:val="0"/>
      <w:marTop w:val="0"/>
      <w:marBottom w:val="0"/>
      <w:divBdr>
        <w:top w:val="none" w:sz="0" w:space="0" w:color="auto"/>
        <w:left w:val="none" w:sz="0" w:space="0" w:color="auto"/>
        <w:bottom w:val="none" w:sz="0" w:space="0" w:color="auto"/>
        <w:right w:val="none" w:sz="0" w:space="0" w:color="auto"/>
      </w:divBdr>
    </w:div>
    <w:div w:id="871958741">
      <w:bodyDiv w:val="1"/>
      <w:marLeft w:val="0"/>
      <w:marRight w:val="0"/>
      <w:marTop w:val="0"/>
      <w:marBottom w:val="0"/>
      <w:divBdr>
        <w:top w:val="none" w:sz="0" w:space="0" w:color="auto"/>
        <w:left w:val="none" w:sz="0" w:space="0" w:color="auto"/>
        <w:bottom w:val="none" w:sz="0" w:space="0" w:color="auto"/>
        <w:right w:val="none" w:sz="0" w:space="0" w:color="auto"/>
      </w:divBdr>
    </w:div>
    <w:div w:id="1018197255">
      <w:bodyDiv w:val="1"/>
      <w:marLeft w:val="0"/>
      <w:marRight w:val="0"/>
      <w:marTop w:val="0"/>
      <w:marBottom w:val="0"/>
      <w:divBdr>
        <w:top w:val="none" w:sz="0" w:space="0" w:color="auto"/>
        <w:left w:val="none" w:sz="0" w:space="0" w:color="auto"/>
        <w:bottom w:val="none" w:sz="0" w:space="0" w:color="auto"/>
        <w:right w:val="none" w:sz="0" w:space="0" w:color="auto"/>
      </w:divBdr>
    </w:div>
    <w:div w:id="1428232650">
      <w:bodyDiv w:val="1"/>
      <w:marLeft w:val="0"/>
      <w:marRight w:val="0"/>
      <w:marTop w:val="0"/>
      <w:marBottom w:val="0"/>
      <w:divBdr>
        <w:top w:val="none" w:sz="0" w:space="0" w:color="auto"/>
        <w:left w:val="none" w:sz="0" w:space="0" w:color="auto"/>
        <w:bottom w:val="none" w:sz="0" w:space="0" w:color="auto"/>
        <w:right w:val="none" w:sz="0" w:space="0" w:color="auto"/>
      </w:divBdr>
    </w:div>
    <w:div w:id="1616861705">
      <w:bodyDiv w:val="1"/>
      <w:marLeft w:val="0"/>
      <w:marRight w:val="0"/>
      <w:marTop w:val="0"/>
      <w:marBottom w:val="0"/>
      <w:divBdr>
        <w:top w:val="none" w:sz="0" w:space="0" w:color="auto"/>
        <w:left w:val="none" w:sz="0" w:space="0" w:color="auto"/>
        <w:bottom w:val="none" w:sz="0" w:space="0" w:color="auto"/>
        <w:right w:val="none" w:sz="0" w:space="0" w:color="auto"/>
      </w:divBdr>
    </w:div>
    <w:div w:id="1927612967">
      <w:bodyDiv w:val="1"/>
      <w:marLeft w:val="0"/>
      <w:marRight w:val="0"/>
      <w:marTop w:val="0"/>
      <w:marBottom w:val="0"/>
      <w:divBdr>
        <w:top w:val="none" w:sz="0" w:space="0" w:color="auto"/>
        <w:left w:val="none" w:sz="0" w:space="0" w:color="auto"/>
        <w:bottom w:val="none" w:sz="0" w:space="0" w:color="auto"/>
        <w:right w:val="none" w:sz="0" w:space="0" w:color="auto"/>
      </w:divBdr>
    </w:div>
    <w:div w:id="210241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839A3-EE95-4F59-AEEA-16683E628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6</Pages>
  <Words>19425</Words>
  <Characters>110728</Characters>
  <Application>Microsoft Office Word</Application>
  <DocSecurity>0</DocSecurity>
  <Lines>922</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 卓玲</dc:creator>
  <cp:lastModifiedBy>Caroline Rubince G.</cp:lastModifiedBy>
  <cp:revision>25</cp:revision>
  <cp:lastPrinted>2023-02-18T18:31:00Z</cp:lastPrinted>
  <dcterms:created xsi:type="dcterms:W3CDTF">2022-03-11T04:54:00Z</dcterms:created>
  <dcterms:modified xsi:type="dcterms:W3CDTF">2023-03-20T08:51:00Z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http://www.zotero.org/styles/bmc-medical-genomics</vt:lpwstr>
  </property>
  <property fmtid="{D5CDD505-2E9C-101B-9397-08002B2CF9AE}" pid="9" name="Mendeley Recent Style Name 3_1">
    <vt:lpwstr>BMC Medical Genomics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6ee64887-f64b-3659-8638-51721e7192d9</vt:lpwstr>
  </property>
  <property fmtid="{D5CDD505-2E9C-101B-9397-08002B2CF9AE}" pid="24" name="Mendeley Citation Style_1">
    <vt:lpwstr>http://www.zotero.org/styles/bmc-medical-genomics</vt:lpwstr>
  </property>
</Properties>
</file>