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</w:p>
    <w:tbl>
      <w:tblPr>
        <w:tblStyle w:val="3"/>
        <w:tblpPr w:leftFromText="180" w:rightFromText="180" w:vertAnchor="text" w:horzAnchor="page" w:tblpX="2020" w:tblpY="188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9"/>
        <w:gridCol w:w="3000"/>
        <w:gridCol w:w="2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Characteristics</w:t>
            </w:r>
          </w:p>
        </w:tc>
        <w:tc>
          <w:tcPr>
            <w:tcW w:w="30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TCGA-LIHC cohort</w:t>
            </w:r>
          </w:p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(368 patients)</w:t>
            </w:r>
          </w:p>
        </w:tc>
        <w:tc>
          <w:tcPr>
            <w:tcW w:w="273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ICGC-JP cohort</w:t>
            </w:r>
          </w:p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 xml:space="preserve"> (232 patients)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Age (mean, range)</w:t>
            </w:r>
          </w:p>
        </w:tc>
        <w:tc>
          <w:tcPr>
            <w:tcW w:w="300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59（16,90）</w:t>
            </w:r>
          </w:p>
        </w:tc>
        <w:tc>
          <w:tcPr>
            <w:tcW w:w="27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67 （31,89）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Gender (100%)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Female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20"/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119 (32.3%)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61(26.3%)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Male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20" w:firstLineChars="200"/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249(67.7%)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171(73.7%)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Stage (100%)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Stage I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172(46.7%)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36(15.5%)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Stage II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85(23.1%)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106(45.7%)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Stage III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83(22.6%)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71(30.6%)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Stage IV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4(1.1%)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19(80.2%)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Unknown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24(6.5%)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Survival time (Year)</w:t>
            </w:r>
          </w:p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(mean, range)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2.26 (0.0027-10.07)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2.22 (0.27-5.92)</w:t>
            </w:r>
          </w:p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Survival status (100%)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lang w:val="en-US" w:eastAsia="zh-CN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Alive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238(64.7%)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42(18.1%)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ind w:firstLine="210" w:firstLineChars="100"/>
              <w:jc w:val="both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Death</w:t>
            </w:r>
          </w:p>
        </w:tc>
        <w:tc>
          <w:tcPr>
            <w:tcW w:w="300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lang w:val="en-US" w:eastAsia="zh-CN"/>
              </w:rPr>
              <w:t>130(35.3%)</w:t>
            </w:r>
          </w:p>
        </w:tc>
        <w:tc>
          <w:tcPr>
            <w:tcW w:w="27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</w:pPr>
            <w:r>
              <w:rPr>
                <w:rFonts w:hint="eastAsia" w:ascii="Arial Unicode MS" w:hAnsi="Arial Unicode MS" w:eastAsia="Arial Unicode MS" w:cs="Arial Unicode MS"/>
                <w:vertAlign w:val="baseline"/>
                <w:lang w:val="en-US" w:eastAsia="zh-CN"/>
              </w:rPr>
              <w:t>190(81.9%)</w:t>
            </w:r>
          </w:p>
        </w:tc>
      </w:tr>
    </w:tbl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eastAsia" w:ascii="Arial Unicode MS" w:hAnsi="Arial Unicode MS" w:eastAsia="Arial Unicode MS" w:cs="Arial Unicode MS"/>
          <w:sz w:val="24"/>
          <w:szCs w:val="32"/>
          <w:lang w:val="en-US" w:eastAsia="zh-CN"/>
        </w:rPr>
      </w:pPr>
      <w:r>
        <w:rPr>
          <w:rFonts w:hint="eastAsia" w:ascii="Arial Unicode MS" w:hAnsi="Arial Unicode MS" w:eastAsia="Arial Unicode MS" w:cs="Arial Unicode MS"/>
          <w:sz w:val="24"/>
          <w:szCs w:val="32"/>
          <w:lang w:val="en-US" w:eastAsia="zh-CN"/>
        </w:rPr>
        <w:t>Baselin</w:t>
      </w:r>
      <w:bookmarkStart w:id="0" w:name="_GoBack"/>
      <w:bookmarkEnd w:id="0"/>
      <w:r>
        <w:rPr>
          <w:rFonts w:hint="eastAsia" w:ascii="Arial Unicode MS" w:hAnsi="Arial Unicode MS" w:eastAsia="Arial Unicode MS" w:cs="Arial Unicode MS"/>
          <w:sz w:val="24"/>
          <w:szCs w:val="32"/>
          <w:lang w:val="en-US" w:eastAsia="zh-CN"/>
        </w:rPr>
        <w:t>e Characteristics in TCGA-LIHC cohort and ICGC-JP cohort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1YTJkZjFlYjkzYWI0NGFjNWZiMTBhYTUwY2Q4YjEifQ=="/>
  </w:docVars>
  <w:rsids>
    <w:rsidRoot w:val="748F5CE0"/>
    <w:rsid w:val="748F5C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16</Characters>
  <Lines>0</Lines>
  <Paragraphs>0</Paragraphs>
  <TotalTime>5</TotalTime>
  <ScaleCrop>false</ScaleCrop>
  <LinksUpToDate>false</LinksUpToDate>
  <CharactersWithSpaces>23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2023-02-11T12:35:00Z</dcterms:created>
  <dc:creator>ZCB</dc:creator>
  <cp:lastModifiedBy>ZCB</cp:lastModifiedBy>
  <dcterms:modified xsi:type="dcterms:W3CDTF">2023-02-11T13:46:14Z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6D819B117B40478C82CC278A8930E9B9</vt:lpwstr>
  </property>
</Properties>
</file>