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834EB" w14:textId="4F273F1B" w:rsidR="00CB111D" w:rsidRDefault="000D6677">
      <w:pPr>
        <w:rPr>
          <w:noProof/>
        </w:rPr>
      </w:pPr>
      <w:bookmarkStart w:id="0" w:name="_GoBack"/>
      <w:r>
        <w:rPr>
          <w:noProof/>
          <w:lang w:val="en-IN" w:eastAsia="en-IN"/>
        </w:rPr>
        <w:drawing>
          <wp:inline distT="0" distB="0" distL="0" distR="0" wp14:anchorId="2FACC9C6" wp14:editId="05301F83">
            <wp:extent cx="2510108" cy="2711665"/>
            <wp:effectExtent l="0" t="0" r="508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" t="19284" b="3030"/>
                    <a:stretch/>
                  </pic:blipFill>
                  <pic:spPr bwMode="auto">
                    <a:xfrm>
                      <a:off x="0" y="0"/>
                      <a:ext cx="2522808" cy="2725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0922BD">
        <w:rPr>
          <w:noProof/>
          <w:lang w:val="en-IN" w:eastAsia="en-IN"/>
        </w:rPr>
        <w:drawing>
          <wp:inline distT="0" distB="0" distL="0" distR="0" wp14:anchorId="641EBAE6" wp14:editId="40CE9B0E">
            <wp:extent cx="2573002" cy="2758698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" t="18842" b="3583"/>
                    <a:stretch/>
                  </pic:blipFill>
                  <pic:spPr bwMode="auto">
                    <a:xfrm>
                      <a:off x="0" y="0"/>
                      <a:ext cx="2590573" cy="2777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D4D92" w14:textId="0F75AE1D" w:rsidR="00786FAF" w:rsidRPr="00786FAF" w:rsidRDefault="00786FAF" w:rsidP="00786FAF">
      <w:pPr>
        <w:rPr>
          <w:rFonts w:ascii="Times New Roman" w:hAnsi="Times New Roman" w:cs="Times New Roman"/>
          <w:sz w:val="24"/>
          <w:szCs w:val="24"/>
        </w:rPr>
      </w:pPr>
    </w:p>
    <w:p w14:paraId="6DDB4633" w14:textId="74E5B35D" w:rsidR="00F656B9" w:rsidRDefault="00786FAF" w:rsidP="00786FAF">
      <w:pPr>
        <w:rPr>
          <w:rFonts w:ascii="Times New Roman" w:hAnsi="Times New Roman" w:cs="Times New Roman"/>
          <w:sz w:val="24"/>
          <w:szCs w:val="24"/>
        </w:rPr>
      </w:pPr>
      <w:r w:rsidRPr="00786FAF">
        <w:rPr>
          <w:rFonts w:ascii="Times New Roman" w:hAnsi="Times New Roman" w:cs="Times New Roman"/>
          <w:sz w:val="24"/>
          <w:szCs w:val="24"/>
        </w:rPr>
        <w:t>Supplementary Fig.</w:t>
      </w:r>
      <w:r w:rsidR="00C8078B">
        <w:rPr>
          <w:rFonts w:ascii="Times New Roman" w:hAnsi="Times New Roman" w:cs="Times New Roman"/>
          <w:sz w:val="24"/>
          <w:szCs w:val="24"/>
        </w:rPr>
        <w:t xml:space="preserve"> </w:t>
      </w:r>
      <w:r w:rsidRPr="00786FA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6677">
        <w:rPr>
          <w:rFonts w:ascii="Times New Roman" w:hAnsi="Times New Roman" w:cs="Times New Roman"/>
          <w:sz w:val="24"/>
          <w:szCs w:val="24"/>
        </w:rPr>
        <w:t>D</w:t>
      </w:r>
      <w:r w:rsidR="000D6677" w:rsidRPr="000D6677">
        <w:rPr>
          <w:rFonts w:ascii="Times New Roman" w:hAnsi="Times New Roman" w:cs="Times New Roman"/>
          <w:sz w:val="24"/>
          <w:szCs w:val="24"/>
        </w:rPr>
        <w:t>ifferentially expresse</w:t>
      </w:r>
      <w:r w:rsidR="0016657A">
        <w:rPr>
          <w:rFonts w:ascii="Times New Roman" w:hAnsi="Times New Roman" w:cs="Times New Roman"/>
          <w:sz w:val="24"/>
          <w:szCs w:val="24"/>
        </w:rPr>
        <w:t xml:space="preserve">d </w:t>
      </w:r>
      <w:r w:rsidR="000D6677" w:rsidRPr="000D6677">
        <w:rPr>
          <w:rFonts w:ascii="Times New Roman" w:hAnsi="Times New Roman" w:cs="Times New Roman"/>
          <w:sz w:val="24"/>
          <w:szCs w:val="24"/>
        </w:rPr>
        <w:t>genes</w:t>
      </w:r>
      <w:r w:rsidR="000D6677">
        <w:rPr>
          <w:rFonts w:ascii="Times New Roman" w:hAnsi="Times New Roman" w:cs="Times New Roman"/>
          <w:sz w:val="24"/>
          <w:szCs w:val="24"/>
        </w:rPr>
        <w:t xml:space="preserve"> (</w:t>
      </w:r>
      <w:r w:rsidRPr="00786FAF">
        <w:rPr>
          <w:rFonts w:ascii="Times New Roman" w:hAnsi="Times New Roman" w:cs="Times New Roman"/>
          <w:sz w:val="24"/>
          <w:szCs w:val="24"/>
        </w:rPr>
        <w:t>DEGs</w:t>
      </w:r>
      <w:r w:rsidR="000D6677">
        <w:rPr>
          <w:rFonts w:ascii="Times New Roman" w:hAnsi="Times New Roman" w:cs="Times New Roman"/>
          <w:sz w:val="24"/>
          <w:szCs w:val="24"/>
        </w:rPr>
        <w:t>)</w:t>
      </w:r>
      <w:r w:rsidRPr="00786FAF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(A)</w:t>
      </w:r>
      <w:r w:rsidR="0016657A">
        <w:rPr>
          <w:rFonts w:ascii="Times New Roman" w:hAnsi="Times New Roman" w:cs="Times New Roman"/>
          <w:sz w:val="24"/>
          <w:szCs w:val="24"/>
        </w:rPr>
        <w:t xml:space="preserve">. </w:t>
      </w:r>
      <w:r w:rsidRPr="00786FAF">
        <w:rPr>
          <w:rFonts w:ascii="Times New Roman" w:hAnsi="Times New Roman" w:cs="Times New Roman"/>
          <w:sz w:val="24"/>
          <w:szCs w:val="24"/>
        </w:rPr>
        <w:t xml:space="preserve">GSE1009 and </w:t>
      </w:r>
      <w:r>
        <w:rPr>
          <w:rFonts w:ascii="Times New Roman" w:hAnsi="Times New Roman" w:cs="Times New Roman"/>
          <w:sz w:val="24"/>
          <w:szCs w:val="24"/>
        </w:rPr>
        <w:t>(B)</w:t>
      </w:r>
      <w:r w:rsidR="0016657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FAF">
        <w:rPr>
          <w:rFonts w:ascii="Times New Roman" w:hAnsi="Times New Roman" w:cs="Times New Roman"/>
          <w:sz w:val="24"/>
          <w:szCs w:val="24"/>
        </w:rPr>
        <w:t>GSE30528</w:t>
      </w:r>
      <w:r w:rsidR="00F656B9">
        <w:rPr>
          <w:rFonts w:ascii="Times New Roman" w:hAnsi="Times New Roman" w:cs="Times New Roman"/>
          <w:sz w:val="24"/>
          <w:szCs w:val="24"/>
        </w:rPr>
        <w:t xml:space="preserve">.       </w:t>
      </w:r>
    </w:p>
    <w:p w14:paraId="30A53A5F" w14:textId="0FC9ABCB" w:rsidR="00786FAF" w:rsidRDefault="00F656B9" w:rsidP="00786FAF">
      <w:pPr>
        <w:rPr>
          <w:rFonts w:ascii="Times New Roman" w:hAnsi="Times New Roman" w:cs="Times New Roman"/>
          <w:sz w:val="24"/>
          <w:szCs w:val="24"/>
        </w:rPr>
      </w:pPr>
      <w:r w:rsidRPr="00F656B9">
        <w:rPr>
          <w:rFonts w:ascii="Times New Roman" w:hAnsi="Times New Roman" w:cs="Times New Roman"/>
          <w:sz w:val="24"/>
          <w:szCs w:val="24"/>
        </w:rPr>
        <w:t>The red circles represent DEGs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72908" w:rsidRPr="00472908">
        <w:rPr>
          <w:rFonts w:ascii="Times New Roman" w:hAnsi="Times New Roman" w:cs="Times New Roman"/>
          <w:sz w:val="24"/>
          <w:szCs w:val="24"/>
        </w:rPr>
        <w:t xml:space="preserve">The genes in black boxes represent </w:t>
      </w:r>
      <w:r w:rsidR="0016657A">
        <w:rPr>
          <w:rFonts w:ascii="Times New Roman" w:hAnsi="Times New Roman" w:cs="Times New Roman"/>
          <w:sz w:val="24"/>
          <w:szCs w:val="24"/>
        </w:rPr>
        <w:t>d</w:t>
      </w:r>
      <w:r w:rsidR="0016657A" w:rsidRPr="0016657A">
        <w:rPr>
          <w:rFonts w:ascii="Times New Roman" w:hAnsi="Times New Roman" w:cs="Times New Roman"/>
          <w:sz w:val="24"/>
          <w:szCs w:val="24"/>
        </w:rPr>
        <w:t>ifferentially expressed immune-related genes (DEIRGs)</w:t>
      </w:r>
      <w:r w:rsidR="00472908">
        <w:rPr>
          <w:rFonts w:ascii="Times New Roman" w:hAnsi="Times New Roman" w:cs="Times New Roman"/>
          <w:sz w:val="24"/>
          <w:szCs w:val="24"/>
        </w:rPr>
        <w:t>.</w:t>
      </w:r>
    </w:p>
    <w:p w14:paraId="46D031C9" w14:textId="3C12B7D9" w:rsidR="00ED41D9" w:rsidRDefault="00ED41D9" w:rsidP="00786FAF">
      <w:pPr>
        <w:rPr>
          <w:rFonts w:ascii="Times New Roman" w:hAnsi="Times New Roman" w:cs="Times New Roman"/>
          <w:sz w:val="24"/>
          <w:szCs w:val="24"/>
        </w:rPr>
      </w:pPr>
    </w:p>
    <w:p w14:paraId="3523D2C7" w14:textId="3A59F90E" w:rsidR="00ED41D9" w:rsidRDefault="00ED41D9" w:rsidP="00786FAF">
      <w:pPr>
        <w:rPr>
          <w:rFonts w:ascii="Times New Roman" w:hAnsi="Times New Roman" w:cs="Times New Roman"/>
          <w:sz w:val="24"/>
          <w:szCs w:val="24"/>
        </w:rPr>
      </w:pPr>
    </w:p>
    <w:p w14:paraId="28B462FB" w14:textId="2B46094E" w:rsidR="00ED41D9" w:rsidRDefault="00ED41D9" w:rsidP="00786FAF">
      <w:pPr>
        <w:rPr>
          <w:rFonts w:ascii="Times New Roman" w:hAnsi="Times New Roman" w:cs="Times New Roman"/>
          <w:sz w:val="24"/>
          <w:szCs w:val="24"/>
        </w:rPr>
      </w:pPr>
    </w:p>
    <w:p w14:paraId="7D226082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2392A4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C3D643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F4C542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6C4802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03C596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666FB7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E2F4EB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450565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4BC8FE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0FEFC1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D102FB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F2DAC7" w14:textId="77777777" w:rsidR="006530FF" w:rsidRDefault="006530FF" w:rsidP="006530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503717" w14:textId="3D6C11C7" w:rsidR="00904D48" w:rsidRDefault="00ED41D9" w:rsidP="006530FF">
      <w:pPr>
        <w:jc w:val="center"/>
        <w:rPr>
          <w:rFonts w:ascii="Times New Roman" w:hAnsi="Times New Roman" w:cs="Times New Roman"/>
          <w:sz w:val="24"/>
          <w:szCs w:val="24"/>
        </w:rPr>
      </w:pPr>
      <w:r w:rsidRPr="00ED41D9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1. </w:t>
      </w:r>
      <w:r w:rsidR="00B33FBF" w:rsidRPr="00B33FBF">
        <w:rPr>
          <w:rFonts w:ascii="Times New Roman" w:hAnsi="Times New Roman" w:cs="Times New Roman"/>
          <w:sz w:val="24"/>
          <w:szCs w:val="24"/>
        </w:rPr>
        <w:t>Interactions between genes</w:t>
      </w:r>
      <w:r w:rsidR="00B33FBF">
        <w:rPr>
          <w:rFonts w:ascii="Times New Roman" w:hAnsi="Times New Roman" w:cs="Times New Roman"/>
          <w:sz w:val="24"/>
          <w:szCs w:val="24"/>
        </w:rPr>
        <w:t xml:space="preserve"> and i</w:t>
      </w:r>
      <w:r w:rsidR="00B33FBF" w:rsidRPr="00B33FBF">
        <w:rPr>
          <w:rFonts w:ascii="Times New Roman" w:hAnsi="Times New Roman" w:cs="Times New Roman"/>
          <w:sz w:val="24"/>
          <w:szCs w:val="24"/>
        </w:rPr>
        <w:t>dentified drugs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3265"/>
        <w:gridCol w:w="1660"/>
      </w:tblGrid>
      <w:tr w:rsidR="00B33FBF" w:rsidRPr="00904D48" w14:paraId="64038C52" w14:textId="77777777" w:rsidTr="006530FF">
        <w:trPr>
          <w:trHeight w:val="288"/>
          <w:jc w:val="center"/>
        </w:trPr>
        <w:tc>
          <w:tcPr>
            <w:tcW w:w="1980" w:type="dxa"/>
            <w:tcBorders>
              <w:bottom w:val="single" w:sz="4" w:space="0" w:color="auto"/>
            </w:tcBorders>
            <w:noWrap/>
            <w:hideMark/>
          </w:tcPr>
          <w:p w14:paraId="6D8DD6B4" w14:textId="0704433D" w:rsidR="006530FF" w:rsidRPr="00904D48" w:rsidRDefault="00904D48" w:rsidP="00653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3265" w:type="dxa"/>
            <w:tcBorders>
              <w:bottom w:val="single" w:sz="4" w:space="0" w:color="auto"/>
            </w:tcBorders>
            <w:noWrap/>
            <w:hideMark/>
          </w:tcPr>
          <w:p w14:paraId="7572B98A" w14:textId="77777777" w:rsidR="00904D48" w:rsidRPr="00904D48" w:rsidRDefault="00904D48" w:rsidP="0090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Identified drugs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noWrap/>
            <w:hideMark/>
          </w:tcPr>
          <w:p w14:paraId="4D44D09A" w14:textId="44A482E2" w:rsidR="00904D48" w:rsidRPr="00904D48" w:rsidRDefault="00904D48" w:rsidP="0090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6530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expression</w:t>
            </w:r>
          </w:p>
        </w:tc>
      </w:tr>
      <w:tr w:rsidR="00B33FBF" w:rsidRPr="00904D48" w14:paraId="2A4FF441" w14:textId="77777777" w:rsidTr="006530FF">
        <w:trPr>
          <w:trHeight w:val="288"/>
          <w:jc w:val="center"/>
        </w:trPr>
        <w:tc>
          <w:tcPr>
            <w:tcW w:w="1980" w:type="dxa"/>
            <w:tcBorders>
              <w:top w:val="single" w:sz="4" w:space="0" w:color="auto"/>
            </w:tcBorders>
            <w:noWrap/>
            <w:hideMark/>
          </w:tcPr>
          <w:p w14:paraId="772B0099" w14:textId="77777777" w:rsidR="00904D48" w:rsidRPr="00904D48" w:rsidRDefault="00904D48" w:rsidP="0090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tcBorders>
              <w:top w:val="single" w:sz="4" w:space="0" w:color="auto"/>
            </w:tcBorders>
            <w:noWrap/>
            <w:hideMark/>
          </w:tcPr>
          <w:p w14:paraId="47C2F37B" w14:textId="77777777" w:rsidR="00904D48" w:rsidRPr="00904D48" w:rsidRDefault="00904D48" w:rsidP="0090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3,4-dihydroxyphenylethanol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noWrap/>
            <w:hideMark/>
          </w:tcPr>
          <w:p w14:paraId="1D037FF1" w14:textId="34446714" w:rsidR="00904D48" w:rsidRPr="00904D48" w:rsidRDefault="00904D48" w:rsidP="0090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170BDF86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585A21D3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noWrap/>
            <w:hideMark/>
          </w:tcPr>
          <w:p w14:paraId="14D08F0B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Dietary Fats</w:t>
            </w:r>
          </w:p>
        </w:tc>
        <w:tc>
          <w:tcPr>
            <w:tcW w:w="1660" w:type="dxa"/>
            <w:noWrap/>
            <w:hideMark/>
          </w:tcPr>
          <w:p w14:paraId="200C6859" w14:textId="6427F941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78BED638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3D8ACC34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noWrap/>
            <w:hideMark/>
          </w:tcPr>
          <w:p w14:paraId="10C8CD65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Glucose</w:t>
            </w:r>
          </w:p>
        </w:tc>
        <w:tc>
          <w:tcPr>
            <w:tcW w:w="1660" w:type="dxa"/>
            <w:noWrap/>
            <w:hideMark/>
          </w:tcPr>
          <w:p w14:paraId="027C61C1" w14:textId="3B561FE8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1050A132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4C2D0986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noWrap/>
            <w:hideMark/>
          </w:tcPr>
          <w:p w14:paraId="76D328BA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Hydrogen Peroxide</w:t>
            </w:r>
          </w:p>
        </w:tc>
        <w:tc>
          <w:tcPr>
            <w:tcW w:w="1660" w:type="dxa"/>
            <w:noWrap/>
            <w:hideMark/>
          </w:tcPr>
          <w:p w14:paraId="1DCE599D" w14:textId="580B82AD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71FDC71D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0044C7BF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noWrap/>
            <w:hideMark/>
          </w:tcPr>
          <w:p w14:paraId="69AF8FEC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Metformin</w:t>
            </w:r>
          </w:p>
        </w:tc>
        <w:tc>
          <w:tcPr>
            <w:tcW w:w="1660" w:type="dxa"/>
            <w:noWrap/>
            <w:hideMark/>
          </w:tcPr>
          <w:p w14:paraId="0F315104" w14:textId="58FD221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3628C0BA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2FCC9A5F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noWrap/>
            <w:hideMark/>
          </w:tcPr>
          <w:p w14:paraId="574B0BA6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Palm Oil</w:t>
            </w:r>
          </w:p>
        </w:tc>
        <w:tc>
          <w:tcPr>
            <w:tcW w:w="1660" w:type="dxa"/>
            <w:noWrap/>
            <w:hideMark/>
          </w:tcPr>
          <w:p w14:paraId="750AB0AD" w14:textId="7AB1575E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628F5008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54767E5B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noWrap/>
            <w:hideMark/>
          </w:tcPr>
          <w:p w14:paraId="60DA3A47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puerarin</w:t>
            </w:r>
          </w:p>
        </w:tc>
        <w:tc>
          <w:tcPr>
            <w:tcW w:w="1660" w:type="dxa"/>
            <w:noWrap/>
            <w:hideMark/>
          </w:tcPr>
          <w:p w14:paraId="2EFAB21A" w14:textId="227A4BB8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36AA1EF2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2EFE32C7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noWrap/>
            <w:hideMark/>
          </w:tcPr>
          <w:p w14:paraId="68EEB709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Resveratrol</w:t>
            </w:r>
          </w:p>
        </w:tc>
        <w:tc>
          <w:tcPr>
            <w:tcW w:w="1660" w:type="dxa"/>
            <w:noWrap/>
            <w:hideMark/>
          </w:tcPr>
          <w:p w14:paraId="28F0BDB2" w14:textId="4825A28D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4A281177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3771F61E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FGF1</w:t>
            </w:r>
          </w:p>
        </w:tc>
        <w:tc>
          <w:tcPr>
            <w:tcW w:w="3265" w:type="dxa"/>
            <w:noWrap/>
            <w:hideMark/>
          </w:tcPr>
          <w:p w14:paraId="29FBAC53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Sirolimus</w:t>
            </w:r>
          </w:p>
        </w:tc>
        <w:tc>
          <w:tcPr>
            <w:tcW w:w="1660" w:type="dxa"/>
            <w:noWrap/>
            <w:hideMark/>
          </w:tcPr>
          <w:p w14:paraId="370EB44F" w14:textId="4DD83819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01CE1B3D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7E32E91B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FGF9</w:t>
            </w:r>
          </w:p>
        </w:tc>
        <w:tc>
          <w:tcPr>
            <w:tcW w:w="3265" w:type="dxa"/>
            <w:noWrap/>
            <w:hideMark/>
          </w:tcPr>
          <w:p w14:paraId="022599B6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Dietary Fats</w:t>
            </w:r>
          </w:p>
        </w:tc>
        <w:tc>
          <w:tcPr>
            <w:tcW w:w="1660" w:type="dxa"/>
            <w:noWrap/>
            <w:hideMark/>
          </w:tcPr>
          <w:p w14:paraId="778699FB" w14:textId="6CF7D585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50F04867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5AF7B0AD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FGF9</w:t>
            </w:r>
          </w:p>
        </w:tc>
        <w:tc>
          <w:tcPr>
            <w:tcW w:w="3265" w:type="dxa"/>
            <w:noWrap/>
            <w:hideMark/>
          </w:tcPr>
          <w:p w14:paraId="6B41BB8F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Estradiol</w:t>
            </w:r>
          </w:p>
        </w:tc>
        <w:tc>
          <w:tcPr>
            <w:tcW w:w="1660" w:type="dxa"/>
            <w:noWrap/>
            <w:hideMark/>
          </w:tcPr>
          <w:p w14:paraId="53C53E35" w14:textId="47939D7B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5345947D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2D166665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FGF9</w:t>
            </w:r>
          </w:p>
        </w:tc>
        <w:tc>
          <w:tcPr>
            <w:tcW w:w="3265" w:type="dxa"/>
            <w:noWrap/>
            <w:hideMark/>
          </w:tcPr>
          <w:p w14:paraId="4F62F566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Plant Extracts</w:t>
            </w:r>
          </w:p>
        </w:tc>
        <w:tc>
          <w:tcPr>
            <w:tcW w:w="1660" w:type="dxa"/>
            <w:noWrap/>
            <w:hideMark/>
          </w:tcPr>
          <w:p w14:paraId="226D398D" w14:textId="6D533873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28D9E3F9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2F5E5714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FYN</w:t>
            </w:r>
          </w:p>
        </w:tc>
        <w:tc>
          <w:tcPr>
            <w:tcW w:w="3265" w:type="dxa"/>
            <w:noWrap/>
            <w:hideMark/>
          </w:tcPr>
          <w:p w14:paraId="513F61AC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Estradiol</w:t>
            </w:r>
          </w:p>
        </w:tc>
        <w:tc>
          <w:tcPr>
            <w:tcW w:w="1660" w:type="dxa"/>
            <w:noWrap/>
            <w:hideMark/>
          </w:tcPr>
          <w:p w14:paraId="0792E14C" w14:textId="7E93AD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3971A8E3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4A0B863F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GHR</w:t>
            </w:r>
          </w:p>
        </w:tc>
        <w:tc>
          <w:tcPr>
            <w:tcW w:w="3265" w:type="dxa"/>
            <w:noWrap/>
            <w:hideMark/>
          </w:tcPr>
          <w:p w14:paraId="372A00F8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Estradiol</w:t>
            </w:r>
          </w:p>
        </w:tc>
        <w:tc>
          <w:tcPr>
            <w:tcW w:w="1660" w:type="dxa"/>
            <w:noWrap/>
            <w:hideMark/>
          </w:tcPr>
          <w:p w14:paraId="6173FB04" w14:textId="02FF9C7E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7C900366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5868DD89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GHR</w:t>
            </w:r>
          </w:p>
        </w:tc>
        <w:tc>
          <w:tcPr>
            <w:tcW w:w="3265" w:type="dxa"/>
            <w:noWrap/>
            <w:hideMark/>
          </w:tcPr>
          <w:p w14:paraId="4A07BF23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Resveratrol</w:t>
            </w:r>
          </w:p>
        </w:tc>
        <w:tc>
          <w:tcPr>
            <w:tcW w:w="1660" w:type="dxa"/>
            <w:noWrap/>
            <w:hideMark/>
          </w:tcPr>
          <w:p w14:paraId="263C90E9" w14:textId="1C8DA5C6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2CFFEFBC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3BDF4835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PTGDS</w:t>
            </w:r>
          </w:p>
        </w:tc>
        <w:tc>
          <w:tcPr>
            <w:tcW w:w="3265" w:type="dxa"/>
            <w:noWrap/>
            <w:hideMark/>
          </w:tcPr>
          <w:p w14:paraId="7FE1DF4F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Raloxifene Hydrochloride</w:t>
            </w:r>
          </w:p>
        </w:tc>
        <w:tc>
          <w:tcPr>
            <w:tcW w:w="1660" w:type="dxa"/>
            <w:noWrap/>
            <w:hideMark/>
          </w:tcPr>
          <w:p w14:paraId="1740D389" w14:textId="5E7FA1FC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49BDAB6C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719CC547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PTGDS</w:t>
            </w:r>
          </w:p>
        </w:tc>
        <w:tc>
          <w:tcPr>
            <w:tcW w:w="3265" w:type="dxa"/>
            <w:noWrap/>
            <w:hideMark/>
          </w:tcPr>
          <w:p w14:paraId="264927A9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Resveratrol</w:t>
            </w:r>
          </w:p>
        </w:tc>
        <w:tc>
          <w:tcPr>
            <w:tcW w:w="1660" w:type="dxa"/>
            <w:noWrap/>
            <w:hideMark/>
          </w:tcPr>
          <w:p w14:paraId="5F834367" w14:textId="0BC51AC2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547C0C8F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0C662262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PTGDS</w:t>
            </w:r>
          </w:p>
        </w:tc>
        <w:tc>
          <w:tcPr>
            <w:tcW w:w="3265" w:type="dxa"/>
            <w:noWrap/>
            <w:hideMark/>
          </w:tcPr>
          <w:p w14:paraId="4541BC67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sulforaphane</w:t>
            </w:r>
          </w:p>
        </w:tc>
        <w:tc>
          <w:tcPr>
            <w:tcW w:w="1660" w:type="dxa"/>
            <w:noWrap/>
            <w:hideMark/>
          </w:tcPr>
          <w:p w14:paraId="05E59B1B" w14:textId="55A0710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3087FDE3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35FABB2B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PTGDS</w:t>
            </w:r>
          </w:p>
        </w:tc>
        <w:tc>
          <w:tcPr>
            <w:tcW w:w="3265" w:type="dxa"/>
            <w:noWrap/>
            <w:hideMark/>
          </w:tcPr>
          <w:p w14:paraId="6EEB25B4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Tamoxifen</w:t>
            </w:r>
          </w:p>
        </w:tc>
        <w:tc>
          <w:tcPr>
            <w:tcW w:w="1660" w:type="dxa"/>
            <w:noWrap/>
            <w:hideMark/>
          </w:tcPr>
          <w:p w14:paraId="4E12565D" w14:textId="7B72B6A0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60C96A39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6C23A79B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PTGDS</w:t>
            </w:r>
          </w:p>
        </w:tc>
        <w:tc>
          <w:tcPr>
            <w:tcW w:w="3265" w:type="dxa"/>
            <w:noWrap/>
            <w:hideMark/>
          </w:tcPr>
          <w:p w14:paraId="2EE1E3B7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Vitamin E</w:t>
            </w:r>
          </w:p>
        </w:tc>
        <w:tc>
          <w:tcPr>
            <w:tcW w:w="1660" w:type="dxa"/>
            <w:noWrap/>
            <w:hideMark/>
          </w:tcPr>
          <w:p w14:paraId="2AE9A771" w14:textId="5B91C628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29E0213D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29FCF42F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SEMA5A</w:t>
            </w:r>
          </w:p>
        </w:tc>
        <w:tc>
          <w:tcPr>
            <w:tcW w:w="3265" w:type="dxa"/>
            <w:noWrap/>
            <w:hideMark/>
          </w:tcPr>
          <w:p w14:paraId="683082FE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Vorinostat</w:t>
            </w:r>
          </w:p>
        </w:tc>
        <w:tc>
          <w:tcPr>
            <w:tcW w:w="1660" w:type="dxa"/>
            <w:noWrap/>
            <w:hideMark/>
          </w:tcPr>
          <w:p w14:paraId="281E34E6" w14:textId="7CB9EFC4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65F93AE5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1667F828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TGFBR3</w:t>
            </w:r>
          </w:p>
        </w:tc>
        <w:tc>
          <w:tcPr>
            <w:tcW w:w="3265" w:type="dxa"/>
            <w:noWrap/>
            <w:hideMark/>
          </w:tcPr>
          <w:p w14:paraId="2DA7C596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Estradiol</w:t>
            </w:r>
          </w:p>
        </w:tc>
        <w:tc>
          <w:tcPr>
            <w:tcW w:w="1660" w:type="dxa"/>
            <w:noWrap/>
            <w:hideMark/>
          </w:tcPr>
          <w:p w14:paraId="1853E808" w14:textId="462D7DED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F70" w:rsidRPr="00904D48" w14:paraId="22991954" w14:textId="77777777" w:rsidTr="006530FF">
        <w:trPr>
          <w:trHeight w:val="288"/>
          <w:jc w:val="center"/>
        </w:trPr>
        <w:tc>
          <w:tcPr>
            <w:tcW w:w="1980" w:type="dxa"/>
            <w:noWrap/>
            <w:hideMark/>
          </w:tcPr>
          <w:p w14:paraId="255541AE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TGFBR3</w:t>
            </w:r>
          </w:p>
        </w:tc>
        <w:tc>
          <w:tcPr>
            <w:tcW w:w="3265" w:type="dxa"/>
            <w:noWrap/>
            <w:hideMark/>
          </w:tcPr>
          <w:p w14:paraId="52C5658F" w14:textId="77777777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D48">
              <w:rPr>
                <w:rFonts w:ascii="Times New Roman" w:hAnsi="Times New Roman" w:cs="Times New Roman"/>
                <w:sz w:val="24"/>
                <w:szCs w:val="24"/>
              </w:rPr>
              <w:t>Sirolimus</w:t>
            </w:r>
          </w:p>
        </w:tc>
        <w:tc>
          <w:tcPr>
            <w:tcW w:w="1660" w:type="dxa"/>
            <w:noWrap/>
            <w:hideMark/>
          </w:tcPr>
          <w:p w14:paraId="79D6055F" w14:textId="192C7269" w:rsidR="009A6F70" w:rsidRPr="00904D48" w:rsidRDefault="009A6F70" w:rsidP="009A6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2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0DA9B8D" w14:textId="29A82FF4" w:rsidR="009A6F70" w:rsidRPr="006530FF" w:rsidRDefault="009A6F70" w:rsidP="00786F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Co-expression</w:t>
      </w:r>
      <w:r w:rsidR="006530FF" w:rsidRPr="006530FF">
        <w:rPr>
          <w:rFonts w:ascii="Times New Roman" w:hAnsi="Times New Roman" w:cs="Times New Roman"/>
        </w:rPr>
        <w:t xml:space="preserve"> value</w:t>
      </w:r>
      <w:r>
        <w:rPr>
          <w:rFonts w:ascii="Times New Roman" w:hAnsi="Times New Roman" w:cs="Times New Roman"/>
        </w:rPr>
        <w:t>s</w:t>
      </w:r>
      <w:r w:rsidR="006530FF" w:rsidRPr="006530FF">
        <w:rPr>
          <w:rFonts w:ascii="Times New Roman" w:hAnsi="Times New Roman" w:cs="Times New Roman"/>
        </w:rPr>
        <w:t xml:space="preserve"> of </w:t>
      </w:r>
      <w:r w:rsidR="006530FF">
        <w:rPr>
          <w:rFonts w:ascii="Times New Roman" w:hAnsi="Times New Roman" w:cs="Times New Roman"/>
        </w:rPr>
        <w:t>“</w:t>
      </w:r>
      <w:r w:rsidR="006530FF" w:rsidRPr="006530FF">
        <w:rPr>
          <w:rFonts w:ascii="Times New Roman" w:hAnsi="Times New Roman" w:cs="Times New Roman"/>
        </w:rPr>
        <w:t>1</w:t>
      </w:r>
      <w:r w:rsidR="006530FF">
        <w:rPr>
          <w:rFonts w:ascii="Times New Roman" w:hAnsi="Times New Roman" w:cs="Times New Roman"/>
        </w:rPr>
        <w:t>”</w:t>
      </w:r>
      <w:r w:rsidR="006530FF" w:rsidRPr="006530FF">
        <w:rPr>
          <w:rFonts w:ascii="Times New Roman" w:hAnsi="Times New Roman" w:cs="Times New Roman"/>
        </w:rPr>
        <w:t xml:space="preserve"> </w:t>
      </w:r>
      <w:r w:rsidRPr="009A6F70">
        <w:rPr>
          <w:rFonts w:ascii="Times New Roman" w:hAnsi="Times New Roman" w:cs="Times New Roman"/>
        </w:rPr>
        <w:t>represent that the drugs could increase the expression of target genes.</w:t>
      </w:r>
    </w:p>
    <w:sectPr w:rsidR="009A6F70" w:rsidRPr="006530FF" w:rsidSect="0089769D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98ECA" w14:textId="77777777" w:rsidR="00996EEC" w:rsidRDefault="00996EEC" w:rsidP="000922BD">
      <w:pPr>
        <w:spacing w:after="0" w:line="240" w:lineRule="auto"/>
      </w:pPr>
      <w:r>
        <w:separator/>
      </w:r>
    </w:p>
  </w:endnote>
  <w:endnote w:type="continuationSeparator" w:id="0">
    <w:p w14:paraId="465C046F" w14:textId="77777777" w:rsidR="00996EEC" w:rsidRDefault="00996EEC" w:rsidP="00092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B2E6D" w14:textId="77777777" w:rsidR="00996EEC" w:rsidRDefault="00996EEC" w:rsidP="000922BD">
      <w:pPr>
        <w:spacing w:after="0" w:line="240" w:lineRule="auto"/>
      </w:pPr>
      <w:r>
        <w:separator/>
      </w:r>
    </w:p>
  </w:footnote>
  <w:footnote w:type="continuationSeparator" w:id="0">
    <w:p w14:paraId="3C7B64B5" w14:textId="77777777" w:rsidR="00996EEC" w:rsidRDefault="00996EEC" w:rsidP="000922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029"/>
    <w:rsid w:val="000922BD"/>
    <w:rsid w:val="000D6677"/>
    <w:rsid w:val="0016657A"/>
    <w:rsid w:val="00256FF7"/>
    <w:rsid w:val="00444ADE"/>
    <w:rsid w:val="00472908"/>
    <w:rsid w:val="006530FF"/>
    <w:rsid w:val="00786FAF"/>
    <w:rsid w:val="0089769D"/>
    <w:rsid w:val="008A52A8"/>
    <w:rsid w:val="008C31DC"/>
    <w:rsid w:val="00904D48"/>
    <w:rsid w:val="00996EEC"/>
    <w:rsid w:val="009A6F70"/>
    <w:rsid w:val="00B0542D"/>
    <w:rsid w:val="00B33FBF"/>
    <w:rsid w:val="00BE660D"/>
    <w:rsid w:val="00C8078B"/>
    <w:rsid w:val="00CA71DD"/>
    <w:rsid w:val="00ED41D9"/>
    <w:rsid w:val="00F22029"/>
    <w:rsid w:val="00F656B9"/>
    <w:rsid w:val="00FC76BF"/>
    <w:rsid w:val="00FD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D0BF4"/>
  <w15:chartTrackingRefBased/>
  <w15:docId w15:val="{B407DB81-2F10-4FD9-BD72-A061F99F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22B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2BD"/>
  </w:style>
  <w:style w:type="paragraph" w:styleId="Footer">
    <w:name w:val="footer"/>
    <w:basedOn w:val="Normal"/>
    <w:link w:val="FooterChar"/>
    <w:uiPriority w:val="99"/>
    <w:unhideWhenUsed/>
    <w:rsid w:val="000922B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2BD"/>
  </w:style>
  <w:style w:type="table" w:styleId="TableGrid">
    <w:name w:val="Table Grid"/>
    <w:basedOn w:val="TableNormal"/>
    <w:uiPriority w:val="39"/>
    <w:rsid w:val="00904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胜男</dc:creator>
  <cp:keywords/>
  <dc:description/>
  <cp:lastModifiedBy>Espon Lenin S.</cp:lastModifiedBy>
  <cp:revision>9</cp:revision>
  <dcterms:created xsi:type="dcterms:W3CDTF">2023-02-17T08:34:00Z</dcterms:created>
  <dcterms:modified xsi:type="dcterms:W3CDTF">2023-04-17T11:05:00Z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e6572492ed243b16dedeaec49f2792937db9134730a7055194ca9da2eec00ffc</vt:lpwstr>
  </property>
</Properties>
</file>