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5EF55" w14:textId="3909CDFA" w:rsidR="00513C4D" w:rsidRDefault="00105791">
      <w:r>
        <w:rPr>
          <w:noProof/>
        </w:rPr>
        <w:drawing>
          <wp:inline distT="0" distB="0" distL="0" distR="0" wp14:anchorId="2F4FF8ED" wp14:editId="64B7EF54">
            <wp:extent cx="5274310" cy="36645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FC923" w14:textId="4161CF9D" w:rsidR="00AE1E52" w:rsidRDefault="00BA58F2">
      <w:r w:rsidRPr="00BA58F2">
        <w:rPr>
          <w:rFonts w:ascii="Times New Roman" w:hAnsi="Times New Roman" w:cs="Times New Roman"/>
          <w:b/>
          <w:bCs/>
          <w:sz w:val="24"/>
          <w:szCs w:val="24"/>
        </w:rPr>
        <w:t>Supplementary Figure S1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 </w:t>
      </w:r>
      <w:r w:rsidR="00AE1E52" w:rsidRPr="00AE1E52">
        <w:rPr>
          <w:rFonts w:ascii="Times New Roman" w:hAnsi="Times New Roman" w:cs="Times New Roman"/>
          <w:sz w:val="24"/>
          <w:szCs w:val="24"/>
        </w:rPr>
        <w:t xml:space="preserve">ROC curve evaluation of the diagnostic effectiveness of candidate biomarkers using 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the </w:t>
      </w:r>
      <w:r w:rsidR="00AE1E52" w:rsidRPr="00AE1E52">
        <w:rPr>
          <w:rFonts w:ascii="Times New Roman" w:hAnsi="Times New Roman" w:cs="Times New Roman"/>
          <w:sz w:val="24"/>
          <w:szCs w:val="24"/>
        </w:rPr>
        <w:t>GSE43292, GSE97210, and GSE100927 datasets</w:t>
      </w:r>
      <w:r w:rsidR="00AE1E52" w:rsidRPr="001B3B5B">
        <w:rPr>
          <w:rFonts w:ascii="Times New Roman" w:hAnsi="Times New Roman" w:cs="Times New Roman"/>
          <w:sz w:val="24"/>
          <w:szCs w:val="24"/>
        </w:rPr>
        <w:t>.</w:t>
      </w:r>
      <w:r w:rsidR="00AE1E52">
        <w:rPr>
          <w:rFonts w:ascii="Times New Roman" w:hAnsi="Times New Roman" w:cs="Times New Roman"/>
          <w:sz w:val="24"/>
          <w:szCs w:val="24"/>
        </w:rPr>
        <w:t xml:space="preserve"> </w:t>
      </w:r>
      <w:r w:rsidR="007B3DB7" w:rsidRPr="001B3B5B">
        <w:rPr>
          <w:rFonts w:ascii="Times New Roman" w:hAnsi="Times New Roman" w:cs="Times New Roman"/>
          <w:sz w:val="24"/>
          <w:szCs w:val="24"/>
        </w:rPr>
        <w:t>(</w:t>
      </w:r>
      <w:r w:rsidR="007B3DB7" w:rsidRPr="001B3B5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7B3DB7" w:rsidRPr="001B3B5B">
        <w:rPr>
          <w:rFonts w:ascii="Times New Roman" w:hAnsi="Times New Roman" w:cs="Times New Roman"/>
          <w:sz w:val="24"/>
          <w:szCs w:val="24"/>
        </w:rPr>
        <w:t>,</w:t>
      </w:r>
      <w:r w:rsidR="007B3DB7" w:rsidRPr="00AE1E52">
        <w:rPr>
          <w:rFonts w:ascii="Times New Roman" w:hAnsi="Times New Roman" w:cs="Times New Roman"/>
          <w:b/>
          <w:bCs/>
          <w:sz w:val="24"/>
          <w:szCs w:val="24"/>
        </w:rPr>
        <w:t xml:space="preserve"> C, E</w:t>
      </w:r>
      <w:r w:rsidR="007B3DB7" w:rsidRPr="001B3B5B">
        <w:rPr>
          <w:rFonts w:ascii="Times New Roman" w:hAnsi="Times New Roman" w:cs="Times New Roman"/>
          <w:sz w:val="24"/>
          <w:szCs w:val="24"/>
        </w:rPr>
        <w:t xml:space="preserve">) </w:t>
      </w:r>
      <w:r w:rsidR="00AE1E52">
        <w:rPr>
          <w:rFonts w:ascii="Times New Roman" w:hAnsi="Times New Roman" w:cs="Times New Roman" w:hint="eastAsia"/>
          <w:sz w:val="24"/>
          <w:szCs w:val="24"/>
        </w:rPr>
        <w:t>The</w:t>
      </w:r>
      <w:r w:rsidR="00AE1E52" w:rsidRPr="00AE1E52">
        <w:t xml:space="preserve"> </w:t>
      </w:r>
      <w:r w:rsidR="00AE1E52" w:rsidRPr="00AE1E52">
        <w:rPr>
          <w:rFonts w:ascii="Times New Roman" w:hAnsi="Times New Roman" w:cs="Times New Roman"/>
          <w:sz w:val="24"/>
          <w:szCs w:val="24"/>
        </w:rPr>
        <w:t>diagnostic value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 of </w:t>
      </w:r>
      <w:r w:rsidR="00AE1E52">
        <w:rPr>
          <w:rFonts w:ascii="Times New Roman" w:hAnsi="Times New Roman" w:cs="Times New Roman" w:hint="eastAsia"/>
          <w:sz w:val="24"/>
          <w:szCs w:val="24"/>
        </w:rPr>
        <w:t>CD52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 </w:t>
      </w:r>
      <w:r w:rsidR="007B3DB7">
        <w:rPr>
          <w:rFonts w:ascii="Times New Roman" w:hAnsi="Times New Roman" w:cs="Times New Roman" w:hint="eastAsia"/>
          <w:sz w:val="24"/>
          <w:szCs w:val="24"/>
        </w:rPr>
        <w:t>for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 atherosclerosis in the </w:t>
      </w:r>
      <w:r w:rsidR="00AE1E52" w:rsidRPr="00AE1E52">
        <w:rPr>
          <w:rFonts w:ascii="Times New Roman" w:hAnsi="Times New Roman" w:cs="Times New Roman"/>
          <w:sz w:val="24"/>
          <w:szCs w:val="24"/>
        </w:rPr>
        <w:t>GSE43292, GSE97210, and GSE100927 datasets</w:t>
      </w:r>
      <w:r w:rsidR="00AE1E52" w:rsidRPr="001B3B5B">
        <w:rPr>
          <w:rFonts w:ascii="Times New Roman" w:hAnsi="Times New Roman" w:cs="Times New Roman"/>
          <w:sz w:val="24"/>
          <w:szCs w:val="24"/>
        </w:rPr>
        <w:t xml:space="preserve">. </w:t>
      </w:r>
      <w:r w:rsidR="007B3DB7" w:rsidRPr="001B3B5B">
        <w:rPr>
          <w:rFonts w:ascii="Times New Roman" w:hAnsi="Times New Roman" w:cs="Times New Roman"/>
          <w:sz w:val="24"/>
          <w:szCs w:val="24"/>
        </w:rPr>
        <w:t>(</w:t>
      </w:r>
      <w:r w:rsidR="007B3DB7" w:rsidRPr="007B3DB7">
        <w:rPr>
          <w:rFonts w:ascii="Times New Roman" w:hAnsi="Times New Roman" w:cs="Times New Roman"/>
          <w:b/>
          <w:bCs/>
          <w:sz w:val="24"/>
          <w:szCs w:val="24"/>
        </w:rPr>
        <w:t>B, D, F</w:t>
      </w:r>
      <w:r w:rsidR="007B3DB7" w:rsidRPr="001B3B5B">
        <w:rPr>
          <w:rFonts w:ascii="Times New Roman" w:hAnsi="Times New Roman" w:cs="Times New Roman"/>
          <w:sz w:val="24"/>
          <w:szCs w:val="24"/>
        </w:rPr>
        <w:t xml:space="preserve">) </w:t>
      </w:r>
      <w:r w:rsidR="00FB5D53">
        <w:rPr>
          <w:rFonts w:ascii="Times New Roman" w:hAnsi="Times New Roman" w:cs="Times New Roman" w:hint="eastAsia"/>
          <w:sz w:val="24"/>
          <w:szCs w:val="24"/>
        </w:rPr>
        <w:t>The</w:t>
      </w:r>
      <w:r w:rsidR="00FB5D53" w:rsidRPr="00AE1E52">
        <w:t xml:space="preserve"> </w:t>
      </w:r>
      <w:r w:rsidR="00FB5D53" w:rsidRPr="00AE1E52">
        <w:rPr>
          <w:rFonts w:ascii="Times New Roman" w:hAnsi="Times New Roman" w:cs="Times New Roman"/>
          <w:sz w:val="24"/>
          <w:szCs w:val="24"/>
        </w:rPr>
        <w:t>diagnostic value</w:t>
      </w:r>
      <w:r w:rsidR="00FB5D53" w:rsidRPr="001B3B5B">
        <w:rPr>
          <w:rFonts w:ascii="Times New Roman" w:hAnsi="Times New Roman" w:cs="Times New Roman"/>
          <w:sz w:val="24"/>
          <w:szCs w:val="24"/>
        </w:rPr>
        <w:t xml:space="preserve"> of </w:t>
      </w:r>
      <w:r w:rsidR="00FB5D53">
        <w:rPr>
          <w:rFonts w:ascii="Times New Roman" w:hAnsi="Times New Roman" w:cs="Times New Roman" w:hint="eastAsia"/>
          <w:sz w:val="24"/>
          <w:szCs w:val="24"/>
        </w:rPr>
        <w:t>IL1RN</w:t>
      </w:r>
      <w:r w:rsidR="00FB5D53" w:rsidRPr="001B3B5B">
        <w:rPr>
          <w:rFonts w:ascii="Times New Roman" w:hAnsi="Times New Roman" w:cs="Times New Roman"/>
          <w:sz w:val="24"/>
          <w:szCs w:val="24"/>
        </w:rPr>
        <w:t xml:space="preserve"> </w:t>
      </w:r>
      <w:r w:rsidR="00FB5D53">
        <w:rPr>
          <w:rFonts w:ascii="Times New Roman" w:hAnsi="Times New Roman" w:cs="Times New Roman" w:hint="eastAsia"/>
          <w:sz w:val="24"/>
          <w:szCs w:val="24"/>
        </w:rPr>
        <w:t>for</w:t>
      </w:r>
      <w:r w:rsidR="00FB5D53" w:rsidRPr="001B3B5B">
        <w:rPr>
          <w:rFonts w:ascii="Times New Roman" w:hAnsi="Times New Roman" w:cs="Times New Roman"/>
          <w:sz w:val="24"/>
          <w:szCs w:val="24"/>
        </w:rPr>
        <w:t xml:space="preserve"> atherosclerosis in the </w:t>
      </w:r>
      <w:r w:rsidR="00FB5D53" w:rsidRPr="00AE1E52">
        <w:rPr>
          <w:rFonts w:ascii="Times New Roman" w:hAnsi="Times New Roman" w:cs="Times New Roman"/>
          <w:sz w:val="24"/>
          <w:szCs w:val="24"/>
        </w:rPr>
        <w:t>GSE43292, GSE97210, and GSE100927 datasets</w:t>
      </w:r>
      <w:r w:rsidR="00FB5D53" w:rsidRPr="001B3B5B">
        <w:rPr>
          <w:rFonts w:ascii="Times New Roman" w:hAnsi="Times New Roman" w:cs="Times New Roman"/>
          <w:sz w:val="24"/>
          <w:szCs w:val="24"/>
        </w:rPr>
        <w:t>.</w:t>
      </w:r>
    </w:p>
    <w:sectPr w:rsidR="00AE1E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A3824" w14:textId="77777777" w:rsidR="00A62351" w:rsidRDefault="00A62351" w:rsidP="00105791">
      <w:r>
        <w:separator/>
      </w:r>
    </w:p>
  </w:endnote>
  <w:endnote w:type="continuationSeparator" w:id="0">
    <w:p w14:paraId="2BDD948D" w14:textId="77777777" w:rsidR="00A62351" w:rsidRDefault="00A62351" w:rsidP="001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B4DE0" w14:textId="77777777" w:rsidR="00A62351" w:rsidRDefault="00A62351" w:rsidP="00105791">
      <w:r>
        <w:separator/>
      </w:r>
    </w:p>
  </w:footnote>
  <w:footnote w:type="continuationSeparator" w:id="0">
    <w:p w14:paraId="7E976CE7" w14:textId="77777777" w:rsidR="00A62351" w:rsidRDefault="00A62351" w:rsidP="001057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353"/>
    <w:rsid w:val="00105791"/>
    <w:rsid w:val="002C1C63"/>
    <w:rsid w:val="005022A1"/>
    <w:rsid w:val="00513C4D"/>
    <w:rsid w:val="007B3DB7"/>
    <w:rsid w:val="008F6A33"/>
    <w:rsid w:val="009A6353"/>
    <w:rsid w:val="00A62351"/>
    <w:rsid w:val="00AE1E52"/>
    <w:rsid w:val="00BA58F2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6FF6F2"/>
  <w15:chartTrackingRefBased/>
  <w15:docId w15:val="{64B3CD2C-240A-4ABD-9E1E-1D0D9B19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7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7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7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Zheng Zhipeng</dc:creator>
  <cp:keywords/>
  <dc:description/>
  <cp:lastModifiedBy>Zheng Zhipeng</cp:lastModifiedBy>
  <cp:revision>4</cp:revision>
  <dcterms:created xsi:type="dcterms:W3CDTF">2023-01-06T11:43:00Z</dcterms:created>
  <dcterms:modified xsi:type="dcterms:W3CDTF">2023-01-06T12:59:00Z</dcterms:modified>
</cp:coreProperties>
</file>