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ind w:left="0" w:leftChars="0" w:firstLine="1480" w:firstLineChars="704"/>
        <w:rPr>
          <w:rFonts w:hint="eastAsia" w:eastAsiaTheme="minorEastAsia"/>
          <w:b/>
          <w:bCs/>
          <w:lang w:val="en-US" w:eastAsia="zh-Hans"/>
        </w:rPr>
      </w:pPr>
      <w:r>
        <w:rPr>
          <w:rFonts w:hint="eastAsia" w:eastAsiaTheme="minorEastAsia"/>
          <w:b/>
          <w:bCs/>
          <w:lang w:val="en-US" w:eastAsia="zh-Hans"/>
        </w:rPr>
        <w:t xml:space="preserve">Table </w:t>
      </w:r>
      <w:r>
        <w:rPr>
          <w:rFonts w:hint="default"/>
          <w:b/>
          <w:bCs/>
          <w:lang w:eastAsia="zh-Hans"/>
        </w:rPr>
        <w:t>S</w:t>
      </w:r>
      <w:r>
        <w:rPr>
          <w:rFonts w:hint="default"/>
          <w:b/>
          <w:bCs/>
          <w:lang w:eastAsia="zh-Hans"/>
        </w:rPr>
        <w:t>1</w:t>
      </w:r>
      <w:r>
        <w:rPr>
          <w:rFonts w:hint="eastAsia" w:eastAsiaTheme="minorEastAsia"/>
          <w:b/>
          <w:bCs/>
          <w:lang w:val="en-US" w:eastAsia="zh-Hans"/>
        </w:rPr>
        <w:t>. Contributing studies of the datasets used for analyses.</w:t>
      </w:r>
    </w:p>
    <w:tbl>
      <w:tblPr>
        <w:tblStyle w:val="4"/>
        <w:tblpPr w:leftFromText="180" w:rightFromText="180" w:vertAnchor="text" w:horzAnchor="page" w:tblpX="1454" w:tblpY="71"/>
        <w:tblOverlap w:val="never"/>
        <w:tblW w:w="168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2146"/>
        <w:gridCol w:w="2258"/>
        <w:gridCol w:w="8997"/>
        <w:gridCol w:w="16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0" w:hRule="atLeast"/>
        </w:trPr>
        <w:tc>
          <w:tcPr>
            <w:tcW w:w="176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Use in this MR</w:t>
            </w:r>
          </w:p>
        </w:tc>
        <w:tc>
          <w:tcPr>
            <w:tcW w:w="214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Phenotype</w:t>
            </w:r>
          </w:p>
        </w:tc>
        <w:tc>
          <w:tcPr>
            <w:tcW w:w="225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Data source</w:t>
            </w:r>
          </w:p>
        </w:tc>
        <w:tc>
          <w:tcPr>
            <w:tcW w:w="899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Contributing studies</w:t>
            </w:r>
          </w:p>
        </w:tc>
        <w:tc>
          <w:tcPr>
            <w:tcW w:w="163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Sample overlap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10" w:hRule="atLeast"/>
        </w:trPr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Exposure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Atopic Dermatitis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EAGLE</w:t>
            </w:r>
          </w:p>
        </w:tc>
        <w:tc>
          <w:tcPr>
            <w:tcW w:w="8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23andMe_V2, 23andMe_V3, AAGC, ALSPAC, B58C, BAMSE, CHOP, COPSAC2000, DNBC, GALA II, GenerationR-CAUC, GenerationR-NONCAUC, GENEVA/KORA F4/POPGEN, GENUFAD-SHIP2, GENUFADex-SHIP1, GINI/LISA, INMA, MAAS, MAS-HNR, MoBa, NCRC-ADC, NFBC66, NTR, RIKEN, SAPALDIA, SAPPHIRE.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20" w:hRule="atLeast"/>
        </w:trPr>
        <w:tc>
          <w:tcPr>
            <w:tcW w:w="17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Type 1 Diabetes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Forgetta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</w:p>
        </w:tc>
        <w:tc>
          <w:tcPr>
            <w:tcW w:w="8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Affymetrix 500K array, GoKinD, WTCCC, HumanHap550 or Human1-2M-DuoCustom_v1_A, McGill University, CHOPTDT, DCCT-EDIC, T1DGC, TwinsUK, 58BC, NBS, UK Biobank.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20" w:hRule="atLeast"/>
        </w:trPr>
        <w:tc>
          <w:tcPr>
            <w:tcW w:w="17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Type 1 Diabetes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Finngen</w:t>
            </w:r>
          </w:p>
        </w:tc>
        <w:tc>
          <w:tcPr>
            <w:tcW w:w="8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Reported.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40" w:hRule="atLeast"/>
        </w:trPr>
        <w:tc>
          <w:tcPr>
            <w:tcW w:w="17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Mahajan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</w:p>
        </w:tc>
        <w:tc>
          <w:tcPr>
            <w:tcW w:w="8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DANISH-UCPH, EGCUT, FHS, FUSION, GCKD, GENOA, GERA, GoDARTS, GoMAP and TEENAGE, InterAct, KORA, MESA, METSIM, MGI, Mount Sinai BioMe Biobank, PIVUS and ULSAM, PROSPER, The Rotterdam Study, WTCCC, UK Biobank.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KORA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40" w:hRule="atLeast"/>
        </w:trPr>
        <w:tc>
          <w:tcPr>
            <w:tcW w:w="176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22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Xue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</w:p>
        </w:tc>
        <w:tc>
          <w:tcPr>
            <w:tcW w:w="89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DIAGRAM, GERA, UK Biobank.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>
      <w:pPr>
        <w:tabs>
          <w:tab w:val="left" w:pos="0"/>
        </w:tabs>
        <w:rPr>
          <w:rFonts w:hint="eastAsia" w:eastAsiaTheme="minorEastAsia"/>
          <w:b/>
          <w:bCs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rPr>
          <w:rFonts w:hint="eastAsia" w:eastAsiaTheme="minorEastAsia"/>
          <w:b w:val="0"/>
          <w:bCs w:val="0"/>
          <w:lang w:val="en-US" w:eastAsia="zh-Hans"/>
        </w:rPr>
      </w:pPr>
    </w:p>
    <w:p>
      <w:pPr>
        <w:tabs>
          <w:tab w:val="left" w:pos="0"/>
        </w:tabs>
        <w:ind w:left="0" w:leftChars="0" w:firstLine="1478" w:firstLineChars="704"/>
        <w:rPr>
          <w:rFonts w:hint="eastAsia" w:eastAsiaTheme="minorEastAsia"/>
          <w:b w:val="0"/>
          <w:bCs w:val="0"/>
          <w:lang w:val="en-US" w:eastAsia="zh-Hans"/>
        </w:rPr>
        <w:sectPr>
          <w:pgSz w:w="20862" w:h="14740" w:orient="landscape"/>
          <w:pgMar w:top="1803" w:right="0" w:bottom="1803" w:left="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  <w:r>
        <w:rPr>
          <w:rFonts w:hint="eastAsia" w:eastAsiaTheme="minorEastAsia"/>
          <w:b w:val="0"/>
          <w:bCs w:val="0"/>
          <w:lang w:val="en-US" w:eastAsia="zh-Hans"/>
        </w:rPr>
        <w:t>EAGLE, EArly Genetics &amp; Lifecourse Epidemiology; DIAGRAM, DIAbetes Genetics Replication and Meta-analysis;GERA, Genetic Epidemiology Research on Aging.</w:t>
      </w:r>
    </w:p>
    <w:p>
      <w:pPr>
        <w:ind w:left="0" w:leftChars="0" w:right="-1438" w:rightChars="-685" w:firstLine="841" w:firstLineChars="400"/>
        <w:rPr>
          <w:rFonts w:hint="eastAsia"/>
          <w:b/>
          <w:bCs/>
        </w:rPr>
      </w:pPr>
      <w:r>
        <w:rPr>
          <w:rFonts w:hint="eastAsia"/>
          <w:b/>
          <w:bCs/>
        </w:rPr>
        <w:t>Table</w:t>
      </w:r>
      <w:r>
        <w:rPr>
          <w:rFonts w:hint="default"/>
          <w:b/>
          <w:bCs/>
        </w:rPr>
        <w:t xml:space="preserve"> </w:t>
      </w:r>
      <w:r>
        <w:rPr>
          <w:rFonts w:hint="default"/>
          <w:b/>
          <w:bCs/>
        </w:rPr>
        <w:t>S</w:t>
      </w:r>
      <w:r>
        <w:rPr>
          <w:rFonts w:hint="default"/>
          <w:b/>
          <w:bCs/>
        </w:rPr>
        <w:t>2</w:t>
      </w:r>
      <w:r>
        <w:rPr>
          <w:rFonts w:hint="eastAsia"/>
          <w:b/>
          <w:bCs/>
        </w:rPr>
        <w:t>. Characteristics of the genetic variants associated with atopic dermatitis.</w:t>
      </w:r>
    </w:p>
    <w:tbl>
      <w:tblPr>
        <w:tblStyle w:val="4"/>
        <w:tblW w:w="27934" w:type="dxa"/>
        <w:tblInd w:w="8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1026"/>
        <w:gridCol w:w="1026"/>
        <w:gridCol w:w="1026"/>
        <w:gridCol w:w="1026"/>
        <w:gridCol w:w="1026"/>
        <w:gridCol w:w="1026"/>
        <w:gridCol w:w="1437"/>
        <w:gridCol w:w="1650"/>
        <w:gridCol w:w="1250"/>
        <w:gridCol w:w="1131"/>
        <w:gridCol w:w="1711"/>
        <w:gridCol w:w="1297"/>
        <w:gridCol w:w="1173"/>
        <w:gridCol w:w="1764"/>
        <w:gridCol w:w="1337"/>
        <w:gridCol w:w="1210"/>
        <w:gridCol w:w="1275"/>
        <w:gridCol w:w="967"/>
        <w:gridCol w:w="874"/>
        <w:gridCol w:w="1260"/>
        <w:gridCol w:w="955"/>
        <w:gridCol w:w="8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</w:t>
            </w:r>
          </w:p>
        </w:tc>
        <w:tc>
          <w:tcPr>
            <w:tcW w:w="1026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</w:t>
            </w:r>
          </w:p>
        </w:tc>
        <w:tc>
          <w:tcPr>
            <w:tcW w:w="1026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OA</w:t>
            </w:r>
          </w:p>
        </w:tc>
        <w:tc>
          <w:tcPr>
            <w:tcW w:w="1026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 </w:t>
            </w:r>
          </w:p>
        </w:tc>
        <w:tc>
          <w:tcPr>
            <w:tcW w:w="1026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EAF</w:t>
            </w:r>
          </w:p>
        </w:tc>
        <w:tc>
          <w:tcPr>
            <w:tcW w:w="1026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R²(%)</w:t>
            </w:r>
          </w:p>
        </w:tc>
        <w:tc>
          <w:tcPr>
            <w:tcW w:w="1026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</w:t>
            </w:r>
          </w:p>
        </w:tc>
        <w:tc>
          <w:tcPr>
            <w:tcW w:w="1437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OR </w:t>
            </w:r>
          </w:p>
        </w:tc>
        <w:tc>
          <w:tcPr>
            <w:tcW w:w="4031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SNP-Atopic dermatitis</w:t>
            </w:r>
          </w:p>
        </w:tc>
        <w:tc>
          <w:tcPr>
            <w:tcW w:w="4181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SNP-T1D (Forgetta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311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SNP-T1D (FinnGen)</w:t>
            </w:r>
          </w:p>
        </w:tc>
        <w:tc>
          <w:tcPr>
            <w:tcW w:w="3116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SNP-T2D (Mahajan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3078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SNP-T2D (Xue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Italic" w:hAnsi="Times New Roman Italic" w:eastAsia="Times New Roman Italic" w:cs="Times New Roman Italic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 Italic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71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Italic" w:hAnsi="Times New Roman Italic" w:eastAsia="Times New Roman Italic" w:cs="Times New Roman Italic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 Italic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</w:t>
            </w:r>
          </w:p>
        </w:tc>
        <w:tc>
          <w:tcPr>
            <w:tcW w:w="117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Italic" w:hAnsi="Times New Roman Italic" w:eastAsia="Times New Roman Italic" w:cs="Times New Roman Italic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 Italic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Italic" w:hAnsi="Times New Roman Italic" w:eastAsia="Times New Roman Italic" w:cs="Times New Roman Italic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 Italic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Italic" w:hAnsi="Times New Roman Italic" w:eastAsia="Times New Roman Italic" w:cs="Times New Roman Italic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 Italic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Beta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rs61813875¢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93,326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5.60E-29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7.25E-01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0.072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6.04E-01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-0.059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rs10791824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2.10E-19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5.89E-01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9.76E-01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8.70E-03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8.64E-03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rs12188917*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4.00E-17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9.48E-01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rs6419573*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1.50E-13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5.49E-01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0.028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6.18E-02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3.46E-02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rs2212434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4.60E-13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1.04E-02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1.93E-02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3.60E-02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3.21E-01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rs4809219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∂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7.00E-13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-0.105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0.015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9.33E-01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0.028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5.42E-01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1.60E-04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2.86E-02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-0.105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rs2918307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100,707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4.60E-12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6.48E-03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0.036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rs2041733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103,066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2.50E-11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-0.083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3.10E-03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1.90E-02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3.42E-01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-0.083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rs6827756º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4.20E-09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2.00E-06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6.24E-03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1.68E-01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rs2038255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1.80E-10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7.06E-01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0.031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7.02E-01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3.01E-01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rs7127307¢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103,066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3.90E-10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5.45E-02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7.05E-01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3.30E-02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rs7512552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9.10E-10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2.19E-01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7.97E-02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8.89E-01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rs6473227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1.40E-09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9.34E-01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6.43E-01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rs6602364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103,065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1.50E-09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5.80E-01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3.25E-01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3.00E-02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4.57E-01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rs10214237º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2.90E-08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2.81E-06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-0.125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0.027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7.06E-04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6.73E-01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rs10199605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3.40E-08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1.02E-02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-0.066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0.026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1.28E-01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8.98E-02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rs4643526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103,066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3.50E-08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8.19E-01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0.031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8.90E-01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6.52E-01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rs12951971¢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4.10E-08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5.68E-01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0.042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4.26E-02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6.10E-01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rs7625909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4.90E-08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3.32E-02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4.19E-01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7.20E-03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9.22E-02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2" w:hRule="atLeast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rs4713555†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91,217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162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rs12730935‡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102,760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SNP, single-nucleotide polymorphism; EA, effect allele; OA, other allele; N, sample size; EAF, effect allele frequency; R2, percentage of the variation of AD explained by the SNPs; F, F statistic; Beta, the per-allele effect on AD; SE, standard error; P value is for the genetic association.</w:t>
      </w:r>
    </w:p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*rs12188917 and rs6419573 were not available in Forgetta </w:t>
      </w:r>
      <w:r>
        <w:rPr>
          <w:rFonts w:hint="default"/>
          <w:b w:val="0"/>
          <w:bCs w:val="0"/>
          <w:i/>
          <w:iCs/>
        </w:rPr>
        <w:t>et al</w:t>
      </w:r>
      <w:r>
        <w:rPr>
          <w:rFonts w:hint="eastAsia"/>
          <w:b w:val="0"/>
          <w:bCs w:val="0"/>
          <w:i/>
          <w:iCs/>
        </w:rPr>
        <w:t>.</w:t>
      </w:r>
      <w:r>
        <w:rPr>
          <w:rFonts w:hint="eastAsia"/>
          <w:b w:val="0"/>
          <w:bCs w:val="0"/>
        </w:rPr>
        <w:t xml:space="preserve">, Mahajan </w:t>
      </w:r>
      <w:r>
        <w:rPr>
          <w:rFonts w:hint="default"/>
          <w:b w:val="0"/>
          <w:bCs w:val="0"/>
          <w:i/>
          <w:iCs/>
        </w:rPr>
        <w:t>et al</w:t>
      </w:r>
      <w:r>
        <w:rPr>
          <w:rFonts w:hint="eastAsia"/>
          <w:b w:val="0"/>
          <w:bCs w:val="0"/>
        </w:rPr>
        <w:t xml:space="preserve">., and Xue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>.; rs6596090 and rs1035127 were found to replace them, respectively.</w:t>
      </w:r>
    </w:p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∂rs4809219 was not available in Xue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>. either, rs6011018 was found to replace it.</w:t>
      </w:r>
    </w:p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†rs4713555 was excluded since it was associated with potential confounders on T1D and T2D in the PhenoScanner database.</w:t>
      </w:r>
    </w:p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‡rs12730935 was excluded during linkage disequilibrium.</w:t>
      </w:r>
    </w:p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ºrs6827756 and rs10214237 were excluded since they were demonstrated to explain more of the outcomes than AD in Forgetta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>.</w:t>
      </w:r>
    </w:p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¢rs61813875, rs7127307, rs12951971 were excluded since they could neither be found nor replaced in Xue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>.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br w:type="page"/>
      </w:r>
    </w:p>
    <w:p>
      <w:pPr>
        <w:ind w:left="0" w:leftChars="0" w:right="-1438" w:rightChars="-685" w:firstLine="841" w:firstLineChars="400"/>
        <w:rPr>
          <w:rFonts w:hint="eastAsia"/>
          <w:b/>
          <w:bCs/>
        </w:rPr>
        <w:sectPr>
          <w:pgSz w:w="31181" w:h="16838" w:orient="landscape"/>
          <w:pgMar w:top="1803" w:right="0" w:bottom="1803" w:left="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26" w:charSpace="0"/>
        </w:sectPr>
      </w:pPr>
    </w:p>
    <w:p>
      <w:pPr>
        <w:ind w:left="0" w:leftChars="0" w:right="-1438" w:rightChars="-685" w:firstLine="1059" w:firstLineChars="504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Table </w:t>
      </w:r>
      <w:r>
        <w:rPr>
          <w:rFonts w:hint="default"/>
          <w:b/>
          <w:bCs/>
        </w:rPr>
        <w:t>S</w:t>
      </w:r>
      <w:r>
        <w:rPr>
          <w:rFonts w:hint="default"/>
          <w:b/>
          <w:bCs/>
        </w:rPr>
        <w:t>3.</w:t>
      </w:r>
      <w:r>
        <w:rPr>
          <w:rFonts w:hint="eastAsia"/>
          <w:b/>
          <w:bCs/>
        </w:rPr>
        <w:t xml:space="preserve"> Results of MR Steiger direction test.</w:t>
      </w:r>
    </w:p>
    <w:p>
      <w:pPr>
        <w:ind w:left="0" w:leftChars="0" w:right="-1438" w:rightChars="-685" w:firstLine="841" w:firstLineChars="400"/>
        <w:rPr>
          <w:rFonts w:hint="eastAsia"/>
          <w:b/>
          <w:bCs/>
        </w:rPr>
      </w:pPr>
    </w:p>
    <w:tbl>
      <w:tblPr>
        <w:tblStyle w:val="4"/>
        <w:tblW w:w="15135" w:type="dxa"/>
        <w:tblInd w:w="8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1437"/>
        <w:gridCol w:w="2314"/>
        <w:gridCol w:w="2314"/>
        <w:gridCol w:w="2314"/>
        <w:gridCol w:w="2314"/>
        <w:gridCol w:w="2314"/>
      </w:tblGrid>
      <w:tr>
        <w:tblPrEx>
          <w:shd w:val="clear" w:color="auto" w:fill="auto"/>
        </w:tblPrEx>
        <w:trPr>
          <w:trHeight w:val="315" w:hRule="atLeast"/>
        </w:trPr>
        <w:tc>
          <w:tcPr>
            <w:tcW w:w="212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Data source</w:t>
            </w:r>
          </w:p>
        </w:tc>
        <w:tc>
          <w:tcPr>
            <w:tcW w:w="143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Outcome</w:t>
            </w:r>
          </w:p>
        </w:tc>
        <w:tc>
          <w:tcPr>
            <w:tcW w:w="231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</w:t>
            </w:r>
          </w:p>
        </w:tc>
        <w:tc>
          <w:tcPr>
            <w:tcW w:w="231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rsq.exposure</w:t>
            </w:r>
          </w:p>
        </w:tc>
        <w:tc>
          <w:tcPr>
            <w:tcW w:w="231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rsq.outcome</w:t>
            </w:r>
          </w:p>
        </w:tc>
        <w:tc>
          <w:tcPr>
            <w:tcW w:w="231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steiger_dir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231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steiger_pval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Forgetta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</w:p>
        </w:tc>
        <w:tc>
          <w:tcPr>
            <w:tcW w:w="1437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T1D</w:t>
            </w:r>
          </w:p>
        </w:tc>
        <w:tc>
          <w:tcPr>
            <w:tcW w:w="23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1:150265704</w:t>
            </w:r>
          </w:p>
        </w:tc>
        <w:tc>
          <w:tcPr>
            <w:tcW w:w="23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3.65E-04</w:t>
            </w:r>
          </w:p>
        </w:tc>
        <w:tc>
          <w:tcPr>
            <w:tcW w:w="23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6.02E-05</w:t>
            </w:r>
          </w:p>
        </w:tc>
        <w:tc>
          <w:tcPr>
            <w:tcW w:w="23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1.07E-01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1:152536650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1.34E-03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4.92E-06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10:6038853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3.54E-04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2.94E-02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11:128187383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1.47E-04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2.96E-01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11:65559266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4.55E-04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11:76281593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3.62E-01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14:35559126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5.73E-06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1.30E-02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16:11229589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4.32E-04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7.65E-01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17:40528131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2.93E-04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5.51E-02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19:8789722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5.14E-01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2:103019919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6.26E-03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2:61184651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2.10E-06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2.55E-02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2:8495097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2.63E-04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8.89E-01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20:62303115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2.71E-07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1.90E-03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3:53091164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6.12E-01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4:123184411†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8.97E-04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†FALSE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9.87E-02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5:131988415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6.88E-04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7.59E-05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1.29E-02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5:35883734†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†FALSE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8.27E-02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8:81285892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3.57E-04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2.77E-07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9.15E-03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FinnGen</w:t>
            </w:r>
          </w:p>
        </w:tc>
        <w:tc>
          <w:tcPr>
            <w:tcW w:w="14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T1D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rs10199605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rs10214237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6.05E-05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1.40E-02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rs10791824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5.50E-09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4.80E-13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rs12188917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6.88E-04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8.41E-11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rs12951971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2.93E-04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2.18E-05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1.32E-03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rs2038255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7.82E-07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9.35E-07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rs2041733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4.32E-04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7.86E-06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rs2212434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2.89E-05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9.15E-06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rs2918307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4.14E-06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4.07E-07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rs4643526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rs4809219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1.97E-06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6.07E-08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rs61813875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1.34E-03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9.48E-19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rs6419573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1.85E-05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rs6473227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3.57E-04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4.25E-06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rs6602364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3.54E-04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5.14E-06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rs6827756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1.90E-03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rs7127307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7.60E-07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rs7512552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1.63E-05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rs7625909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3.45E-06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Mahajan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</w:p>
        </w:tc>
        <w:tc>
          <w:tcPr>
            <w:tcW w:w="14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T2D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1:150265704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2.43E-06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9.92E-08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1:152536650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1.34E-03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1.93E-06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1.51E-24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10:6038853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3.54E-04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5.33E-06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11:128187383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5.33E-06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1.74E-07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11:65559266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7.86E-06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11:76281593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5.01E-06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6.62E-10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14:35559126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6.16E-07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16:11229589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4.32E-04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6.16E-06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2.62E-08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17:40528131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2.93E-04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2.78E-07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4.74E-07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19:8789722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4.14E-10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2:103019919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1.93E-06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4.85E-11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2:61184651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1.86E-06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2:8495097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20:62303115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1.62E-05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2.44E-08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3:53091164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7.80E-06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4:123184411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5:131988415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6.88E-04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5:35883734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7.51E-07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8:81285892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3.57E-04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1.37E-06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7.41E-08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Xue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</w:p>
        </w:tc>
        <w:tc>
          <w:tcPr>
            <w:tcW w:w="1437" w:type="dxa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T2D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rs10199605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4.41E-06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6.57E-06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rs10214237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2.68E-07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rs1035127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6.81E-06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rs10791824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1.04E-05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1.19E-13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rs2038255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1.61E-06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rs2041733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4.32E-04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1.35E-06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4.68E-09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rs2212434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5.09E-04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1.48E-06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1.92E-10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rs2918307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2.61E-06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rs4643526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3.04E-07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rs6011018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5.01E-04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7.24E-06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rs6473227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3.57E-04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rs6596090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6.88E-04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5.46E-09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6.08E-15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rs6602364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3.54E-04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8.39E-07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8.93E-08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rs6827756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3.36E-04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2.88E-06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rs7512552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3.65E-04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2.94E-08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2128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rs7625909</w:t>
            </w:r>
          </w:p>
        </w:tc>
        <w:tc>
          <w:tcPr>
            <w:tcW w:w="2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2.89E-04</w:t>
            </w:r>
          </w:p>
        </w:tc>
        <w:tc>
          <w:tcPr>
            <w:tcW w:w="2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4.33E-06</w:t>
            </w:r>
          </w:p>
        </w:tc>
        <w:tc>
          <w:tcPr>
            <w:tcW w:w="2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TRUE</w:t>
            </w:r>
          </w:p>
        </w:tc>
        <w:tc>
          <w:tcPr>
            <w:tcW w:w="23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8.48E-06</w:t>
            </w:r>
          </w:p>
        </w:tc>
      </w:tr>
    </w:tbl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*SNPs with</w:t>
      </w:r>
      <w:r>
        <w:rPr>
          <w:rFonts w:hint="default"/>
          <w:b w:val="0"/>
          <w:bCs w:val="0"/>
        </w:rPr>
        <w:t xml:space="preserve"> “</w:t>
      </w:r>
      <w:r>
        <w:rPr>
          <w:rFonts w:hint="eastAsia"/>
          <w:b w:val="0"/>
          <w:bCs w:val="0"/>
        </w:rPr>
        <w:t>TRUE</w:t>
      </w:r>
      <w:r>
        <w:rPr>
          <w:rFonts w:hint="default"/>
          <w:b w:val="0"/>
          <w:bCs w:val="0"/>
        </w:rPr>
        <w:t xml:space="preserve">” </w:t>
      </w:r>
      <w:r>
        <w:rPr>
          <w:rFonts w:hint="eastAsia"/>
          <w:b w:val="0"/>
          <w:bCs w:val="0"/>
        </w:rPr>
        <w:t>MR Steiger results suggest causality in the expected direction and will not be removed from the study.</w:t>
      </w:r>
    </w:p>
    <w:p>
      <w:pPr>
        <w:ind w:left="0" w:leftChars="0" w:right="-1438" w:rightChars="-685" w:firstLine="840" w:firstLineChars="4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†SNPs with </w:t>
      </w:r>
      <w:r>
        <w:rPr>
          <w:rFonts w:hint="default"/>
          <w:b w:val="0"/>
          <w:bCs w:val="0"/>
        </w:rPr>
        <w:t>“</w:t>
      </w:r>
      <w:r>
        <w:rPr>
          <w:rFonts w:hint="eastAsia"/>
          <w:b w:val="0"/>
          <w:bCs w:val="0"/>
        </w:rPr>
        <w:t>FALSE</w:t>
      </w:r>
      <w:r>
        <w:rPr>
          <w:rFonts w:hint="default"/>
          <w:b w:val="0"/>
          <w:bCs w:val="0"/>
        </w:rPr>
        <w:t>”</w:t>
      </w:r>
      <w:r>
        <w:rPr>
          <w:rFonts w:hint="eastAsia"/>
          <w:b w:val="0"/>
          <w:bCs w:val="0"/>
        </w:rPr>
        <w:t xml:space="preserve"> MR Steiger results suggest causality in the reverse direction and will be removed from the study.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br w:type="page"/>
      </w:r>
    </w:p>
    <w:p>
      <w:pPr>
        <w:ind w:left="0" w:leftChars="0" w:right="-1438" w:rightChars="-685" w:firstLine="420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Table </w:t>
      </w:r>
      <w:r>
        <w:rPr>
          <w:rFonts w:hint="default"/>
          <w:b/>
          <w:bCs/>
        </w:rPr>
        <w:t>S</w:t>
      </w:r>
      <w:r>
        <w:rPr>
          <w:rFonts w:hint="default"/>
          <w:b/>
          <w:bCs/>
        </w:rPr>
        <w:t>4</w:t>
      </w:r>
      <w:r>
        <w:rPr>
          <w:rFonts w:hint="eastAsia"/>
          <w:b/>
          <w:bCs/>
        </w:rPr>
        <w:t xml:space="preserve">. Evaluation of heterogeneity and directional pleiotropy using different methods. </w:t>
      </w:r>
    </w:p>
    <w:tbl>
      <w:tblPr>
        <w:tblStyle w:val="4"/>
        <w:tblW w:w="12280" w:type="dxa"/>
        <w:tblInd w:w="4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8"/>
        <w:gridCol w:w="1437"/>
        <w:gridCol w:w="1605"/>
        <w:gridCol w:w="1605"/>
        <w:gridCol w:w="1829"/>
        <w:gridCol w:w="32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2538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Outcome</w:t>
            </w:r>
          </w:p>
        </w:tc>
        <w:tc>
          <w:tcPr>
            <w:tcW w:w="1437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SNPs, n</w:t>
            </w:r>
          </w:p>
        </w:tc>
        <w:tc>
          <w:tcPr>
            <w:tcW w:w="1605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Cochran’s Q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statistic</w:t>
            </w:r>
          </w:p>
        </w:tc>
        <w:tc>
          <w:tcPr>
            <w:tcW w:w="1605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Cochran’s Q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1829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MR-Egger intercept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3266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MR-PRESSO Outlier Test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2538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5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5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9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Forgetta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31.530 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0.297 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FinnGen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37.850 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Mahajan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50.860 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0.859 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rs2212434, rs2041733, rs4809219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</w:trPr>
        <w:tc>
          <w:tcPr>
            <w:tcW w:w="253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Xue A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21.260 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0.129 </w:t>
            </w:r>
          </w:p>
        </w:tc>
        <w:tc>
          <w:tcPr>
            <w:tcW w:w="18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32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†</w:t>
            </w:r>
          </w:p>
        </w:tc>
      </w:tr>
    </w:tbl>
    <w:p>
      <w:pPr>
        <w:ind w:left="0" w:leftChars="0" w:right="-1438" w:rightChars="-685" w:firstLine="42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SNP, single-nucleotide polymorphism; MR-Egger, Mendelian randomization-Egger; MR-PRESSO, MR-pleiotropy residual sum and outlier.</w:t>
      </w:r>
    </w:p>
    <w:p>
      <w:pPr>
        <w:ind w:left="0" w:leftChars="0" w:right="-1438" w:rightChars="-685" w:firstLine="42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*rs12188917 and rs6419573 were not available in Forgetta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 xml:space="preserve">., Mahajan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 xml:space="preserve">., and Xue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>.; rs6596090 and rs1035127 were found to replace them, respectively.</w:t>
      </w:r>
    </w:p>
    <w:p>
      <w:pPr>
        <w:ind w:left="0" w:leftChars="0" w:right="-1438" w:rightChars="-685" w:firstLine="42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∂rs4809219 was not available in Xue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 xml:space="preserve"> either., rs6011018 was found to replace it.</w:t>
      </w:r>
    </w:p>
    <w:p>
      <w:pPr>
        <w:ind w:left="0" w:leftChars="0" w:right="-1438" w:rightChars="-685" w:firstLine="42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ºrs6827756 and rs10214237 were excluded since they were demonstrated to explain more of the outcomes than AD in Forgetta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>.</w:t>
      </w:r>
    </w:p>
    <w:p>
      <w:pPr>
        <w:ind w:left="0" w:leftChars="0" w:right="-1438" w:rightChars="-685" w:firstLine="42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¢rs61813875, rs7127307, rs12951971 were excluded since they could neither be found nor replaced in Xue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>.</w:t>
      </w:r>
    </w:p>
    <w:p>
      <w:pPr>
        <w:ind w:left="0" w:leftChars="0" w:right="-1438" w:rightChars="-685" w:firstLine="42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†No outliers detected.</w:t>
      </w:r>
    </w:p>
    <w:p>
      <w:pPr>
        <w:ind w:left="0" w:leftChars="0" w:right="-1438" w:rightChars="-685" w:firstLine="42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†Three outliers were detected in Mahajan </w:t>
      </w:r>
      <w:r>
        <w:rPr>
          <w:rFonts w:hint="default"/>
          <w:b w:val="0"/>
          <w:bCs w:val="0"/>
          <w:i/>
        </w:rPr>
        <w:t>et al</w:t>
      </w:r>
      <w:r>
        <w:rPr>
          <w:rFonts w:hint="eastAsia"/>
          <w:b w:val="0"/>
          <w:bCs w:val="0"/>
        </w:rPr>
        <w:t>. (</w:t>
      </w:r>
      <w:r>
        <w:rPr>
          <w:rFonts w:hint="eastAsia"/>
          <w:b w:val="0"/>
          <w:bCs w:val="0"/>
          <w:i/>
          <w:iCs/>
        </w:rPr>
        <w:t>P</w:t>
      </w:r>
      <w:r>
        <w:rPr>
          <w:rFonts w:hint="eastAsia"/>
          <w:b w:val="0"/>
          <w:bCs w:val="0"/>
        </w:rPr>
        <w:t xml:space="preserve"> &lt; 0.05)</w:t>
      </w:r>
    </w:p>
    <w:p>
      <w:pPr>
        <w:ind w:right="-1438" w:rightChars="-685"/>
        <w:rPr>
          <w:rFonts w:hint="eastAsia"/>
          <w:b w:val="0"/>
          <w:bCs w:val="0"/>
        </w:rPr>
      </w:pPr>
    </w:p>
    <w:p>
      <w:pPr>
        <w:ind w:right="-1438" w:rightChars="-685"/>
        <w:rPr>
          <w:rFonts w:hint="eastAsia"/>
          <w:b w:val="0"/>
          <w:bCs w:val="0"/>
        </w:rPr>
      </w:pPr>
    </w:p>
    <w:p>
      <w:pPr>
        <w:ind w:right="-1438" w:rightChars="-685"/>
        <w:rPr>
          <w:rFonts w:hint="eastAsia"/>
          <w:b w:val="0"/>
          <w:bCs w:val="0"/>
        </w:rPr>
      </w:pPr>
    </w:p>
    <w:p>
      <w:pPr>
        <w:ind w:right="-1438" w:rightChars="-685"/>
        <w:rPr>
          <w:rFonts w:hint="eastAsia"/>
          <w:b w:val="0"/>
          <w:bCs w:val="0"/>
        </w:rPr>
      </w:pPr>
      <w:bookmarkStart w:id="0" w:name="_GoBack"/>
      <w:bookmarkEnd w:id="0"/>
    </w:p>
    <w:p>
      <w:pPr>
        <w:ind w:left="0" w:leftChars="0" w:right="-1438" w:rightChars="-685" w:firstLine="420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Table</w:t>
      </w:r>
      <w:r>
        <w:rPr>
          <w:rFonts w:hint="default"/>
          <w:b/>
          <w:bCs/>
        </w:rPr>
        <w:t xml:space="preserve"> </w:t>
      </w:r>
      <w:r>
        <w:rPr>
          <w:rFonts w:hint="default"/>
          <w:b/>
          <w:bCs/>
        </w:rPr>
        <w:t>S</w:t>
      </w:r>
      <w:r>
        <w:rPr>
          <w:rFonts w:hint="default"/>
          <w:b/>
          <w:bCs/>
        </w:rPr>
        <w:t>5</w:t>
      </w:r>
      <w:r>
        <w:rPr>
          <w:rFonts w:hint="eastAsia"/>
          <w:b/>
          <w:bCs/>
        </w:rPr>
        <w:t xml:space="preserve">. Associations of genetic predisposition to AD with risk of T2D in Mahajan </w:t>
      </w:r>
      <w:r>
        <w:rPr>
          <w:rFonts w:hint="default"/>
          <w:b/>
          <w:bCs/>
          <w:i/>
        </w:rPr>
        <w:t>et al</w:t>
      </w:r>
      <w:r>
        <w:rPr>
          <w:rFonts w:hint="eastAsia"/>
          <w:b/>
          <w:bCs/>
        </w:rPr>
        <w:t>. after excluding 3 outliers (rs2212434, rs2041733, rs4809219).</w:t>
      </w:r>
    </w:p>
    <w:tbl>
      <w:tblPr>
        <w:tblStyle w:val="4"/>
        <w:tblpPr w:leftFromText="180" w:rightFromText="180" w:vertAnchor="text" w:horzAnchor="page" w:tblpX="459" w:tblpY="50"/>
        <w:tblOverlap w:val="never"/>
        <w:tblW w:w="123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2490"/>
        <w:gridCol w:w="1400"/>
        <w:gridCol w:w="3440"/>
        <w:gridCol w:w="1829"/>
        <w:gridCol w:w="970"/>
      </w:tblGrid>
      <w:tr>
        <w:trPr>
          <w:trHeight w:val="350" w:hRule="atLeast"/>
        </w:trPr>
        <w:tc>
          <w:tcPr>
            <w:tcW w:w="4740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Analyses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SNPs, n</w:t>
            </w:r>
          </w:p>
        </w:tc>
        <w:tc>
          <w:tcPr>
            <w:tcW w:w="344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Methods</w:t>
            </w:r>
          </w:p>
        </w:tc>
        <w:tc>
          <w:tcPr>
            <w:tcW w:w="182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97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Times New Roman Italic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</w:tr>
      <w:tr>
        <w:tblPrEx>
          <w:shd w:val="clear" w:color="auto" w:fill="auto"/>
        </w:tblPrEx>
        <w:trPr>
          <w:trHeight w:val="350" w:hRule="atLeast"/>
        </w:trPr>
        <w:tc>
          <w:tcPr>
            <w:tcW w:w="4740" w:type="dxa"/>
            <w:gridSpan w:val="2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Results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*,#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random-effects IVW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 (1.03, 1.13)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</w:tr>
      <w:tr>
        <w:tblPrEx>
          <w:shd w:val="clear" w:color="auto" w:fill="auto"/>
        </w:tblPrEx>
        <w:trPr>
          <w:trHeight w:val="350" w:hRule="atLeast"/>
        </w:trPr>
        <w:tc>
          <w:tcPr>
            <w:tcW w:w="4740" w:type="dxa"/>
            <w:gridSpan w:val="2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*,#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 (1.02, 1.14)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</w:tr>
      <w:tr>
        <w:tblPrEx>
          <w:shd w:val="clear" w:color="auto" w:fill="auto"/>
        </w:tblPrEx>
        <w:trPr>
          <w:trHeight w:val="350" w:hRule="atLeast"/>
        </w:trPr>
        <w:tc>
          <w:tcPr>
            <w:tcW w:w="4740" w:type="dxa"/>
            <w:gridSpan w:val="2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*,#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Simple median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 (1.04, 1.16)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shd w:val="clear" w:color="auto" w:fill="auto"/>
        </w:tblPrEx>
        <w:trPr>
          <w:trHeight w:val="350" w:hRule="atLeast"/>
        </w:trPr>
        <w:tc>
          <w:tcPr>
            <w:tcW w:w="4740" w:type="dxa"/>
            <w:gridSpan w:val="2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*,#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MR-raps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 (1.03, 1.13)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shd w:val="clear" w:color="auto" w:fill="auto"/>
        </w:tblPrEx>
        <w:trPr>
          <w:trHeight w:val="350" w:hRule="atLeast"/>
        </w:trPr>
        <w:tc>
          <w:tcPr>
            <w:tcW w:w="4740" w:type="dxa"/>
            <w:gridSpan w:val="2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*,#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MR-PRESSO†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 (1.03, 1.13)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</w:tr>
      <w:tr>
        <w:tblPrEx>
          <w:shd w:val="clear" w:color="auto" w:fill="auto"/>
        </w:tblPrEx>
        <w:trPr>
          <w:trHeight w:val="350" w:hRule="atLeast"/>
        </w:trPr>
        <w:tc>
          <w:tcPr>
            <w:tcW w:w="2250" w:type="dxa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Sensitivity Analyses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Heterogeneity test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*,#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MR-Egger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0.058 </w:t>
            </w:r>
          </w:p>
        </w:tc>
      </w:tr>
      <w:tr>
        <w:tblPrEx>
          <w:shd w:val="clear" w:color="auto" w:fill="auto"/>
        </w:tblPrEx>
        <w:trPr>
          <w:trHeight w:val="350" w:hRule="atLeast"/>
        </w:trPr>
        <w:tc>
          <w:tcPr>
            <w:tcW w:w="2250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*,#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Inverse-variance weighted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0.075 </w:t>
            </w:r>
          </w:p>
        </w:tc>
      </w:tr>
      <w:tr>
        <w:tblPrEx>
          <w:shd w:val="clear" w:color="auto" w:fill="auto"/>
        </w:tblPrEx>
        <w:trPr>
          <w:trHeight w:val="350" w:hRule="atLeast"/>
        </w:trPr>
        <w:tc>
          <w:tcPr>
            <w:tcW w:w="2250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Pleiotropy test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*,#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MR-Egger</w:t>
            </w:r>
          </w:p>
        </w:tc>
        <w:tc>
          <w:tcPr>
            <w:tcW w:w="18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0.692 </w:t>
            </w:r>
          </w:p>
        </w:tc>
      </w:tr>
    </w:tbl>
    <w:p>
      <w:pPr>
        <w:ind w:left="0" w:leftChars="0" w:right="-1438" w:rightChars="-685" w:firstLine="0" w:firstLineChars="0"/>
        <w:rPr>
          <w:rFonts w:hint="eastAsia"/>
          <w:b/>
          <w:bCs/>
        </w:rPr>
      </w:pPr>
    </w:p>
    <w:tbl>
      <w:tblPr>
        <w:tblStyle w:val="4"/>
        <w:tblW w:w="2241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50" w:hRule="atLeast"/>
        </w:trPr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414" w:leftChars="197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T2D, type 2 diabetes; SNPs, single-nucleotide polymorphisms; OR, odds ratio; CI, confidence interval.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414" w:leftChars="197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rs12188917 and rs6419573 were not available in Mahajan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et al</w:t>
            </w:r>
            <w:r>
              <w:rPr>
                <w:rFonts w:ascii="Times New Roman Italic" w:hAnsi="Times New Roman Italic" w:eastAsia="Times New Roman Italic" w:cs="Times New Roman Italic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; rs6596090 and rs1035127 were found to replace them, respectively.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414" w:leftChars="197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#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rs4713555 and rs12730935 was excluded.</w:t>
            </w:r>
          </w:p>
        </w:tc>
      </w:tr>
    </w:tbl>
    <w:p>
      <w:pPr>
        <w:ind w:left="0" w:leftChars="0" w:right="-1438" w:rightChars="-685" w:firstLine="0" w:firstLineChars="0"/>
        <w:rPr>
          <w:rFonts w:hint="eastAsia"/>
          <w:b/>
          <w:bCs/>
        </w:rPr>
      </w:pPr>
    </w:p>
    <w:sectPr>
      <w:pgSz w:w="16838" w:h="31634"/>
      <w:pgMar w:top="1803" w:right="0" w:bottom="1803" w:left="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honburi Light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6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3F968B"/>
    <w:rsid w:val="3971A7C4"/>
    <w:rsid w:val="42B7D4F5"/>
    <w:rsid w:val="77FFE7A6"/>
    <w:rsid w:val="7E9D4F82"/>
    <w:rsid w:val="7FF9C3FC"/>
    <w:rsid w:val="A7E96032"/>
    <w:rsid w:val="BF7F1D9A"/>
    <w:rsid w:val="BFAD29CE"/>
    <w:rsid w:val="F63F9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4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7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31"/>
    <w:basedOn w:val="5"/>
    <w:qFormat/>
    <w:uiPriority w:val="0"/>
    <w:rPr>
      <w:rFonts w:ascii="Times New Roman Italic" w:hAnsi="Times New Roman Italic" w:eastAsia="Times New Roman Italic" w:cs="Times New Roman Italic"/>
      <w:i/>
      <w:iCs/>
      <w:color w:val="000000"/>
      <w:sz w:val="22"/>
      <w:szCs w:val="22"/>
      <w:u w:val="none"/>
    </w:rPr>
  </w:style>
  <w:style w:type="character" w:customStyle="1" w:styleId="10">
    <w:name w:val="font6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0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2">
    <w:name w:val="font11"/>
    <w:basedOn w:val="5"/>
    <w:qFormat/>
    <w:uiPriority w:val="0"/>
    <w:rPr>
      <w:rFonts w:hint="default" w:ascii="Times New Roman Italic" w:hAnsi="Times New Roman Italic" w:eastAsia="Times New Roman Italic" w:cs="Times New Roman Italic"/>
      <w:i/>
      <w:iCs/>
      <w:color w:val="000000"/>
      <w:sz w:val="22"/>
      <w:szCs w:val="22"/>
      <w:u w:val="none"/>
    </w:rPr>
  </w:style>
  <w:style w:type="character" w:customStyle="1" w:styleId="13">
    <w:name w:val="font7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2023-02-18T00:45:00Z</dcterms:created>
  <dc:creator>喵</dc:creator>
  <cp:lastModifiedBy>喵</cp:lastModifiedBy>
  <dcterms:modified xsi:type="dcterms:W3CDTF">2023-02-28T13:45:54Z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9D23F1F4D4BCF30710CEEE63B35A4C4C</vt:lpwstr>
  </property>
</Properties>
</file>