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43232" w14:textId="77777777" w:rsidR="00EA0C1A" w:rsidRDefault="00EA0C1A" w:rsidP="00EA0C1A">
      <w:pPr>
        <w:spacing w:line="360" w:lineRule="auto"/>
        <w:jc w:val="both"/>
        <w:rPr>
          <w:rFonts w:asciiTheme="minorBidi" w:hAnsiTheme="minorBidi" w:cstheme="minorBidi"/>
          <w:b/>
          <w:bCs/>
        </w:rPr>
      </w:pPr>
      <w:r w:rsidRPr="00EE5BF2">
        <w:rPr>
          <w:rFonts w:asciiTheme="minorBidi" w:eastAsia="Times New Roman" w:hAnsiTheme="minorBidi" w:cstheme="minorBidi"/>
          <w:b/>
          <w:bCs/>
          <w:highlight w:val="yellow"/>
        </w:rPr>
        <w:t>Assessing the performance of European-derived cardiometabolic polygenic risk scores in South-Asians and their interplay with family history.</w:t>
      </w:r>
    </w:p>
    <w:p w14:paraId="0B774AFD" w14:textId="77777777" w:rsidR="00D404AE" w:rsidRDefault="00000000" w:rsidP="000E32BD">
      <w:pPr>
        <w:spacing w:line="360" w:lineRule="auto"/>
        <w:rPr>
          <w:rFonts w:ascii="Arial" w:eastAsia="Arial" w:hAnsi="Arial" w:cs="Arial"/>
          <w:sz w:val="20"/>
          <w:szCs w:val="20"/>
        </w:rPr>
      </w:pPr>
      <w:r>
        <w:rPr>
          <w:rFonts w:ascii="Arial" w:eastAsia="Arial" w:hAnsi="Arial" w:cs="Arial"/>
          <w:sz w:val="20"/>
          <w:szCs w:val="20"/>
        </w:rPr>
        <w:t xml:space="preserve"> </w:t>
      </w:r>
    </w:p>
    <w:p w14:paraId="7A848394" w14:textId="77777777" w:rsidR="00D404AE" w:rsidRDefault="00000000" w:rsidP="00EA0C1A">
      <w:pPr>
        <w:spacing w:line="360" w:lineRule="auto"/>
        <w:rPr>
          <w:rFonts w:asciiTheme="minorBidi" w:eastAsia="Arial" w:hAnsiTheme="minorBidi" w:cstheme="minorBidi"/>
          <w:sz w:val="18"/>
          <w:szCs w:val="18"/>
        </w:rPr>
      </w:pPr>
      <w:r w:rsidRPr="000E32BD">
        <w:rPr>
          <w:rFonts w:asciiTheme="minorBidi" w:eastAsia="Arial" w:hAnsiTheme="minorBidi" w:cstheme="minorBidi"/>
          <w:sz w:val="18"/>
          <w:szCs w:val="18"/>
        </w:rPr>
        <w:t>Emadeldin Hassanin, Carlo Maj,</w:t>
      </w:r>
      <w:hyperlink r:id="rId5" w:anchor="auth-Hannah-Klinkhammer">
        <w:r w:rsidRPr="000E32BD">
          <w:rPr>
            <w:rFonts w:asciiTheme="minorBidi" w:eastAsia="Arial" w:hAnsiTheme="minorBidi" w:cstheme="minorBidi"/>
            <w:sz w:val="18"/>
            <w:szCs w:val="18"/>
          </w:rPr>
          <w:t xml:space="preserve"> Hannah Klinkhammer</w:t>
        </w:r>
      </w:hyperlink>
      <w:r w:rsidRPr="000E32BD">
        <w:rPr>
          <w:rFonts w:asciiTheme="minorBidi" w:eastAsia="Arial" w:hAnsiTheme="minorBidi" w:cstheme="minorBidi"/>
          <w:sz w:val="18"/>
          <w:szCs w:val="18"/>
        </w:rPr>
        <w:t>, Peter Krawitz, Patrick May, Dheeraj Reddy Bobbil</w:t>
      </w:r>
    </w:p>
    <w:p w14:paraId="26193DF7" w14:textId="77777777" w:rsidR="000E32BD" w:rsidRDefault="000E32BD">
      <w:pPr>
        <w:spacing w:line="360" w:lineRule="auto"/>
        <w:jc w:val="center"/>
        <w:rPr>
          <w:rFonts w:asciiTheme="minorBidi" w:eastAsia="Arial" w:hAnsiTheme="minorBidi" w:cstheme="minorBidi"/>
          <w:sz w:val="18"/>
          <w:szCs w:val="18"/>
        </w:rPr>
      </w:pPr>
    </w:p>
    <w:p w14:paraId="6C8F9E45" w14:textId="77777777" w:rsidR="000E32BD" w:rsidRPr="000E32BD" w:rsidRDefault="000E32BD">
      <w:pPr>
        <w:spacing w:line="360" w:lineRule="auto"/>
        <w:jc w:val="center"/>
        <w:rPr>
          <w:rFonts w:asciiTheme="minorBidi" w:eastAsia="Arial" w:hAnsiTheme="minorBidi" w:cstheme="minorBidi"/>
          <w:sz w:val="18"/>
          <w:szCs w:val="18"/>
        </w:rPr>
      </w:pPr>
    </w:p>
    <w:p w14:paraId="48B8C365" w14:textId="77777777" w:rsidR="00D404AE" w:rsidRDefault="00D404AE">
      <w:pPr>
        <w:spacing w:line="360" w:lineRule="auto"/>
        <w:jc w:val="center"/>
        <w:rPr>
          <w:rFonts w:ascii="Arial" w:eastAsia="Arial" w:hAnsi="Arial" w:cs="Arial"/>
          <w:sz w:val="20"/>
          <w:szCs w:val="20"/>
        </w:rPr>
      </w:pPr>
    </w:p>
    <w:p w14:paraId="732CD2A1" w14:textId="77777777" w:rsidR="00D404AE" w:rsidRDefault="00000000">
      <w:pPr>
        <w:spacing w:after="200" w:line="360" w:lineRule="auto"/>
        <w:jc w:val="center"/>
        <w:rPr>
          <w:rFonts w:ascii="Arial" w:eastAsia="Arial" w:hAnsi="Arial" w:cs="Arial"/>
          <w:b/>
          <w:i/>
          <w:sz w:val="22"/>
          <w:szCs w:val="22"/>
        </w:rPr>
      </w:pPr>
      <w:r>
        <w:rPr>
          <w:rFonts w:ascii="Arial" w:eastAsia="Arial" w:hAnsi="Arial" w:cs="Arial"/>
          <w:b/>
          <w:i/>
          <w:noProof/>
          <w:sz w:val="22"/>
          <w:szCs w:val="22"/>
        </w:rPr>
        <w:drawing>
          <wp:inline distT="114300" distB="114300" distL="114300" distR="114300" wp14:anchorId="35C6A717" wp14:editId="21050030">
            <wp:extent cx="4811570" cy="5778680"/>
            <wp:effectExtent l="0" t="0" r="0" b="0"/>
            <wp:docPr id="20511937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4811570" cy="5778680"/>
                    </a:xfrm>
                    <a:prstGeom prst="rect">
                      <a:avLst/>
                    </a:prstGeom>
                    <a:ln/>
                  </pic:spPr>
                </pic:pic>
              </a:graphicData>
            </a:graphic>
          </wp:inline>
        </w:drawing>
      </w:r>
    </w:p>
    <w:p w14:paraId="5A7478AB" w14:textId="77777777" w:rsidR="000E32BD" w:rsidRDefault="00000000">
      <w:pPr>
        <w:spacing w:after="200" w:line="360" w:lineRule="auto"/>
        <w:jc w:val="both"/>
        <w:rPr>
          <w:rFonts w:ascii="Arial" w:eastAsia="Arial" w:hAnsi="Arial" w:cs="Arial"/>
          <w:b/>
          <w:i/>
          <w:sz w:val="22"/>
          <w:szCs w:val="22"/>
        </w:rPr>
      </w:pPr>
      <w:r>
        <w:rPr>
          <w:rFonts w:ascii="Arial" w:eastAsia="Arial" w:hAnsi="Arial" w:cs="Arial"/>
          <w:b/>
          <w:i/>
          <w:sz w:val="22"/>
          <w:szCs w:val="22"/>
        </w:rPr>
        <w:t xml:space="preserve">Supplementary Figure 1: Comparison of different models and their corresponding ROC-AUCs before and after down-sampling in the South Asian (SAS) of the UK Biobank. </w:t>
      </w:r>
    </w:p>
    <w:p w14:paraId="19995BA2" w14:textId="422D2F18" w:rsidR="00D404AE" w:rsidRPr="000E32BD" w:rsidRDefault="00000000">
      <w:pPr>
        <w:spacing w:after="200" w:line="360" w:lineRule="auto"/>
        <w:jc w:val="both"/>
        <w:rPr>
          <w:rFonts w:ascii="Arial" w:eastAsia="Arial" w:hAnsi="Arial" w:cs="Arial"/>
          <w:bCs/>
          <w:i/>
          <w:sz w:val="20"/>
          <w:szCs w:val="20"/>
        </w:rPr>
      </w:pPr>
      <w:r w:rsidRPr="000E32BD">
        <w:rPr>
          <w:rFonts w:ascii="Arial" w:eastAsia="Arial" w:hAnsi="Arial" w:cs="Arial"/>
          <w:bCs/>
          <w:i/>
          <w:sz w:val="20"/>
          <w:szCs w:val="20"/>
        </w:rPr>
        <w:t>Ancestry adjusted PRS (aPRS), First degree family history (FH) and covariates (age, sex, first four principal components). Coronary artery disease (CAD), type 2 diabetes (T2D).</w:t>
      </w:r>
    </w:p>
    <w:p w14:paraId="6F058787" w14:textId="77777777" w:rsidR="000E32BD" w:rsidRDefault="00000000">
      <w:pPr>
        <w:spacing w:after="200" w:line="360" w:lineRule="auto"/>
        <w:jc w:val="both"/>
        <w:rPr>
          <w:rFonts w:ascii="Arial" w:eastAsia="Arial" w:hAnsi="Arial" w:cs="Arial"/>
          <w:b/>
          <w:i/>
          <w:sz w:val="22"/>
          <w:szCs w:val="22"/>
        </w:rPr>
      </w:pPr>
      <w:r>
        <w:rPr>
          <w:rFonts w:ascii="Arial" w:eastAsia="Arial" w:hAnsi="Arial" w:cs="Arial"/>
          <w:b/>
          <w:i/>
          <w:noProof/>
          <w:sz w:val="22"/>
          <w:szCs w:val="22"/>
        </w:rPr>
        <w:lastRenderedPageBreak/>
        <w:drawing>
          <wp:inline distT="114300" distB="114300" distL="114300" distR="114300" wp14:anchorId="57E4FB51" wp14:editId="068A3004">
            <wp:extent cx="5731200" cy="5727700"/>
            <wp:effectExtent l="0" t="0" r="0" b="0"/>
            <wp:docPr id="20511937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5727700"/>
                    </a:xfrm>
                    <a:prstGeom prst="rect">
                      <a:avLst/>
                    </a:prstGeom>
                    <a:ln/>
                  </pic:spPr>
                </pic:pic>
              </a:graphicData>
            </a:graphic>
          </wp:inline>
        </w:drawing>
      </w:r>
      <w:r>
        <w:rPr>
          <w:rFonts w:ascii="Arial" w:eastAsia="Arial" w:hAnsi="Arial" w:cs="Arial"/>
          <w:b/>
          <w:i/>
          <w:sz w:val="22"/>
          <w:szCs w:val="22"/>
        </w:rPr>
        <w:t>Supplementary Figure 2: Comparison of different models and their corresponding ROC-AUCs and PR-AUCs in the South Asian population of the UK Biobank (SAS).</w:t>
      </w:r>
    </w:p>
    <w:p w14:paraId="2B5D141E" w14:textId="1DBCCCB2" w:rsidR="00D404AE" w:rsidRDefault="00000000">
      <w:pPr>
        <w:spacing w:after="200" w:line="360" w:lineRule="auto"/>
        <w:jc w:val="both"/>
        <w:rPr>
          <w:rFonts w:ascii="Arial" w:eastAsia="Arial" w:hAnsi="Arial" w:cs="Arial"/>
          <w:b/>
          <w:i/>
          <w:sz w:val="22"/>
          <w:szCs w:val="22"/>
        </w:rPr>
      </w:pPr>
      <w:r w:rsidRPr="000E32BD">
        <w:rPr>
          <w:rFonts w:ascii="Arial" w:eastAsia="Arial" w:hAnsi="Arial" w:cs="Arial"/>
          <w:bCs/>
          <w:i/>
          <w:sz w:val="20"/>
          <w:szCs w:val="20"/>
        </w:rPr>
        <w:t>Ancestry adjusted PRS (aPRS), First degree family history (FH) and covariates (age, sex, first four principal components). Coronary artery disease (CAD), type 2 diabetes (T2D).</w:t>
      </w:r>
    </w:p>
    <w:p w14:paraId="2CD99A91" w14:textId="77777777" w:rsidR="00D404AE" w:rsidRDefault="00D404AE">
      <w:pPr>
        <w:spacing w:line="360" w:lineRule="auto"/>
        <w:jc w:val="both"/>
        <w:rPr>
          <w:i/>
          <w:sz w:val="22"/>
          <w:szCs w:val="22"/>
        </w:rPr>
      </w:pPr>
    </w:p>
    <w:p w14:paraId="330B7415" w14:textId="77777777" w:rsidR="00D404AE" w:rsidRDefault="00000000">
      <w:pPr>
        <w:spacing w:line="360" w:lineRule="auto"/>
        <w:jc w:val="center"/>
        <w:rPr>
          <w:i/>
          <w:sz w:val="22"/>
          <w:szCs w:val="22"/>
        </w:rPr>
      </w:pPr>
      <w:r>
        <w:rPr>
          <w:i/>
          <w:noProof/>
          <w:sz w:val="22"/>
          <w:szCs w:val="22"/>
        </w:rPr>
        <w:lastRenderedPageBreak/>
        <w:drawing>
          <wp:inline distT="114300" distB="114300" distL="114300" distR="114300" wp14:anchorId="7E60B7E8" wp14:editId="5F7C30CC">
            <wp:extent cx="4843593" cy="5814045"/>
            <wp:effectExtent l="0" t="0" r="0" b="0"/>
            <wp:docPr id="20511937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843593" cy="5814045"/>
                    </a:xfrm>
                    <a:prstGeom prst="rect">
                      <a:avLst/>
                    </a:prstGeom>
                    <a:ln/>
                  </pic:spPr>
                </pic:pic>
              </a:graphicData>
            </a:graphic>
          </wp:inline>
        </w:drawing>
      </w:r>
    </w:p>
    <w:p w14:paraId="10E22A40" w14:textId="77777777" w:rsidR="000E32BD" w:rsidRDefault="00000000">
      <w:pPr>
        <w:spacing w:after="200" w:line="360" w:lineRule="auto"/>
        <w:jc w:val="both"/>
        <w:rPr>
          <w:rFonts w:ascii="Arial" w:eastAsia="Arial" w:hAnsi="Arial" w:cs="Arial"/>
          <w:b/>
          <w:i/>
          <w:sz w:val="22"/>
          <w:szCs w:val="22"/>
        </w:rPr>
      </w:pPr>
      <w:r>
        <w:rPr>
          <w:rFonts w:ascii="Arial" w:eastAsia="Arial" w:hAnsi="Arial" w:cs="Arial"/>
          <w:b/>
          <w:i/>
          <w:sz w:val="22"/>
          <w:szCs w:val="22"/>
        </w:rPr>
        <w:t>Supplementary Figure 3: Comparison of different models and their corresponding AUCs in the South Asian (SAS) and European (EUR) population of the UK Biobank.</w:t>
      </w:r>
    </w:p>
    <w:p w14:paraId="59712770" w14:textId="382F7D2E" w:rsidR="00D404AE" w:rsidRDefault="00000000">
      <w:pPr>
        <w:spacing w:after="200" w:line="360" w:lineRule="auto"/>
        <w:jc w:val="both"/>
        <w:rPr>
          <w:rFonts w:ascii="Arial" w:eastAsia="Arial" w:hAnsi="Arial" w:cs="Arial"/>
          <w:b/>
          <w:i/>
          <w:sz w:val="22"/>
          <w:szCs w:val="22"/>
        </w:rPr>
      </w:pPr>
      <w:r w:rsidRPr="000E32BD">
        <w:rPr>
          <w:rFonts w:ascii="Arial" w:eastAsia="Arial" w:hAnsi="Arial" w:cs="Arial"/>
          <w:bCs/>
          <w:i/>
          <w:sz w:val="20"/>
          <w:szCs w:val="20"/>
        </w:rPr>
        <w:t>Ancestry adjusted PRS (aPRS), First degree family history (FH) and covariates (age, sex, first four principal components). Coronary artery disease (CAD), type 2 diabetes (T2D).</w:t>
      </w:r>
    </w:p>
    <w:p w14:paraId="6502DD69" w14:textId="77777777" w:rsidR="00D404AE" w:rsidRDefault="00D404AE">
      <w:pPr>
        <w:spacing w:after="200" w:line="360" w:lineRule="auto"/>
        <w:jc w:val="both"/>
        <w:rPr>
          <w:rFonts w:ascii="Arial" w:eastAsia="Arial" w:hAnsi="Arial" w:cs="Arial"/>
          <w:b/>
          <w:i/>
          <w:sz w:val="22"/>
          <w:szCs w:val="22"/>
        </w:rPr>
      </w:pPr>
    </w:p>
    <w:p w14:paraId="39F4EA4C" w14:textId="77777777" w:rsidR="00D404AE" w:rsidRDefault="00000000">
      <w:pPr>
        <w:spacing w:after="200" w:line="360" w:lineRule="auto"/>
        <w:jc w:val="both"/>
        <w:rPr>
          <w:rFonts w:ascii="Arial" w:eastAsia="Arial" w:hAnsi="Arial" w:cs="Arial"/>
          <w:b/>
          <w:i/>
          <w:sz w:val="22"/>
          <w:szCs w:val="22"/>
        </w:rPr>
      </w:pPr>
      <w:r>
        <w:rPr>
          <w:rFonts w:ascii="Arial" w:eastAsia="Arial" w:hAnsi="Arial" w:cs="Arial"/>
          <w:b/>
          <w:i/>
          <w:noProof/>
          <w:sz w:val="22"/>
          <w:szCs w:val="22"/>
        </w:rPr>
        <w:lastRenderedPageBreak/>
        <w:drawing>
          <wp:inline distT="114300" distB="114300" distL="114300" distR="114300" wp14:anchorId="3A68E324" wp14:editId="64DEBE88">
            <wp:extent cx="5731200" cy="6883400"/>
            <wp:effectExtent l="0" t="0" r="0" b="0"/>
            <wp:docPr id="20511937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31200" cy="6883400"/>
                    </a:xfrm>
                    <a:prstGeom prst="rect">
                      <a:avLst/>
                    </a:prstGeom>
                    <a:ln/>
                  </pic:spPr>
                </pic:pic>
              </a:graphicData>
            </a:graphic>
          </wp:inline>
        </w:drawing>
      </w:r>
    </w:p>
    <w:p w14:paraId="270A6565" w14:textId="77777777" w:rsidR="000E32BD" w:rsidRDefault="00000000">
      <w:pPr>
        <w:spacing w:after="200" w:line="360" w:lineRule="auto"/>
        <w:jc w:val="both"/>
        <w:rPr>
          <w:rFonts w:ascii="Arial" w:eastAsia="Arial" w:hAnsi="Arial" w:cs="Arial"/>
          <w:b/>
          <w:i/>
          <w:sz w:val="22"/>
          <w:szCs w:val="22"/>
        </w:rPr>
      </w:pPr>
      <w:r>
        <w:rPr>
          <w:rFonts w:ascii="Arial" w:eastAsia="Arial" w:hAnsi="Arial" w:cs="Arial"/>
          <w:b/>
          <w:i/>
          <w:sz w:val="22"/>
          <w:szCs w:val="22"/>
        </w:rPr>
        <w:t xml:space="preserve">Supplementary Figure 4: Comparison of different models and their corresponding Precision-recall AUCs (PR-AUC) in the South Asian (SAS) and European (EUR) population of the UK Biobank. </w:t>
      </w:r>
    </w:p>
    <w:p w14:paraId="03CD47B2" w14:textId="7DD67318" w:rsidR="00D404AE" w:rsidRPr="000E32BD" w:rsidRDefault="00000000">
      <w:pPr>
        <w:spacing w:after="200" w:line="360" w:lineRule="auto"/>
        <w:jc w:val="both"/>
        <w:rPr>
          <w:rFonts w:ascii="Arial" w:eastAsia="Arial" w:hAnsi="Arial" w:cs="Arial"/>
          <w:bCs/>
          <w:i/>
          <w:sz w:val="20"/>
          <w:szCs w:val="20"/>
        </w:rPr>
      </w:pPr>
      <w:r w:rsidRPr="000E32BD">
        <w:rPr>
          <w:rFonts w:ascii="Arial" w:eastAsia="Arial" w:hAnsi="Arial" w:cs="Arial"/>
          <w:bCs/>
          <w:i/>
          <w:sz w:val="20"/>
          <w:szCs w:val="20"/>
        </w:rPr>
        <w:t>Ancestry adjusted PRS (aPRS), First degree family history (FH) and covariates (age, sex, first four principal components). Coronary artery disease (CAD), type 2 diabetes (T2D).</w:t>
      </w:r>
    </w:p>
    <w:p w14:paraId="75442238" w14:textId="77777777" w:rsidR="00D404AE" w:rsidRDefault="00D404AE">
      <w:pPr>
        <w:spacing w:after="200" w:line="360" w:lineRule="auto"/>
        <w:jc w:val="both"/>
        <w:rPr>
          <w:rFonts w:ascii="Arial" w:eastAsia="Arial" w:hAnsi="Arial" w:cs="Arial"/>
          <w:b/>
          <w:i/>
          <w:sz w:val="22"/>
          <w:szCs w:val="22"/>
        </w:rPr>
      </w:pPr>
    </w:p>
    <w:p w14:paraId="625AE073" w14:textId="77777777" w:rsidR="000E32BD" w:rsidRDefault="00000000">
      <w:pPr>
        <w:spacing w:after="200" w:line="360" w:lineRule="auto"/>
        <w:jc w:val="both"/>
        <w:rPr>
          <w:rFonts w:ascii="Arial" w:eastAsia="Arial" w:hAnsi="Arial" w:cs="Arial"/>
          <w:b/>
          <w:i/>
          <w:sz w:val="22"/>
          <w:szCs w:val="22"/>
        </w:rPr>
      </w:pPr>
      <w:r>
        <w:rPr>
          <w:rFonts w:ascii="Arial" w:eastAsia="Arial" w:hAnsi="Arial" w:cs="Arial"/>
          <w:b/>
          <w:i/>
          <w:noProof/>
          <w:sz w:val="22"/>
          <w:szCs w:val="22"/>
        </w:rPr>
        <w:lastRenderedPageBreak/>
        <w:drawing>
          <wp:inline distT="114300" distB="114300" distL="114300" distR="114300" wp14:anchorId="50405B2B" wp14:editId="4FF672D0">
            <wp:extent cx="5266329" cy="7024688"/>
            <wp:effectExtent l="0" t="0" r="0" b="0"/>
            <wp:docPr id="20511937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266329" cy="7024688"/>
                    </a:xfrm>
                    <a:prstGeom prst="rect">
                      <a:avLst/>
                    </a:prstGeom>
                    <a:ln/>
                  </pic:spPr>
                </pic:pic>
              </a:graphicData>
            </a:graphic>
          </wp:inline>
        </w:drawing>
      </w:r>
      <w:r>
        <w:rPr>
          <w:rFonts w:ascii="Arial" w:eastAsia="Arial" w:hAnsi="Arial" w:cs="Arial"/>
          <w:b/>
          <w:i/>
          <w:sz w:val="22"/>
          <w:szCs w:val="22"/>
        </w:rPr>
        <w:t xml:space="preserve">Supplementary Figure 5: Odds ratio for CAD, obesity and T2D based on the adjusted polygenic risk scores (aPRS) categorization in the South Asian (SAS) and European (EUR) population of the UK Biobank. </w:t>
      </w:r>
    </w:p>
    <w:p w14:paraId="51E1C524" w14:textId="1442D10F" w:rsidR="00D404AE" w:rsidRPr="000E32BD" w:rsidRDefault="00000000">
      <w:pPr>
        <w:spacing w:after="200" w:line="360" w:lineRule="auto"/>
        <w:jc w:val="both"/>
        <w:rPr>
          <w:rFonts w:ascii="Arial" w:eastAsia="Arial" w:hAnsi="Arial" w:cs="Arial"/>
          <w:bCs/>
          <w:i/>
          <w:sz w:val="20"/>
          <w:szCs w:val="20"/>
        </w:rPr>
      </w:pPr>
      <w:r w:rsidRPr="000E32BD">
        <w:rPr>
          <w:rFonts w:ascii="Arial" w:eastAsia="Arial" w:hAnsi="Arial" w:cs="Arial"/>
          <w:bCs/>
          <w:i/>
          <w:sz w:val="20"/>
          <w:szCs w:val="20"/>
        </w:rPr>
        <w:t>Coronary artery disease (CAD), type 2 diabetes (T2D), and adjusted polygenic risk scores (aPRS). If a p-value is less than 0.01, it is flagged with two stars (**).</w:t>
      </w:r>
    </w:p>
    <w:p w14:paraId="5D54C739" w14:textId="77777777" w:rsidR="00D404AE" w:rsidRDefault="00000000">
      <w:pPr>
        <w:keepNext/>
        <w:spacing w:after="200" w:line="360" w:lineRule="auto"/>
        <w:jc w:val="both"/>
        <w:rPr>
          <w:rFonts w:ascii="Arial" w:eastAsia="Arial" w:hAnsi="Arial" w:cs="Arial"/>
          <w:b/>
          <w:i/>
          <w:sz w:val="22"/>
          <w:szCs w:val="22"/>
        </w:rPr>
      </w:pPr>
      <w:r>
        <w:rPr>
          <w:rFonts w:ascii="Arial" w:eastAsia="Arial" w:hAnsi="Arial" w:cs="Arial"/>
          <w:b/>
          <w:i/>
          <w:noProof/>
          <w:sz w:val="22"/>
          <w:szCs w:val="22"/>
        </w:rPr>
        <w:lastRenderedPageBreak/>
        <w:drawing>
          <wp:inline distT="114300" distB="114300" distL="114300" distR="114300" wp14:anchorId="3C9F6882" wp14:editId="4A791FFD">
            <wp:extent cx="5731200" cy="4292600"/>
            <wp:effectExtent l="0" t="0" r="0" b="0"/>
            <wp:docPr id="20511937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731200" cy="4292600"/>
                    </a:xfrm>
                    <a:prstGeom prst="rect">
                      <a:avLst/>
                    </a:prstGeom>
                    <a:ln/>
                  </pic:spPr>
                </pic:pic>
              </a:graphicData>
            </a:graphic>
          </wp:inline>
        </w:drawing>
      </w:r>
    </w:p>
    <w:p w14:paraId="55CE6726" w14:textId="77777777" w:rsidR="000E32BD" w:rsidRDefault="000E32BD" w:rsidP="000E32BD">
      <w:pPr>
        <w:keepNext/>
        <w:spacing w:after="200" w:line="360" w:lineRule="auto"/>
        <w:jc w:val="both"/>
        <w:rPr>
          <w:rFonts w:ascii="Arial" w:eastAsia="Arial" w:hAnsi="Arial" w:cs="Arial"/>
          <w:b/>
          <w:i/>
          <w:sz w:val="22"/>
          <w:szCs w:val="22"/>
          <w:lang w:val="en-US"/>
        </w:rPr>
      </w:pPr>
      <w:r>
        <w:rPr>
          <w:rFonts w:ascii="Arial" w:eastAsia="Arial" w:hAnsi="Arial" w:cs="Arial"/>
          <w:b/>
          <w:i/>
          <w:sz w:val="22"/>
          <w:szCs w:val="22"/>
        </w:rPr>
        <w:t>Supplementary Figure 6: Odds ratio for CAD, and T2D based on the categorization of the adjusted polygenic risk scores (aPRS) percentile and family history (FH) status in the South Asian (SAS) and European (EUR) population of the UK Biobank.</w:t>
      </w:r>
      <w:r>
        <w:rPr>
          <w:rFonts w:ascii="Arial" w:eastAsia="Arial" w:hAnsi="Arial" w:cs="Arial"/>
          <w:b/>
          <w:i/>
          <w:sz w:val="22"/>
          <w:szCs w:val="22"/>
          <w:lang w:val="en-US"/>
        </w:rPr>
        <w:t xml:space="preserve"> </w:t>
      </w:r>
    </w:p>
    <w:p w14:paraId="330DACA0" w14:textId="011D22D8" w:rsidR="000E32BD" w:rsidRPr="000E32BD" w:rsidRDefault="000E32BD" w:rsidP="000E32BD">
      <w:pPr>
        <w:keepNext/>
        <w:spacing w:after="200" w:line="360" w:lineRule="auto"/>
        <w:jc w:val="both"/>
        <w:rPr>
          <w:rFonts w:ascii="Arial" w:eastAsia="Arial" w:hAnsi="Arial" w:cs="Arial"/>
          <w:bCs/>
          <w:i/>
          <w:sz w:val="20"/>
          <w:szCs w:val="20"/>
        </w:rPr>
      </w:pPr>
      <w:r w:rsidRPr="000E32BD">
        <w:rPr>
          <w:rFonts w:ascii="Arial" w:eastAsia="Arial" w:hAnsi="Arial" w:cs="Arial"/>
          <w:bCs/>
          <w:i/>
          <w:sz w:val="20"/>
          <w:szCs w:val="20"/>
        </w:rPr>
        <w:t>Coronary</w:t>
      </w:r>
      <w:r w:rsidRPr="000E32BD">
        <w:rPr>
          <w:rFonts w:ascii="Arial" w:eastAsia="Arial" w:hAnsi="Arial" w:cs="Arial"/>
          <w:bCs/>
          <w:i/>
          <w:sz w:val="20"/>
          <w:szCs w:val="20"/>
          <w:lang w:val="en-US"/>
        </w:rPr>
        <w:t xml:space="preserve"> </w:t>
      </w:r>
      <w:r w:rsidRPr="000E32BD">
        <w:rPr>
          <w:rFonts w:ascii="Arial" w:eastAsia="Arial" w:hAnsi="Arial" w:cs="Arial"/>
          <w:bCs/>
          <w:i/>
          <w:sz w:val="20"/>
          <w:szCs w:val="20"/>
        </w:rPr>
        <w:t>artery disease (CAD), type 2 diabetes (T2D). If a p-value is less than 0.01, it is flagged with two stars (**).</w:t>
      </w:r>
    </w:p>
    <w:p w14:paraId="6DAACA06" w14:textId="77777777" w:rsidR="000E32BD" w:rsidRDefault="000E32BD" w:rsidP="000E32BD">
      <w:pPr>
        <w:keepNext/>
        <w:spacing w:after="200" w:line="360" w:lineRule="auto"/>
        <w:jc w:val="both"/>
        <w:rPr>
          <w:rFonts w:ascii="Arial" w:eastAsia="Arial" w:hAnsi="Arial" w:cs="Arial"/>
          <w:b/>
          <w:i/>
          <w:sz w:val="22"/>
          <w:szCs w:val="22"/>
        </w:rPr>
      </w:pPr>
    </w:p>
    <w:p w14:paraId="7A595011" w14:textId="77777777" w:rsidR="00D404AE" w:rsidRDefault="00D404AE">
      <w:pPr>
        <w:keepNext/>
        <w:spacing w:after="200" w:line="360" w:lineRule="auto"/>
        <w:jc w:val="both"/>
        <w:rPr>
          <w:rFonts w:ascii="Arial" w:eastAsia="Arial" w:hAnsi="Arial" w:cs="Arial"/>
          <w:b/>
          <w:i/>
          <w:sz w:val="22"/>
          <w:szCs w:val="22"/>
        </w:rPr>
      </w:pPr>
    </w:p>
    <w:p w14:paraId="4F618BAB" w14:textId="77777777" w:rsidR="00D404AE" w:rsidRDefault="00D404AE">
      <w:pPr>
        <w:keepNext/>
        <w:spacing w:after="200" w:line="360" w:lineRule="auto"/>
        <w:jc w:val="both"/>
        <w:rPr>
          <w:rFonts w:ascii="Arial" w:eastAsia="Arial" w:hAnsi="Arial" w:cs="Arial"/>
          <w:b/>
          <w:i/>
          <w:sz w:val="22"/>
          <w:szCs w:val="22"/>
        </w:rPr>
      </w:pPr>
    </w:p>
    <w:p w14:paraId="6C3803BF" w14:textId="77777777" w:rsidR="00D404AE" w:rsidRDefault="00D404AE">
      <w:pPr>
        <w:keepNext/>
        <w:spacing w:after="200" w:line="360" w:lineRule="auto"/>
        <w:jc w:val="both"/>
        <w:rPr>
          <w:rFonts w:ascii="Arial" w:eastAsia="Arial" w:hAnsi="Arial" w:cs="Arial"/>
          <w:b/>
          <w:i/>
          <w:sz w:val="22"/>
          <w:szCs w:val="22"/>
        </w:rPr>
      </w:pPr>
    </w:p>
    <w:p w14:paraId="3BF4B46B" w14:textId="77777777" w:rsidR="00D404AE" w:rsidRDefault="00D404AE">
      <w:pPr>
        <w:keepNext/>
        <w:spacing w:after="200" w:line="360" w:lineRule="auto"/>
        <w:jc w:val="both"/>
        <w:rPr>
          <w:rFonts w:ascii="Arial" w:eastAsia="Arial" w:hAnsi="Arial" w:cs="Arial"/>
          <w:b/>
          <w:i/>
          <w:sz w:val="22"/>
          <w:szCs w:val="22"/>
        </w:rPr>
      </w:pPr>
    </w:p>
    <w:p w14:paraId="34195319" w14:textId="77777777" w:rsidR="00D404AE" w:rsidRDefault="00D404AE">
      <w:pPr>
        <w:keepNext/>
        <w:spacing w:after="200" w:line="360" w:lineRule="auto"/>
        <w:jc w:val="both"/>
        <w:rPr>
          <w:rFonts w:ascii="Arial" w:eastAsia="Arial" w:hAnsi="Arial" w:cs="Arial"/>
          <w:b/>
          <w:i/>
          <w:sz w:val="22"/>
          <w:szCs w:val="22"/>
        </w:rPr>
      </w:pPr>
    </w:p>
    <w:p w14:paraId="4A95C637" w14:textId="77777777" w:rsidR="00D404AE" w:rsidRDefault="00000000">
      <w:pPr>
        <w:keepNext/>
        <w:spacing w:after="200" w:line="360" w:lineRule="auto"/>
        <w:jc w:val="both"/>
        <w:rPr>
          <w:rFonts w:ascii="Arial" w:eastAsia="Arial" w:hAnsi="Arial" w:cs="Arial"/>
          <w:b/>
          <w:i/>
          <w:sz w:val="22"/>
          <w:szCs w:val="22"/>
        </w:rPr>
      </w:pPr>
      <w:r>
        <w:rPr>
          <w:rFonts w:ascii="Arial" w:eastAsia="Arial" w:hAnsi="Arial" w:cs="Arial"/>
          <w:b/>
          <w:i/>
          <w:noProof/>
          <w:sz w:val="22"/>
          <w:szCs w:val="22"/>
        </w:rPr>
        <w:lastRenderedPageBreak/>
        <w:drawing>
          <wp:inline distT="114300" distB="114300" distL="114300" distR="114300" wp14:anchorId="23CD01CE" wp14:editId="2C338367">
            <wp:extent cx="5117432" cy="4356167"/>
            <wp:effectExtent l="0" t="0" r="1270" b="0"/>
            <wp:docPr id="205119378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28420" cy="4365521"/>
                    </a:xfrm>
                    <a:prstGeom prst="rect">
                      <a:avLst/>
                    </a:prstGeom>
                    <a:ln/>
                  </pic:spPr>
                </pic:pic>
              </a:graphicData>
            </a:graphic>
          </wp:inline>
        </w:drawing>
      </w:r>
    </w:p>
    <w:p w14:paraId="531228A5" w14:textId="77777777" w:rsidR="000E32BD" w:rsidRDefault="00000000" w:rsidP="000E32BD">
      <w:pPr>
        <w:keepNext/>
        <w:spacing w:after="200" w:line="360" w:lineRule="auto"/>
        <w:jc w:val="both"/>
        <w:rPr>
          <w:rFonts w:ascii="Arial" w:eastAsia="Arial" w:hAnsi="Arial" w:cs="Arial"/>
          <w:b/>
          <w:i/>
          <w:sz w:val="22"/>
          <w:szCs w:val="22"/>
        </w:rPr>
      </w:pPr>
      <w:r>
        <w:rPr>
          <w:rFonts w:ascii="Arial" w:eastAsia="Arial" w:hAnsi="Arial" w:cs="Arial"/>
          <w:b/>
          <w:i/>
          <w:sz w:val="22"/>
          <w:szCs w:val="22"/>
        </w:rPr>
        <w:t xml:space="preserve">Supplementary Figure 7: Cumulative incidence of CAD, and T2D based on the categorization of the adjusted polygenic risk scores (aPRS) percentile and family history (FH) status in the South Asian (SAS) and European (EUR) population of the UK Biobank. </w:t>
      </w:r>
    </w:p>
    <w:p w14:paraId="3A604D5C" w14:textId="1ECDAA7C" w:rsidR="00D404AE" w:rsidRDefault="00000000" w:rsidP="000E32BD">
      <w:pPr>
        <w:keepNext/>
        <w:spacing w:after="200" w:line="360" w:lineRule="auto"/>
        <w:jc w:val="both"/>
        <w:rPr>
          <w:rFonts w:ascii="Arial" w:eastAsia="Arial" w:hAnsi="Arial" w:cs="Arial"/>
          <w:bCs/>
          <w:i/>
          <w:sz w:val="22"/>
          <w:szCs w:val="22"/>
        </w:rPr>
      </w:pPr>
      <w:r w:rsidRPr="000E32BD">
        <w:rPr>
          <w:rFonts w:ascii="Arial" w:eastAsia="Arial" w:hAnsi="Arial" w:cs="Arial"/>
          <w:bCs/>
          <w:i/>
          <w:sz w:val="22"/>
          <w:szCs w:val="22"/>
        </w:rPr>
        <w:t>Coronary artery disease (CAD), type 2 diabetes (T2D).</w:t>
      </w:r>
    </w:p>
    <w:p w14:paraId="409FE24E" w14:textId="77777777" w:rsidR="000E32BD" w:rsidRDefault="000E32BD" w:rsidP="000E32BD">
      <w:pPr>
        <w:keepNext/>
        <w:spacing w:after="200" w:line="360" w:lineRule="auto"/>
        <w:jc w:val="both"/>
        <w:rPr>
          <w:rFonts w:ascii="Arial" w:eastAsia="Arial" w:hAnsi="Arial" w:cs="Arial"/>
          <w:bCs/>
          <w:i/>
          <w:sz w:val="22"/>
          <w:szCs w:val="22"/>
        </w:rPr>
      </w:pPr>
    </w:p>
    <w:p w14:paraId="7E1575EB" w14:textId="77777777" w:rsidR="000E32BD" w:rsidRDefault="000E32BD" w:rsidP="000E32BD">
      <w:pPr>
        <w:keepNext/>
        <w:spacing w:after="200" w:line="360" w:lineRule="auto"/>
        <w:jc w:val="both"/>
        <w:rPr>
          <w:rFonts w:ascii="Arial" w:eastAsia="Arial" w:hAnsi="Arial" w:cs="Arial"/>
          <w:bCs/>
          <w:i/>
          <w:sz w:val="22"/>
          <w:szCs w:val="22"/>
        </w:rPr>
      </w:pPr>
    </w:p>
    <w:p w14:paraId="46A5BEBB" w14:textId="77777777" w:rsidR="000E32BD" w:rsidRDefault="000E32BD" w:rsidP="000E32BD">
      <w:pPr>
        <w:keepNext/>
        <w:spacing w:after="200" w:line="360" w:lineRule="auto"/>
        <w:jc w:val="both"/>
        <w:rPr>
          <w:rFonts w:ascii="Arial" w:eastAsia="Arial" w:hAnsi="Arial" w:cs="Arial"/>
          <w:bCs/>
          <w:i/>
          <w:sz w:val="22"/>
          <w:szCs w:val="22"/>
        </w:rPr>
      </w:pPr>
    </w:p>
    <w:p w14:paraId="21774F40" w14:textId="77777777" w:rsidR="000E32BD" w:rsidRDefault="000E32BD" w:rsidP="000E32BD">
      <w:pPr>
        <w:keepNext/>
        <w:spacing w:after="200" w:line="360" w:lineRule="auto"/>
        <w:jc w:val="both"/>
        <w:rPr>
          <w:rFonts w:ascii="Arial" w:eastAsia="Arial" w:hAnsi="Arial" w:cs="Arial"/>
          <w:bCs/>
          <w:i/>
          <w:sz w:val="22"/>
          <w:szCs w:val="22"/>
        </w:rPr>
      </w:pPr>
    </w:p>
    <w:p w14:paraId="1142D775" w14:textId="77777777" w:rsidR="000E32BD" w:rsidRDefault="000E32BD" w:rsidP="000E32BD">
      <w:pPr>
        <w:keepNext/>
        <w:spacing w:after="200" w:line="360" w:lineRule="auto"/>
        <w:jc w:val="both"/>
        <w:rPr>
          <w:rFonts w:ascii="Arial" w:eastAsia="Arial" w:hAnsi="Arial" w:cs="Arial"/>
          <w:bCs/>
          <w:i/>
          <w:sz w:val="22"/>
          <w:szCs w:val="22"/>
        </w:rPr>
      </w:pPr>
    </w:p>
    <w:p w14:paraId="41AFA6A6" w14:textId="77777777" w:rsidR="000E32BD" w:rsidRDefault="000E32BD" w:rsidP="000E32BD">
      <w:pPr>
        <w:keepNext/>
        <w:spacing w:after="200" w:line="360" w:lineRule="auto"/>
        <w:jc w:val="both"/>
        <w:rPr>
          <w:rFonts w:ascii="Arial" w:eastAsia="Arial" w:hAnsi="Arial" w:cs="Arial"/>
          <w:bCs/>
          <w:i/>
          <w:sz w:val="22"/>
          <w:szCs w:val="22"/>
        </w:rPr>
      </w:pPr>
    </w:p>
    <w:p w14:paraId="2AE3103D" w14:textId="77777777" w:rsidR="000E32BD" w:rsidRPr="000E32BD" w:rsidRDefault="000E32BD" w:rsidP="000E32BD">
      <w:pPr>
        <w:keepNext/>
        <w:spacing w:after="200" w:line="360" w:lineRule="auto"/>
        <w:jc w:val="both"/>
        <w:rPr>
          <w:rFonts w:ascii="Arial" w:eastAsia="Arial" w:hAnsi="Arial" w:cs="Arial"/>
          <w:bCs/>
          <w:i/>
          <w:sz w:val="22"/>
          <w:szCs w:val="22"/>
        </w:rPr>
      </w:pPr>
    </w:p>
    <w:p w14:paraId="4AB8F902" w14:textId="77777777" w:rsidR="00D404AE" w:rsidRDefault="00D404AE">
      <w:pPr>
        <w:spacing w:line="276" w:lineRule="auto"/>
        <w:rPr>
          <w:rFonts w:ascii="Arial" w:eastAsia="Arial" w:hAnsi="Arial" w:cs="Arial"/>
          <w:sz w:val="22"/>
          <w:szCs w:val="22"/>
        </w:rPr>
      </w:pPr>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7"/>
        <w:gridCol w:w="2257"/>
      </w:tblGrid>
      <w:tr w:rsidR="00D404AE" w14:paraId="67A5F86D" w14:textId="77777777">
        <w:trPr>
          <w:trHeight w:val="420"/>
        </w:trPr>
        <w:tc>
          <w:tcPr>
            <w:tcW w:w="9024" w:type="dxa"/>
            <w:gridSpan w:val="4"/>
            <w:shd w:val="clear" w:color="auto" w:fill="auto"/>
            <w:tcMar>
              <w:top w:w="100" w:type="dxa"/>
              <w:left w:w="100" w:type="dxa"/>
              <w:bottom w:w="100" w:type="dxa"/>
              <w:right w:w="100" w:type="dxa"/>
            </w:tcMar>
          </w:tcPr>
          <w:p w14:paraId="3535AFCC" w14:textId="77777777" w:rsidR="00D404AE" w:rsidRDefault="00000000">
            <w:pPr>
              <w:spacing w:line="276" w:lineRule="auto"/>
              <w:jc w:val="center"/>
              <w:rPr>
                <w:rFonts w:ascii="Arial" w:eastAsia="Arial" w:hAnsi="Arial" w:cs="Arial"/>
                <w:sz w:val="22"/>
                <w:szCs w:val="22"/>
              </w:rPr>
            </w:pPr>
            <w:r>
              <w:rPr>
                <w:rFonts w:ascii="Arial" w:eastAsia="Arial" w:hAnsi="Arial" w:cs="Arial"/>
                <w:b/>
                <w:sz w:val="22"/>
                <w:szCs w:val="22"/>
              </w:rPr>
              <w:lastRenderedPageBreak/>
              <w:t>Coronary artery disease (CAD)</w:t>
            </w:r>
          </w:p>
        </w:tc>
      </w:tr>
      <w:tr w:rsidR="00D404AE" w14:paraId="1AACB31D" w14:textId="77777777">
        <w:tc>
          <w:tcPr>
            <w:tcW w:w="2256" w:type="dxa"/>
            <w:shd w:val="clear" w:color="auto" w:fill="auto"/>
            <w:tcMar>
              <w:top w:w="100" w:type="dxa"/>
              <w:left w:w="100" w:type="dxa"/>
              <w:bottom w:w="100" w:type="dxa"/>
              <w:right w:w="100" w:type="dxa"/>
            </w:tcMar>
          </w:tcPr>
          <w:p w14:paraId="65386D33" w14:textId="77777777" w:rsidR="00D404AE" w:rsidRDefault="00000000">
            <w:pPr>
              <w:widowControl w:val="0"/>
              <w:rPr>
                <w:rFonts w:ascii="Arial" w:eastAsia="Arial" w:hAnsi="Arial" w:cs="Arial"/>
                <w:sz w:val="22"/>
                <w:szCs w:val="22"/>
              </w:rPr>
            </w:pPr>
            <w:r>
              <w:rPr>
                <w:rFonts w:ascii="Arial" w:eastAsia="Arial" w:hAnsi="Arial" w:cs="Arial"/>
                <w:sz w:val="22"/>
                <w:szCs w:val="22"/>
              </w:rPr>
              <w:t>Model</w:t>
            </w:r>
          </w:p>
        </w:tc>
        <w:tc>
          <w:tcPr>
            <w:tcW w:w="2256" w:type="dxa"/>
            <w:shd w:val="clear" w:color="auto" w:fill="auto"/>
            <w:tcMar>
              <w:top w:w="100" w:type="dxa"/>
              <w:left w:w="100" w:type="dxa"/>
              <w:bottom w:w="100" w:type="dxa"/>
              <w:right w:w="100" w:type="dxa"/>
            </w:tcMar>
          </w:tcPr>
          <w:p w14:paraId="40C2242E"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 xml:space="preserve">rho </w:t>
            </w:r>
          </w:p>
        </w:tc>
        <w:tc>
          <w:tcPr>
            <w:tcW w:w="2256" w:type="dxa"/>
            <w:shd w:val="clear" w:color="auto" w:fill="auto"/>
            <w:tcMar>
              <w:top w:w="100" w:type="dxa"/>
              <w:left w:w="100" w:type="dxa"/>
              <w:bottom w:w="100" w:type="dxa"/>
              <w:right w:w="100" w:type="dxa"/>
            </w:tcMar>
          </w:tcPr>
          <w:p w14:paraId="72F2CCB4"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chisq</w:t>
            </w:r>
          </w:p>
        </w:tc>
        <w:tc>
          <w:tcPr>
            <w:tcW w:w="2256" w:type="dxa"/>
            <w:shd w:val="clear" w:color="auto" w:fill="auto"/>
            <w:tcMar>
              <w:top w:w="100" w:type="dxa"/>
              <w:left w:w="100" w:type="dxa"/>
              <w:bottom w:w="100" w:type="dxa"/>
              <w:right w:w="100" w:type="dxa"/>
            </w:tcMar>
          </w:tcPr>
          <w:p w14:paraId="67A406FB"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p</w:t>
            </w:r>
          </w:p>
        </w:tc>
      </w:tr>
      <w:tr w:rsidR="00D404AE" w14:paraId="21D78FCF" w14:textId="77777777">
        <w:tc>
          <w:tcPr>
            <w:tcW w:w="2256" w:type="dxa"/>
            <w:shd w:val="clear" w:color="auto" w:fill="auto"/>
            <w:tcMar>
              <w:top w:w="100" w:type="dxa"/>
              <w:left w:w="100" w:type="dxa"/>
              <w:bottom w:w="100" w:type="dxa"/>
              <w:right w:w="100" w:type="dxa"/>
            </w:tcMar>
          </w:tcPr>
          <w:p w14:paraId="6E60108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 xml:space="preserve">cad_history_ntile  </w:t>
            </w:r>
          </w:p>
        </w:tc>
        <w:tc>
          <w:tcPr>
            <w:tcW w:w="2256" w:type="dxa"/>
            <w:shd w:val="clear" w:color="auto" w:fill="auto"/>
            <w:tcMar>
              <w:top w:w="100" w:type="dxa"/>
              <w:left w:w="100" w:type="dxa"/>
              <w:bottom w:w="100" w:type="dxa"/>
              <w:right w:w="100" w:type="dxa"/>
            </w:tcMar>
          </w:tcPr>
          <w:p w14:paraId="76675007"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-0.0143</w:t>
            </w:r>
          </w:p>
        </w:tc>
        <w:tc>
          <w:tcPr>
            <w:tcW w:w="2256" w:type="dxa"/>
            <w:shd w:val="clear" w:color="auto" w:fill="auto"/>
            <w:tcMar>
              <w:top w:w="100" w:type="dxa"/>
              <w:left w:w="100" w:type="dxa"/>
              <w:bottom w:w="100" w:type="dxa"/>
              <w:right w:w="100" w:type="dxa"/>
            </w:tcMar>
          </w:tcPr>
          <w:p w14:paraId="74760AE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1.440</w:t>
            </w:r>
          </w:p>
        </w:tc>
        <w:tc>
          <w:tcPr>
            <w:tcW w:w="2256" w:type="dxa"/>
            <w:shd w:val="clear" w:color="auto" w:fill="auto"/>
            <w:tcMar>
              <w:top w:w="100" w:type="dxa"/>
              <w:left w:w="100" w:type="dxa"/>
              <w:bottom w:w="100" w:type="dxa"/>
              <w:right w:w="100" w:type="dxa"/>
            </w:tcMar>
          </w:tcPr>
          <w:p w14:paraId="6F8D7BE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0.920</w:t>
            </w:r>
          </w:p>
        </w:tc>
      </w:tr>
      <w:tr w:rsidR="00D404AE" w14:paraId="528890CE" w14:textId="77777777">
        <w:tc>
          <w:tcPr>
            <w:tcW w:w="2256" w:type="dxa"/>
            <w:shd w:val="clear" w:color="auto" w:fill="auto"/>
            <w:tcMar>
              <w:top w:w="100" w:type="dxa"/>
              <w:left w:w="100" w:type="dxa"/>
              <w:bottom w:w="100" w:type="dxa"/>
              <w:right w:w="100" w:type="dxa"/>
            </w:tcMar>
          </w:tcPr>
          <w:p w14:paraId="65B4BCE8"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sex</w:t>
            </w:r>
          </w:p>
        </w:tc>
        <w:tc>
          <w:tcPr>
            <w:tcW w:w="2256" w:type="dxa"/>
            <w:shd w:val="clear" w:color="auto" w:fill="auto"/>
            <w:tcMar>
              <w:top w:w="100" w:type="dxa"/>
              <w:left w:w="100" w:type="dxa"/>
              <w:bottom w:w="100" w:type="dxa"/>
              <w:right w:w="100" w:type="dxa"/>
            </w:tcMar>
          </w:tcPr>
          <w:p w14:paraId="61BFFFC6"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-0.0005</w:t>
            </w:r>
          </w:p>
        </w:tc>
        <w:tc>
          <w:tcPr>
            <w:tcW w:w="2256" w:type="dxa"/>
            <w:shd w:val="clear" w:color="auto" w:fill="auto"/>
            <w:tcMar>
              <w:top w:w="100" w:type="dxa"/>
              <w:left w:w="100" w:type="dxa"/>
              <w:bottom w:w="100" w:type="dxa"/>
              <w:right w:w="100" w:type="dxa"/>
            </w:tcMar>
          </w:tcPr>
          <w:p w14:paraId="1DC43390"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0.190</w:t>
            </w:r>
          </w:p>
        </w:tc>
        <w:tc>
          <w:tcPr>
            <w:tcW w:w="2256" w:type="dxa"/>
            <w:shd w:val="clear" w:color="auto" w:fill="auto"/>
            <w:tcMar>
              <w:top w:w="100" w:type="dxa"/>
              <w:left w:w="100" w:type="dxa"/>
              <w:bottom w:w="100" w:type="dxa"/>
              <w:right w:w="100" w:type="dxa"/>
            </w:tcMar>
          </w:tcPr>
          <w:p w14:paraId="0AFACC9E"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0.663</w:t>
            </w:r>
          </w:p>
        </w:tc>
      </w:tr>
      <w:tr w:rsidR="00D404AE" w14:paraId="7BED9591" w14:textId="77777777">
        <w:tc>
          <w:tcPr>
            <w:tcW w:w="2256" w:type="dxa"/>
            <w:shd w:val="clear" w:color="auto" w:fill="auto"/>
            <w:tcMar>
              <w:top w:w="100" w:type="dxa"/>
              <w:left w:w="100" w:type="dxa"/>
              <w:bottom w:w="100" w:type="dxa"/>
              <w:right w:w="100" w:type="dxa"/>
            </w:tcMar>
          </w:tcPr>
          <w:p w14:paraId="5C280CA5"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PC1</w:t>
            </w:r>
          </w:p>
        </w:tc>
        <w:tc>
          <w:tcPr>
            <w:tcW w:w="2256" w:type="dxa"/>
            <w:shd w:val="clear" w:color="auto" w:fill="auto"/>
            <w:tcMar>
              <w:top w:w="100" w:type="dxa"/>
              <w:left w:w="100" w:type="dxa"/>
              <w:bottom w:w="100" w:type="dxa"/>
              <w:right w:w="100" w:type="dxa"/>
            </w:tcMar>
          </w:tcPr>
          <w:p w14:paraId="0779FFAB"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0.0171</w:t>
            </w:r>
          </w:p>
        </w:tc>
        <w:tc>
          <w:tcPr>
            <w:tcW w:w="2256" w:type="dxa"/>
            <w:shd w:val="clear" w:color="auto" w:fill="auto"/>
            <w:tcMar>
              <w:top w:w="100" w:type="dxa"/>
              <w:left w:w="100" w:type="dxa"/>
              <w:bottom w:w="100" w:type="dxa"/>
              <w:right w:w="100" w:type="dxa"/>
            </w:tcMar>
          </w:tcPr>
          <w:p w14:paraId="6E5201E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1.118</w:t>
            </w:r>
          </w:p>
        </w:tc>
        <w:tc>
          <w:tcPr>
            <w:tcW w:w="2256" w:type="dxa"/>
            <w:shd w:val="clear" w:color="auto" w:fill="auto"/>
            <w:tcMar>
              <w:top w:w="100" w:type="dxa"/>
              <w:left w:w="100" w:type="dxa"/>
              <w:bottom w:w="100" w:type="dxa"/>
              <w:right w:w="100" w:type="dxa"/>
            </w:tcMar>
          </w:tcPr>
          <w:p w14:paraId="5B2029B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0.290</w:t>
            </w:r>
          </w:p>
        </w:tc>
      </w:tr>
      <w:tr w:rsidR="00D404AE" w14:paraId="0DEDA0FF" w14:textId="77777777">
        <w:trPr>
          <w:trHeight w:val="470"/>
        </w:trPr>
        <w:tc>
          <w:tcPr>
            <w:tcW w:w="2256" w:type="dxa"/>
            <w:shd w:val="clear" w:color="auto" w:fill="auto"/>
            <w:tcMar>
              <w:top w:w="100" w:type="dxa"/>
              <w:left w:w="100" w:type="dxa"/>
              <w:bottom w:w="100" w:type="dxa"/>
              <w:right w:w="100" w:type="dxa"/>
            </w:tcMar>
          </w:tcPr>
          <w:p w14:paraId="648FC313"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PC2</w:t>
            </w:r>
          </w:p>
        </w:tc>
        <w:tc>
          <w:tcPr>
            <w:tcW w:w="2256" w:type="dxa"/>
            <w:shd w:val="clear" w:color="auto" w:fill="auto"/>
            <w:tcMar>
              <w:top w:w="100" w:type="dxa"/>
              <w:left w:w="100" w:type="dxa"/>
              <w:bottom w:w="100" w:type="dxa"/>
              <w:right w:w="100" w:type="dxa"/>
            </w:tcMar>
          </w:tcPr>
          <w:p w14:paraId="7A3BA337"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-0.0058</w:t>
            </w:r>
          </w:p>
        </w:tc>
        <w:tc>
          <w:tcPr>
            <w:tcW w:w="2256" w:type="dxa"/>
            <w:shd w:val="clear" w:color="auto" w:fill="auto"/>
            <w:tcMar>
              <w:top w:w="100" w:type="dxa"/>
              <w:left w:w="100" w:type="dxa"/>
              <w:bottom w:w="100" w:type="dxa"/>
              <w:right w:w="100" w:type="dxa"/>
            </w:tcMar>
          </w:tcPr>
          <w:p w14:paraId="5CF163B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 xml:space="preserve"> 0.833</w:t>
            </w:r>
          </w:p>
        </w:tc>
        <w:tc>
          <w:tcPr>
            <w:tcW w:w="2256" w:type="dxa"/>
            <w:shd w:val="clear" w:color="auto" w:fill="auto"/>
            <w:tcMar>
              <w:top w:w="100" w:type="dxa"/>
              <w:left w:w="100" w:type="dxa"/>
              <w:bottom w:w="100" w:type="dxa"/>
              <w:right w:w="100" w:type="dxa"/>
            </w:tcMar>
          </w:tcPr>
          <w:p w14:paraId="338B9C08"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0.361</w:t>
            </w:r>
          </w:p>
        </w:tc>
      </w:tr>
      <w:tr w:rsidR="00D404AE" w14:paraId="404D68A3" w14:textId="77777777">
        <w:tc>
          <w:tcPr>
            <w:tcW w:w="2256" w:type="dxa"/>
            <w:shd w:val="clear" w:color="auto" w:fill="auto"/>
            <w:tcMar>
              <w:top w:w="100" w:type="dxa"/>
              <w:left w:w="100" w:type="dxa"/>
              <w:bottom w:w="100" w:type="dxa"/>
              <w:right w:w="100" w:type="dxa"/>
            </w:tcMar>
          </w:tcPr>
          <w:p w14:paraId="7046120D"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PC3</w:t>
            </w:r>
          </w:p>
        </w:tc>
        <w:tc>
          <w:tcPr>
            <w:tcW w:w="2256" w:type="dxa"/>
            <w:shd w:val="clear" w:color="auto" w:fill="auto"/>
            <w:tcMar>
              <w:top w:w="100" w:type="dxa"/>
              <w:left w:w="100" w:type="dxa"/>
              <w:bottom w:w="100" w:type="dxa"/>
              <w:right w:w="100" w:type="dxa"/>
            </w:tcMar>
          </w:tcPr>
          <w:p w14:paraId="4B2F7E80"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0.0182</w:t>
            </w:r>
          </w:p>
        </w:tc>
        <w:tc>
          <w:tcPr>
            <w:tcW w:w="2256" w:type="dxa"/>
            <w:shd w:val="clear" w:color="auto" w:fill="auto"/>
            <w:tcMar>
              <w:top w:w="100" w:type="dxa"/>
              <w:left w:w="100" w:type="dxa"/>
              <w:bottom w:w="100" w:type="dxa"/>
              <w:right w:w="100" w:type="dxa"/>
            </w:tcMar>
          </w:tcPr>
          <w:p w14:paraId="7814BF0D"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5.049</w:t>
            </w:r>
          </w:p>
        </w:tc>
        <w:tc>
          <w:tcPr>
            <w:tcW w:w="2256" w:type="dxa"/>
            <w:shd w:val="clear" w:color="auto" w:fill="auto"/>
            <w:tcMar>
              <w:top w:w="100" w:type="dxa"/>
              <w:left w:w="100" w:type="dxa"/>
              <w:bottom w:w="100" w:type="dxa"/>
              <w:right w:w="100" w:type="dxa"/>
            </w:tcMar>
          </w:tcPr>
          <w:p w14:paraId="4EF24BA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0.025</w:t>
            </w:r>
          </w:p>
        </w:tc>
      </w:tr>
      <w:tr w:rsidR="00D404AE" w14:paraId="686716EE" w14:textId="77777777">
        <w:tc>
          <w:tcPr>
            <w:tcW w:w="2256" w:type="dxa"/>
            <w:shd w:val="clear" w:color="auto" w:fill="auto"/>
            <w:tcMar>
              <w:top w:w="100" w:type="dxa"/>
              <w:left w:w="100" w:type="dxa"/>
              <w:bottom w:w="100" w:type="dxa"/>
              <w:right w:w="100" w:type="dxa"/>
            </w:tcMar>
          </w:tcPr>
          <w:p w14:paraId="74B411AC"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PC4</w:t>
            </w:r>
          </w:p>
        </w:tc>
        <w:tc>
          <w:tcPr>
            <w:tcW w:w="2256" w:type="dxa"/>
            <w:shd w:val="clear" w:color="auto" w:fill="auto"/>
            <w:tcMar>
              <w:top w:w="100" w:type="dxa"/>
              <w:left w:w="100" w:type="dxa"/>
              <w:bottom w:w="100" w:type="dxa"/>
              <w:right w:w="100" w:type="dxa"/>
            </w:tcMar>
          </w:tcPr>
          <w:p w14:paraId="3B16F93B"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-0.0106</w:t>
            </w:r>
          </w:p>
        </w:tc>
        <w:tc>
          <w:tcPr>
            <w:tcW w:w="2256" w:type="dxa"/>
            <w:shd w:val="clear" w:color="auto" w:fill="auto"/>
            <w:tcMar>
              <w:top w:w="100" w:type="dxa"/>
              <w:left w:w="100" w:type="dxa"/>
              <w:bottom w:w="100" w:type="dxa"/>
              <w:right w:w="100" w:type="dxa"/>
            </w:tcMar>
          </w:tcPr>
          <w:p w14:paraId="7B642F1C"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4.674</w:t>
            </w:r>
          </w:p>
        </w:tc>
        <w:tc>
          <w:tcPr>
            <w:tcW w:w="2256" w:type="dxa"/>
            <w:shd w:val="clear" w:color="auto" w:fill="auto"/>
            <w:tcMar>
              <w:top w:w="100" w:type="dxa"/>
              <w:left w:w="100" w:type="dxa"/>
              <w:bottom w:w="100" w:type="dxa"/>
              <w:right w:w="100" w:type="dxa"/>
            </w:tcMar>
          </w:tcPr>
          <w:p w14:paraId="4D704DD7"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0.031</w:t>
            </w:r>
          </w:p>
        </w:tc>
      </w:tr>
      <w:tr w:rsidR="00D404AE" w14:paraId="5330A013" w14:textId="77777777">
        <w:tc>
          <w:tcPr>
            <w:tcW w:w="2256" w:type="dxa"/>
            <w:shd w:val="clear" w:color="auto" w:fill="auto"/>
            <w:tcMar>
              <w:top w:w="100" w:type="dxa"/>
              <w:left w:w="100" w:type="dxa"/>
              <w:bottom w:w="100" w:type="dxa"/>
              <w:right w:w="100" w:type="dxa"/>
            </w:tcMar>
          </w:tcPr>
          <w:p w14:paraId="55E7A2E5"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GLOBAL</w:t>
            </w:r>
          </w:p>
        </w:tc>
        <w:tc>
          <w:tcPr>
            <w:tcW w:w="2256" w:type="dxa"/>
            <w:shd w:val="clear" w:color="auto" w:fill="auto"/>
            <w:tcMar>
              <w:top w:w="100" w:type="dxa"/>
              <w:left w:w="100" w:type="dxa"/>
              <w:bottom w:w="100" w:type="dxa"/>
              <w:right w:w="100" w:type="dxa"/>
            </w:tcMar>
          </w:tcPr>
          <w:p w14:paraId="3260FD64"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0.0210</w:t>
            </w:r>
          </w:p>
        </w:tc>
        <w:tc>
          <w:tcPr>
            <w:tcW w:w="2256" w:type="dxa"/>
            <w:shd w:val="clear" w:color="auto" w:fill="auto"/>
            <w:tcMar>
              <w:top w:w="100" w:type="dxa"/>
              <w:left w:w="100" w:type="dxa"/>
              <w:bottom w:w="100" w:type="dxa"/>
              <w:right w:w="100" w:type="dxa"/>
            </w:tcMar>
          </w:tcPr>
          <w:p w14:paraId="4DE5A2C5"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11.575</w:t>
            </w:r>
          </w:p>
        </w:tc>
        <w:tc>
          <w:tcPr>
            <w:tcW w:w="2256" w:type="dxa"/>
            <w:shd w:val="clear" w:color="auto" w:fill="auto"/>
            <w:tcMar>
              <w:top w:w="100" w:type="dxa"/>
              <w:left w:w="100" w:type="dxa"/>
              <w:bottom w:w="100" w:type="dxa"/>
              <w:right w:w="100" w:type="dxa"/>
            </w:tcMar>
          </w:tcPr>
          <w:p w14:paraId="7DA2374E"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 xml:space="preserve"> 0.315</w:t>
            </w:r>
          </w:p>
        </w:tc>
      </w:tr>
      <w:tr w:rsidR="00D404AE" w14:paraId="5B9694B2" w14:textId="77777777">
        <w:trPr>
          <w:trHeight w:val="420"/>
        </w:trPr>
        <w:tc>
          <w:tcPr>
            <w:tcW w:w="9024" w:type="dxa"/>
            <w:gridSpan w:val="4"/>
            <w:shd w:val="clear" w:color="auto" w:fill="auto"/>
            <w:tcMar>
              <w:top w:w="100" w:type="dxa"/>
              <w:left w:w="100" w:type="dxa"/>
              <w:bottom w:w="100" w:type="dxa"/>
              <w:right w:w="100" w:type="dxa"/>
            </w:tcMar>
          </w:tcPr>
          <w:p w14:paraId="0B79D2BF" w14:textId="77777777" w:rsidR="00D404AE" w:rsidRDefault="00000000">
            <w:pPr>
              <w:spacing w:line="276" w:lineRule="auto"/>
              <w:jc w:val="center"/>
              <w:rPr>
                <w:rFonts w:ascii="Arial" w:eastAsia="Arial" w:hAnsi="Arial" w:cs="Arial"/>
                <w:sz w:val="22"/>
                <w:szCs w:val="22"/>
              </w:rPr>
            </w:pPr>
            <w:r>
              <w:rPr>
                <w:rFonts w:ascii="Arial" w:eastAsia="Arial" w:hAnsi="Arial" w:cs="Arial"/>
                <w:b/>
                <w:sz w:val="22"/>
                <w:szCs w:val="22"/>
              </w:rPr>
              <w:t>Type 2 Diabetes (T2D)</w:t>
            </w:r>
          </w:p>
        </w:tc>
      </w:tr>
      <w:tr w:rsidR="00D404AE" w14:paraId="2AA8FCCD" w14:textId="77777777">
        <w:tc>
          <w:tcPr>
            <w:tcW w:w="2256" w:type="dxa"/>
            <w:shd w:val="clear" w:color="auto" w:fill="auto"/>
            <w:tcMar>
              <w:top w:w="100" w:type="dxa"/>
              <w:left w:w="100" w:type="dxa"/>
              <w:bottom w:w="100" w:type="dxa"/>
              <w:right w:w="100" w:type="dxa"/>
            </w:tcMar>
          </w:tcPr>
          <w:p w14:paraId="3AD34A0E" w14:textId="77777777" w:rsidR="00D404AE" w:rsidRDefault="00000000">
            <w:pPr>
              <w:widowControl w:val="0"/>
              <w:rPr>
                <w:rFonts w:ascii="Arial" w:eastAsia="Arial" w:hAnsi="Arial" w:cs="Arial"/>
                <w:sz w:val="22"/>
                <w:szCs w:val="22"/>
              </w:rPr>
            </w:pPr>
            <w:r>
              <w:rPr>
                <w:rFonts w:ascii="Arial" w:eastAsia="Arial" w:hAnsi="Arial" w:cs="Arial"/>
                <w:sz w:val="22"/>
                <w:szCs w:val="22"/>
              </w:rPr>
              <w:t>Model</w:t>
            </w:r>
          </w:p>
        </w:tc>
        <w:tc>
          <w:tcPr>
            <w:tcW w:w="2256" w:type="dxa"/>
            <w:shd w:val="clear" w:color="auto" w:fill="auto"/>
            <w:tcMar>
              <w:top w:w="100" w:type="dxa"/>
              <w:left w:w="100" w:type="dxa"/>
              <w:bottom w:w="100" w:type="dxa"/>
              <w:right w:w="100" w:type="dxa"/>
            </w:tcMar>
          </w:tcPr>
          <w:p w14:paraId="56CCC94F"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 xml:space="preserve">rho </w:t>
            </w:r>
          </w:p>
        </w:tc>
        <w:tc>
          <w:tcPr>
            <w:tcW w:w="2256" w:type="dxa"/>
            <w:shd w:val="clear" w:color="auto" w:fill="auto"/>
            <w:tcMar>
              <w:top w:w="100" w:type="dxa"/>
              <w:left w:w="100" w:type="dxa"/>
              <w:bottom w:w="100" w:type="dxa"/>
              <w:right w:w="100" w:type="dxa"/>
            </w:tcMar>
          </w:tcPr>
          <w:p w14:paraId="0953CDD2"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chisq</w:t>
            </w:r>
          </w:p>
        </w:tc>
        <w:tc>
          <w:tcPr>
            <w:tcW w:w="2256" w:type="dxa"/>
            <w:shd w:val="clear" w:color="auto" w:fill="auto"/>
            <w:tcMar>
              <w:top w:w="100" w:type="dxa"/>
              <w:left w:w="100" w:type="dxa"/>
              <w:bottom w:w="100" w:type="dxa"/>
              <w:right w:w="100" w:type="dxa"/>
            </w:tcMar>
          </w:tcPr>
          <w:p w14:paraId="6F0B96E7"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p</w:t>
            </w:r>
          </w:p>
        </w:tc>
      </w:tr>
      <w:tr w:rsidR="00D404AE" w14:paraId="584B5A54" w14:textId="77777777">
        <w:tc>
          <w:tcPr>
            <w:tcW w:w="2256" w:type="dxa"/>
            <w:shd w:val="clear" w:color="auto" w:fill="auto"/>
            <w:tcMar>
              <w:top w:w="100" w:type="dxa"/>
              <w:left w:w="100" w:type="dxa"/>
              <w:bottom w:w="100" w:type="dxa"/>
              <w:right w:w="100" w:type="dxa"/>
            </w:tcMar>
          </w:tcPr>
          <w:p w14:paraId="2FF71911"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 xml:space="preserve">T2D_history_ntile  </w:t>
            </w:r>
          </w:p>
        </w:tc>
        <w:tc>
          <w:tcPr>
            <w:tcW w:w="2256" w:type="dxa"/>
            <w:shd w:val="clear" w:color="auto" w:fill="auto"/>
            <w:tcMar>
              <w:top w:w="100" w:type="dxa"/>
              <w:left w:w="100" w:type="dxa"/>
              <w:bottom w:w="100" w:type="dxa"/>
              <w:right w:w="100" w:type="dxa"/>
            </w:tcMar>
          </w:tcPr>
          <w:p w14:paraId="35897DCA"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-0.0104</w:t>
            </w:r>
          </w:p>
        </w:tc>
        <w:tc>
          <w:tcPr>
            <w:tcW w:w="2256" w:type="dxa"/>
            <w:shd w:val="clear" w:color="auto" w:fill="auto"/>
            <w:tcMar>
              <w:top w:w="100" w:type="dxa"/>
              <w:left w:w="100" w:type="dxa"/>
              <w:bottom w:w="100" w:type="dxa"/>
              <w:right w:w="100" w:type="dxa"/>
            </w:tcMar>
          </w:tcPr>
          <w:p w14:paraId="76AB7556"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1.682</w:t>
            </w:r>
          </w:p>
        </w:tc>
        <w:tc>
          <w:tcPr>
            <w:tcW w:w="2256" w:type="dxa"/>
            <w:shd w:val="clear" w:color="auto" w:fill="auto"/>
            <w:tcMar>
              <w:top w:w="100" w:type="dxa"/>
              <w:left w:w="100" w:type="dxa"/>
              <w:bottom w:w="100" w:type="dxa"/>
              <w:right w:w="100" w:type="dxa"/>
            </w:tcMar>
          </w:tcPr>
          <w:p w14:paraId="2AC164F8"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0.89</w:t>
            </w:r>
          </w:p>
        </w:tc>
      </w:tr>
      <w:tr w:rsidR="00D404AE" w14:paraId="6FEA3E45" w14:textId="77777777">
        <w:tc>
          <w:tcPr>
            <w:tcW w:w="2256" w:type="dxa"/>
            <w:shd w:val="clear" w:color="auto" w:fill="auto"/>
            <w:tcMar>
              <w:top w:w="100" w:type="dxa"/>
              <w:left w:w="100" w:type="dxa"/>
              <w:bottom w:w="100" w:type="dxa"/>
              <w:right w:w="100" w:type="dxa"/>
            </w:tcMar>
          </w:tcPr>
          <w:p w14:paraId="5DD5395B"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sex</w:t>
            </w:r>
          </w:p>
        </w:tc>
        <w:tc>
          <w:tcPr>
            <w:tcW w:w="2256" w:type="dxa"/>
            <w:shd w:val="clear" w:color="auto" w:fill="auto"/>
            <w:tcMar>
              <w:top w:w="100" w:type="dxa"/>
              <w:left w:w="100" w:type="dxa"/>
              <w:bottom w:w="100" w:type="dxa"/>
              <w:right w:w="100" w:type="dxa"/>
            </w:tcMar>
          </w:tcPr>
          <w:p w14:paraId="58064707" w14:textId="77777777" w:rsidR="00D404AE" w:rsidRDefault="00000000">
            <w:pPr>
              <w:widowControl w:val="0"/>
              <w:jc w:val="center"/>
              <w:rPr>
                <w:rFonts w:ascii="Arial" w:eastAsia="Arial" w:hAnsi="Arial" w:cs="Arial"/>
                <w:sz w:val="22"/>
                <w:szCs w:val="22"/>
              </w:rPr>
            </w:pPr>
            <w:r>
              <w:rPr>
                <w:rFonts w:ascii="Arial" w:eastAsia="Arial" w:hAnsi="Arial" w:cs="Arial"/>
                <w:sz w:val="22"/>
                <w:szCs w:val="22"/>
              </w:rPr>
              <w:t>-0.0126</w:t>
            </w:r>
          </w:p>
        </w:tc>
        <w:tc>
          <w:tcPr>
            <w:tcW w:w="2256" w:type="dxa"/>
            <w:shd w:val="clear" w:color="auto" w:fill="auto"/>
            <w:tcMar>
              <w:top w:w="100" w:type="dxa"/>
              <w:left w:w="100" w:type="dxa"/>
              <w:bottom w:w="100" w:type="dxa"/>
              <w:right w:w="100" w:type="dxa"/>
            </w:tcMar>
          </w:tcPr>
          <w:p w14:paraId="03DFB1C3"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0.585</w:t>
            </w:r>
          </w:p>
        </w:tc>
        <w:tc>
          <w:tcPr>
            <w:tcW w:w="2256" w:type="dxa"/>
            <w:shd w:val="clear" w:color="auto" w:fill="auto"/>
            <w:tcMar>
              <w:top w:w="100" w:type="dxa"/>
              <w:left w:w="100" w:type="dxa"/>
              <w:bottom w:w="100" w:type="dxa"/>
              <w:right w:w="100" w:type="dxa"/>
            </w:tcMar>
          </w:tcPr>
          <w:p w14:paraId="37B32DA1"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0.44</w:t>
            </w:r>
          </w:p>
        </w:tc>
      </w:tr>
      <w:tr w:rsidR="00D404AE" w14:paraId="10A1A944" w14:textId="77777777">
        <w:tc>
          <w:tcPr>
            <w:tcW w:w="2256" w:type="dxa"/>
            <w:shd w:val="clear" w:color="auto" w:fill="auto"/>
            <w:tcMar>
              <w:top w:w="100" w:type="dxa"/>
              <w:left w:w="100" w:type="dxa"/>
              <w:bottom w:w="100" w:type="dxa"/>
              <w:right w:w="100" w:type="dxa"/>
            </w:tcMar>
          </w:tcPr>
          <w:p w14:paraId="0863D388"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PC1</w:t>
            </w:r>
          </w:p>
        </w:tc>
        <w:tc>
          <w:tcPr>
            <w:tcW w:w="2256" w:type="dxa"/>
            <w:shd w:val="clear" w:color="auto" w:fill="auto"/>
            <w:tcMar>
              <w:top w:w="100" w:type="dxa"/>
              <w:left w:w="100" w:type="dxa"/>
              <w:bottom w:w="100" w:type="dxa"/>
              <w:right w:w="100" w:type="dxa"/>
            </w:tcMar>
          </w:tcPr>
          <w:p w14:paraId="78B6C29F" w14:textId="77777777" w:rsidR="00D404AE" w:rsidRDefault="00000000">
            <w:pPr>
              <w:widowControl w:val="0"/>
              <w:jc w:val="center"/>
              <w:rPr>
                <w:rFonts w:ascii="Arial" w:eastAsia="Arial" w:hAnsi="Arial" w:cs="Arial"/>
                <w:sz w:val="22"/>
                <w:szCs w:val="22"/>
              </w:rPr>
            </w:pPr>
            <w:r>
              <w:rPr>
                <w:rFonts w:ascii="Arial" w:eastAsia="Arial" w:hAnsi="Arial" w:cs="Arial"/>
                <w:sz w:val="22"/>
                <w:szCs w:val="22"/>
              </w:rPr>
              <w:t>-0.0096</w:t>
            </w:r>
          </w:p>
        </w:tc>
        <w:tc>
          <w:tcPr>
            <w:tcW w:w="2256" w:type="dxa"/>
            <w:shd w:val="clear" w:color="auto" w:fill="auto"/>
            <w:tcMar>
              <w:top w:w="100" w:type="dxa"/>
              <w:left w:w="100" w:type="dxa"/>
              <w:bottom w:w="100" w:type="dxa"/>
              <w:right w:w="100" w:type="dxa"/>
            </w:tcMar>
          </w:tcPr>
          <w:p w14:paraId="16555323"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0.115</w:t>
            </w:r>
          </w:p>
        </w:tc>
        <w:tc>
          <w:tcPr>
            <w:tcW w:w="2256" w:type="dxa"/>
            <w:shd w:val="clear" w:color="auto" w:fill="auto"/>
            <w:tcMar>
              <w:top w:w="100" w:type="dxa"/>
              <w:left w:w="100" w:type="dxa"/>
              <w:bottom w:w="100" w:type="dxa"/>
              <w:right w:w="100" w:type="dxa"/>
            </w:tcMar>
          </w:tcPr>
          <w:p w14:paraId="6263257A"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 xml:space="preserve"> 0.74</w:t>
            </w:r>
          </w:p>
        </w:tc>
      </w:tr>
      <w:tr w:rsidR="00D404AE" w14:paraId="47B8675D" w14:textId="77777777">
        <w:tc>
          <w:tcPr>
            <w:tcW w:w="2256" w:type="dxa"/>
            <w:shd w:val="clear" w:color="auto" w:fill="auto"/>
            <w:tcMar>
              <w:top w:w="100" w:type="dxa"/>
              <w:left w:w="100" w:type="dxa"/>
              <w:bottom w:w="100" w:type="dxa"/>
              <w:right w:w="100" w:type="dxa"/>
            </w:tcMar>
          </w:tcPr>
          <w:p w14:paraId="24E7576B"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PC2</w:t>
            </w:r>
          </w:p>
        </w:tc>
        <w:tc>
          <w:tcPr>
            <w:tcW w:w="2256" w:type="dxa"/>
            <w:shd w:val="clear" w:color="auto" w:fill="auto"/>
            <w:tcMar>
              <w:top w:w="100" w:type="dxa"/>
              <w:left w:w="100" w:type="dxa"/>
              <w:bottom w:w="100" w:type="dxa"/>
              <w:right w:w="100" w:type="dxa"/>
            </w:tcMar>
          </w:tcPr>
          <w:p w14:paraId="5A1162CF" w14:textId="77777777" w:rsidR="00D404AE" w:rsidRDefault="00000000">
            <w:pPr>
              <w:widowControl w:val="0"/>
              <w:jc w:val="center"/>
              <w:rPr>
                <w:rFonts w:ascii="Arial" w:eastAsia="Arial" w:hAnsi="Arial" w:cs="Arial"/>
                <w:sz w:val="22"/>
                <w:szCs w:val="22"/>
              </w:rPr>
            </w:pPr>
            <w:r>
              <w:rPr>
                <w:rFonts w:ascii="Arial" w:eastAsia="Arial" w:hAnsi="Arial" w:cs="Arial"/>
                <w:sz w:val="22"/>
                <w:szCs w:val="22"/>
              </w:rPr>
              <w:t>-0.0303</w:t>
            </w:r>
          </w:p>
        </w:tc>
        <w:tc>
          <w:tcPr>
            <w:tcW w:w="2256" w:type="dxa"/>
            <w:shd w:val="clear" w:color="auto" w:fill="auto"/>
            <w:tcMar>
              <w:top w:w="100" w:type="dxa"/>
              <w:left w:w="100" w:type="dxa"/>
              <w:bottom w:w="100" w:type="dxa"/>
              <w:right w:w="100" w:type="dxa"/>
            </w:tcMar>
          </w:tcPr>
          <w:p w14:paraId="68088F37"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 xml:space="preserve"> 0.103</w:t>
            </w:r>
          </w:p>
        </w:tc>
        <w:tc>
          <w:tcPr>
            <w:tcW w:w="2256" w:type="dxa"/>
            <w:shd w:val="clear" w:color="auto" w:fill="auto"/>
            <w:tcMar>
              <w:top w:w="100" w:type="dxa"/>
              <w:left w:w="100" w:type="dxa"/>
              <w:bottom w:w="100" w:type="dxa"/>
              <w:right w:w="100" w:type="dxa"/>
            </w:tcMar>
          </w:tcPr>
          <w:p w14:paraId="2B6B2007"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0.75</w:t>
            </w:r>
          </w:p>
        </w:tc>
      </w:tr>
      <w:tr w:rsidR="00D404AE" w14:paraId="691C228A" w14:textId="77777777">
        <w:tc>
          <w:tcPr>
            <w:tcW w:w="2256" w:type="dxa"/>
            <w:shd w:val="clear" w:color="auto" w:fill="auto"/>
            <w:tcMar>
              <w:top w:w="100" w:type="dxa"/>
              <w:left w:w="100" w:type="dxa"/>
              <w:bottom w:w="100" w:type="dxa"/>
              <w:right w:w="100" w:type="dxa"/>
            </w:tcMar>
          </w:tcPr>
          <w:p w14:paraId="086224D1"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PC3</w:t>
            </w:r>
          </w:p>
        </w:tc>
        <w:tc>
          <w:tcPr>
            <w:tcW w:w="2256" w:type="dxa"/>
            <w:shd w:val="clear" w:color="auto" w:fill="auto"/>
            <w:tcMar>
              <w:top w:w="100" w:type="dxa"/>
              <w:left w:w="100" w:type="dxa"/>
              <w:bottom w:w="100" w:type="dxa"/>
              <w:right w:w="100" w:type="dxa"/>
            </w:tcMar>
          </w:tcPr>
          <w:p w14:paraId="382B2B16" w14:textId="77777777" w:rsidR="00D404AE" w:rsidRDefault="00000000">
            <w:pPr>
              <w:widowControl w:val="0"/>
              <w:jc w:val="center"/>
              <w:rPr>
                <w:rFonts w:ascii="Arial" w:eastAsia="Arial" w:hAnsi="Arial" w:cs="Arial"/>
                <w:sz w:val="22"/>
                <w:szCs w:val="22"/>
              </w:rPr>
            </w:pPr>
            <w:r>
              <w:rPr>
                <w:rFonts w:ascii="Arial" w:eastAsia="Arial" w:hAnsi="Arial" w:cs="Arial"/>
                <w:sz w:val="22"/>
                <w:szCs w:val="22"/>
              </w:rPr>
              <w:t>-0.0039</w:t>
            </w:r>
          </w:p>
        </w:tc>
        <w:tc>
          <w:tcPr>
            <w:tcW w:w="2256" w:type="dxa"/>
            <w:shd w:val="clear" w:color="auto" w:fill="auto"/>
            <w:tcMar>
              <w:top w:w="100" w:type="dxa"/>
              <w:left w:w="100" w:type="dxa"/>
              <w:bottom w:w="100" w:type="dxa"/>
              <w:right w:w="100" w:type="dxa"/>
            </w:tcMar>
          </w:tcPr>
          <w:p w14:paraId="6B20B791"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1.428</w:t>
            </w:r>
          </w:p>
        </w:tc>
        <w:tc>
          <w:tcPr>
            <w:tcW w:w="2256" w:type="dxa"/>
            <w:shd w:val="clear" w:color="auto" w:fill="auto"/>
            <w:tcMar>
              <w:top w:w="100" w:type="dxa"/>
              <w:left w:w="100" w:type="dxa"/>
              <w:bottom w:w="100" w:type="dxa"/>
              <w:right w:w="100" w:type="dxa"/>
            </w:tcMar>
          </w:tcPr>
          <w:p w14:paraId="612F27F1"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0.23</w:t>
            </w:r>
          </w:p>
        </w:tc>
      </w:tr>
      <w:tr w:rsidR="00D404AE" w14:paraId="18B42B70" w14:textId="77777777">
        <w:tc>
          <w:tcPr>
            <w:tcW w:w="2256" w:type="dxa"/>
            <w:shd w:val="clear" w:color="auto" w:fill="auto"/>
            <w:tcMar>
              <w:top w:w="100" w:type="dxa"/>
              <w:left w:w="100" w:type="dxa"/>
              <w:bottom w:w="100" w:type="dxa"/>
              <w:right w:w="100" w:type="dxa"/>
            </w:tcMar>
          </w:tcPr>
          <w:p w14:paraId="7765E7BD"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PC4</w:t>
            </w:r>
          </w:p>
        </w:tc>
        <w:tc>
          <w:tcPr>
            <w:tcW w:w="2256" w:type="dxa"/>
            <w:shd w:val="clear" w:color="auto" w:fill="auto"/>
            <w:tcMar>
              <w:top w:w="100" w:type="dxa"/>
              <w:left w:w="100" w:type="dxa"/>
              <w:bottom w:w="100" w:type="dxa"/>
              <w:right w:w="100" w:type="dxa"/>
            </w:tcMar>
          </w:tcPr>
          <w:p w14:paraId="1B78352C" w14:textId="77777777" w:rsidR="00D404AE" w:rsidRDefault="00000000">
            <w:pPr>
              <w:widowControl w:val="0"/>
              <w:jc w:val="center"/>
              <w:rPr>
                <w:rFonts w:ascii="Arial" w:eastAsia="Arial" w:hAnsi="Arial" w:cs="Arial"/>
                <w:sz w:val="22"/>
                <w:szCs w:val="22"/>
              </w:rPr>
            </w:pPr>
            <w:r>
              <w:rPr>
                <w:rFonts w:ascii="Arial" w:eastAsia="Arial" w:hAnsi="Arial" w:cs="Arial"/>
                <w:sz w:val="22"/>
                <w:szCs w:val="22"/>
              </w:rPr>
              <w:t>0.0186</w:t>
            </w:r>
          </w:p>
        </w:tc>
        <w:tc>
          <w:tcPr>
            <w:tcW w:w="2256" w:type="dxa"/>
            <w:shd w:val="clear" w:color="auto" w:fill="auto"/>
            <w:tcMar>
              <w:top w:w="100" w:type="dxa"/>
              <w:left w:w="100" w:type="dxa"/>
              <w:bottom w:w="100" w:type="dxa"/>
              <w:right w:w="100" w:type="dxa"/>
            </w:tcMar>
          </w:tcPr>
          <w:p w14:paraId="6D9CA808"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1.541</w:t>
            </w:r>
          </w:p>
        </w:tc>
        <w:tc>
          <w:tcPr>
            <w:tcW w:w="2256" w:type="dxa"/>
            <w:shd w:val="clear" w:color="auto" w:fill="auto"/>
            <w:tcMar>
              <w:top w:w="100" w:type="dxa"/>
              <w:left w:w="100" w:type="dxa"/>
              <w:bottom w:w="100" w:type="dxa"/>
              <w:right w:w="100" w:type="dxa"/>
            </w:tcMar>
          </w:tcPr>
          <w:p w14:paraId="2DE72CF3"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0.21</w:t>
            </w:r>
          </w:p>
        </w:tc>
      </w:tr>
      <w:tr w:rsidR="00D404AE" w14:paraId="3F75369A" w14:textId="77777777">
        <w:tc>
          <w:tcPr>
            <w:tcW w:w="2256" w:type="dxa"/>
            <w:shd w:val="clear" w:color="auto" w:fill="auto"/>
            <w:tcMar>
              <w:top w:w="100" w:type="dxa"/>
              <w:left w:w="100" w:type="dxa"/>
              <w:bottom w:w="100" w:type="dxa"/>
              <w:right w:w="100" w:type="dxa"/>
            </w:tcMar>
          </w:tcPr>
          <w:p w14:paraId="52F33443"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Arial" w:hAnsi="Arial" w:cs="Arial"/>
                <w:sz w:val="22"/>
                <w:szCs w:val="22"/>
              </w:rPr>
            </w:pPr>
            <w:r>
              <w:rPr>
                <w:rFonts w:ascii="Arial" w:eastAsia="Arial" w:hAnsi="Arial" w:cs="Arial"/>
                <w:sz w:val="22"/>
                <w:szCs w:val="22"/>
              </w:rPr>
              <w:t>GLOBAL</w:t>
            </w:r>
          </w:p>
        </w:tc>
        <w:tc>
          <w:tcPr>
            <w:tcW w:w="2256" w:type="dxa"/>
            <w:shd w:val="clear" w:color="auto" w:fill="auto"/>
            <w:tcMar>
              <w:top w:w="100" w:type="dxa"/>
              <w:left w:w="100" w:type="dxa"/>
              <w:bottom w:w="100" w:type="dxa"/>
              <w:right w:w="100" w:type="dxa"/>
            </w:tcMar>
          </w:tcPr>
          <w:p w14:paraId="5728E09B" w14:textId="77777777" w:rsidR="00D404AE" w:rsidRDefault="00000000">
            <w:pPr>
              <w:widowControl w:val="0"/>
              <w:jc w:val="center"/>
              <w:rPr>
                <w:rFonts w:ascii="Arial" w:eastAsia="Arial" w:hAnsi="Arial" w:cs="Arial"/>
                <w:sz w:val="22"/>
                <w:szCs w:val="22"/>
              </w:rPr>
            </w:pPr>
            <w:r>
              <w:rPr>
                <w:rFonts w:ascii="Arial" w:eastAsia="Arial" w:hAnsi="Arial" w:cs="Arial"/>
                <w:sz w:val="22"/>
                <w:szCs w:val="22"/>
              </w:rPr>
              <w:t>0.0003</w:t>
            </w:r>
          </w:p>
        </w:tc>
        <w:tc>
          <w:tcPr>
            <w:tcW w:w="2256" w:type="dxa"/>
            <w:shd w:val="clear" w:color="auto" w:fill="auto"/>
            <w:tcMar>
              <w:top w:w="100" w:type="dxa"/>
              <w:left w:w="100" w:type="dxa"/>
              <w:bottom w:w="100" w:type="dxa"/>
              <w:right w:w="100" w:type="dxa"/>
            </w:tcMar>
          </w:tcPr>
          <w:p w14:paraId="563D7439"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13.605</w:t>
            </w:r>
          </w:p>
        </w:tc>
        <w:tc>
          <w:tcPr>
            <w:tcW w:w="2256" w:type="dxa"/>
            <w:shd w:val="clear" w:color="auto" w:fill="auto"/>
            <w:tcMar>
              <w:top w:w="100" w:type="dxa"/>
              <w:left w:w="100" w:type="dxa"/>
              <w:bottom w:w="100" w:type="dxa"/>
              <w:right w:w="100" w:type="dxa"/>
            </w:tcMar>
          </w:tcPr>
          <w:p w14:paraId="0EA0875A" w14:textId="77777777" w:rsidR="00D404A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eastAsia="Arial" w:hAnsi="Arial" w:cs="Arial"/>
                <w:sz w:val="22"/>
                <w:szCs w:val="22"/>
              </w:rPr>
            </w:pPr>
            <w:r>
              <w:rPr>
                <w:rFonts w:ascii="Arial" w:eastAsia="Arial" w:hAnsi="Arial" w:cs="Arial"/>
                <w:sz w:val="22"/>
                <w:szCs w:val="22"/>
              </w:rPr>
              <w:t xml:space="preserve"> 0.19</w:t>
            </w:r>
          </w:p>
        </w:tc>
      </w:tr>
    </w:tbl>
    <w:p w14:paraId="0EBC808C" w14:textId="77777777" w:rsidR="00D404AE" w:rsidRDefault="00D404AE">
      <w:pPr>
        <w:spacing w:line="276" w:lineRule="auto"/>
        <w:rPr>
          <w:rFonts w:ascii="Arial" w:eastAsia="Arial" w:hAnsi="Arial" w:cs="Arial"/>
          <w:b/>
          <w:i/>
          <w:sz w:val="22"/>
          <w:szCs w:val="22"/>
        </w:rPr>
      </w:pPr>
    </w:p>
    <w:p w14:paraId="70635AE2" w14:textId="77777777" w:rsidR="000E32BD" w:rsidRDefault="00000000">
      <w:pPr>
        <w:keepNext/>
        <w:spacing w:after="200" w:line="360" w:lineRule="auto"/>
        <w:jc w:val="both"/>
        <w:rPr>
          <w:rFonts w:ascii="Arial" w:eastAsia="Arial" w:hAnsi="Arial" w:cs="Arial"/>
          <w:b/>
          <w:i/>
          <w:sz w:val="22"/>
          <w:szCs w:val="22"/>
        </w:rPr>
      </w:pPr>
      <w:r>
        <w:rPr>
          <w:rFonts w:ascii="Arial" w:eastAsia="Arial" w:hAnsi="Arial" w:cs="Arial"/>
          <w:b/>
          <w:i/>
          <w:sz w:val="22"/>
          <w:szCs w:val="22"/>
        </w:rPr>
        <w:t>Supplementary Table 1: Proportional hazard assumption for all the variables used in the model for both Coronary artery disease (CAD), Type 2 Diabetes (T2D).</w:t>
      </w:r>
    </w:p>
    <w:p w14:paraId="709C4316" w14:textId="69A63672" w:rsidR="00D404AE" w:rsidRPr="000E32BD" w:rsidRDefault="00000000">
      <w:pPr>
        <w:keepNext/>
        <w:spacing w:after="200" w:line="360" w:lineRule="auto"/>
        <w:jc w:val="both"/>
        <w:rPr>
          <w:rFonts w:ascii="Arial" w:eastAsia="Arial" w:hAnsi="Arial" w:cs="Arial"/>
          <w:bCs/>
          <w:i/>
          <w:sz w:val="21"/>
          <w:szCs w:val="21"/>
        </w:rPr>
      </w:pPr>
      <w:r w:rsidRPr="000E32BD">
        <w:rPr>
          <w:rFonts w:ascii="Arial" w:eastAsia="Arial" w:hAnsi="Arial" w:cs="Arial"/>
          <w:bCs/>
          <w:i/>
          <w:sz w:val="21"/>
          <w:szCs w:val="21"/>
        </w:rPr>
        <w:t>CAD_history_ntile and T2D_history_ntile represent the variable derived by combining the category of aPRS (Low, Intermediate and high) and Family History (FH) (Positive or Negative) for CAD and T2D respectively.</w:t>
      </w:r>
    </w:p>
    <w:sectPr w:rsidR="00D404AE" w:rsidRPr="000E32B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4AE"/>
    <w:rsid w:val="000E32BD"/>
    <w:rsid w:val="00B44A72"/>
    <w:rsid w:val="00D404AE"/>
    <w:rsid w:val="00EA0C1A"/>
  </w:rsids>
  <m:mathPr>
    <m:mathFont m:val="Cambria Math"/>
    <m:brkBin m:val="before"/>
    <m:brkBinSub m:val="--"/>
    <m:smallFrac m:val="0"/>
    <m:dispDef/>
    <m:lMargin m:val="0"/>
    <m:rMargin m:val="0"/>
    <m:defJc m:val="centerGroup"/>
    <m:wrapIndent m:val="1440"/>
    <m:intLim m:val="subSup"/>
    <m:naryLim m:val="undOvr"/>
  </m:mathPr>
  <w:themeFontLang w:val="en-LU" w:bidi="ar-SA"/>
  <w:clrSchemeMapping w:bg1="light1" w:t1="dark1" w:bg2="light2" w:t2="dark2" w:accent1="accent1" w:accent2="accent2" w:accent3="accent3" w:accent4="accent4" w:accent5="accent5" w:accent6="accent6" w:hyperlink="hyperlink" w:followedHyperlink="followedHyperlink"/>
  <w:decimalSymbol w:val=","/>
  <w:listSeparator w:val=","/>
  <w14:docId w14:val="6D07AFF7"/>
  <w15:docId w15:val="{A69628BF-84D7-8247-B706-BB6F1885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L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bmcmedgenomics.biomedcentral.com/articles/10.1186/s12920-023-01469-z"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486L7Q8DhMzUfZUip8nUTtJLxw==">CgMxLjA4AHIhMWpJTUhFLXZFenlDeXRPeTd3SkRXQUM1Vm5PUXBkOFlW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Emadeldin Saeed Fathy Sayed HASSANIN</dc:creator>
  <cp:lastModifiedBy>Dheeraj Reddy BOBBILI</cp:lastModifiedBy>
  <cp:revision>2</cp:revision>
  <dcterms:created xsi:type="dcterms:W3CDTF">2023-06-09T14:40:00Z</dcterms:created>
  <dcterms:modified xsi:type="dcterms:W3CDTF">2023-06-09T14:40:00Z</dcterms:modified>
</cp:coreProperties>
</file>