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BA58A" w14:textId="77777777" w:rsidR="004D690D" w:rsidRPr="007D68BB" w:rsidRDefault="007D68BB">
      <w:pPr>
        <w:rPr>
          <w:rFonts w:ascii="Arial" w:hAnsi="Arial" w:cs="Arial"/>
          <w:b/>
        </w:rPr>
      </w:pPr>
      <w:bookmarkStart w:id="0" w:name="_GoBack"/>
      <w:bookmarkEnd w:id="0"/>
      <w:r w:rsidRPr="007D68BB">
        <w:rPr>
          <w:rFonts w:ascii="Arial" w:hAnsi="Arial" w:cs="Arial"/>
          <w:b/>
        </w:rPr>
        <w:t>Supplementary file 1</w:t>
      </w:r>
    </w:p>
    <w:p w14:paraId="0C8A9A78" w14:textId="77777777" w:rsidR="007D68BB" w:rsidRDefault="007D68BB"/>
    <w:p w14:paraId="3C54A078" w14:textId="77777777" w:rsidR="007D68BB" w:rsidRPr="007D68BB" w:rsidRDefault="007D68BB" w:rsidP="007D68BB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7D68BB">
        <w:rPr>
          <w:rFonts w:ascii="Arial" w:hAnsi="Arial" w:cs="Arial"/>
          <w:b/>
          <w:bCs/>
          <w:sz w:val="20"/>
          <w:szCs w:val="20"/>
        </w:rPr>
        <w:t>Methods and Materials</w:t>
      </w:r>
    </w:p>
    <w:p w14:paraId="159D0240" w14:textId="77777777" w:rsidR="00CA1981" w:rsidRDefault="00CA1981" w:rsidP="007D68BB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</w:p>
    <w:p w14:paraId="436BFEE2" w14:textId="77777777" w:rsidR="007D68BB" w:rsidRDefault="007D68BB" w:rsidP="007D68BB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  <w:r w:rsidRPr="0010196A">
        <w:rPr>
          <w:rFonts w:ascii="Arial" w:hAnsi="Arial" w:cs="Arial"/>
          <w:i/>
          <w:iCs/>
          <w:sz w:val="20"/>
          <w:szCs w:val="20"/>
        </w:rPr>
        <w:t>RNA</w:t>
      </w:r>
      <w:r w:rsidRPr="0010196A">
        <w:rPr>
          <w:rFonts w:ascii="Cambria Math" w:hAnsi="Cambria Math" w:cs="Cambria Math"/>
          <w:i/>
          <w:iCs/>
          <w:sz w:val="20"/>
          <w:szCs w:val="20"/>
        </w:rPr>
        <w:t>‐</w:t>
      </w:r>
      <w:proofErr w:type="spellStart"/>
      <w:r w:rsidRPr="0010196A">
        <w:rPr>
          <w:rFonts w:ascii="Arial" w:hAnsi="Arial" w:cs="Arial"/>
          <w:i/>
          <w:iCs/>
          <w:sz w:val="20"/>
          <w:szCs w:val="20"/>
        </w:rPr>
        <w:t>Seq</w:t>
      </w:r>
      <w:proofErr w:type="spellEnd"/>
      <w:r w:rsidRPr="0010196A">
        <w:rPr>
          <w:rFonts w:ascii="Arial" w:hAnsi="Arial" w:cs="Arial"/>
          <w:i/>
          <w:iCs/>
          <w:sz w:val="20"/>
          <w:szCs w:val="20"/>
        </w:rPr>
        <w:t xml:space="preserve"> data collection</w:t>
      </w:r>
    </w:p>
    <w:p w14:paraId="211DEF55" w14:textId="77777777" w:rsidR="00533A3C" w:rsidRDefault="00533A3C" w:rsidP="007D68B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33A3C">
        <w:rPr>
          <w:rFonts w:ascii="Arial" w:hAnsi="Arial" w:cs="Arial"/>
          <w:sz w:val="20"/>
          <w:szCs w:val="20"/>
        </w:rPr>
        <w:t>RNA-</w:t>
      </w:r>
      <w:proofErr w:type="spellStart"/>
      <w:r w:rsidRPr="00533A3C">
        <w:rPr>
          <w:rFonts w:ascii="Arial" w:hAnsi="Arial" w:cs="Arial"/>
          <w:sz w:val="20"/>
          <w:szCs w:val="20"/>
        </w:rPr>
        <w:t>seq</w:t>
      </w:r>
      <w:proofErr w:type="spellEnd"/>
      <w:r w:rsidRPr="00533A3C">
        <w:rPr>
          <w:rFonts w:ascii="Arial" w:hAnsi="Arial" w:cs="Arial"/>
          <w:sz w:val="20"/>
          <w:szCs w:val="20"/>
        </w:rPr>
        <w:t xml:space="preserve"> data from the GSE125363 and GSE47552 datasets </w:t>
      </w:r>
      <w:proofErr w:type="gramStart"/>
      <w:r w:rsidRPr="00533A3C">
        <w:rPr>
          <w:rFonts w:ascii="Arial" w:hAnsi="Arial" w:cs="Arial"/>
          <w:sz w:val="20"/>
          <w:szCs w:val="20"/>
        </w:rPr>
        <w:t>were retrieved</w:t>
      </w:r>
      <w:proofErr w:type="gramEnd"/>
      <w:r w:rsidRPr="00533A3C">
        <w:rPr>
          <w:rFonts w:ascii="Arial" w:hAnsi="Arial" w:cs="Arial"/>
          <w:sz w:val="20"/>
          <w:szCs w:val="20"/>
        </w:rPr>
        <w:t xml:space="preserve"> from the comprehensive gene expression (GEO) database to filter out miRNAs and </w:t>
      </w:r>
      <w:proofErr w:type="spellStart"/>
      <w:r w:rsidRPr="00533A3C">
        <w:rPr>
          <w:rFonts w:ascii="Arial" w:hAnsi="Arial" w:cs="Arial"/>
          <w:sz w:val="20"/>
          <w:szCs w:val="20"/>
        </w:rPr>
        <w:t>lncRNAs</w:t>
      </w:r>
      <w:proofErr w:type="spellEnd"/>
      <w:r w:rsidRPr="00533A3C">
        <w:rPr>
          <w:rFonts w:ascii="Arial" w:hAnsi="Arial" w:cs="Arial"/>
          <w:sz w:val="20"/>
          <w:szCs w:val="20"/>
        </w:rPr>
        <w:t xml:space="preserve"> relevant to multiple myeloma onset and development. The miRNA expression profile of the GSE125363 dataset </w:t>
      </w:r>
      <w:proofErr w:type="gramStart"/>
      <w:r w:rsidRPr="00533A3C">
        <w:rPr>
          <w:rFonts w:ascii="Arial" w:hAnsi="Arial" w:cs="Arial"/>
          <w:sz w:val="20"/>
          <w:szCs w:val="20"/>
        </w:rPr>
        <w:t xml:space="preserve">was </w:t>
      </w:r>
      <w:r>
        <w:rPr>
          <w:rFonts w:ascii="Arial" w:hAnsi="Arial" w:cs="Arial"/>
          <w:sz w:val="20"/>
          <w:szCs w:val="20"/>
        </w:rPr>
        <w:t>retrieved</w:t>
      </w:r>
      <w:proofErr w:type="gramEnd"/>
      <w:r w:rsidRPr="00533A3C">
        <w:rPr>
          <w:rFonts w:ascii="Arial" w:hAnsi="Arial" w:cs="Arial"/>
          <w:sz w:val="20"/>
          <w:szCs w:val="20"/>
        </w:rPr>
        <w:t xml:space="preserve"> using the GPL18044 platform (Agilent-046064 Unrestricted_Human_miRNA_V19.0_Microarray (Feature Number Version)). The </w:t>
      </w:r>
      <w:proofErr w:type="spellStart"/>
      <w:r w:rsidRPr="00533A3C">
        <w:rPr>
          <w:rFonts w:ascii="Arial" w:hAnsi="Arial" w:cs="Arial"/>
          <w:sz w:val="20"/>
          <w:szCs w:val="20"/>
        </w:rPr>
        <w:t>lncRNA</w:t>
      </w:r>
      <w:proofErr w:type="spellEnd"/>
      <w:r w:rsidRPr="00533A3C">
        <w:rPr>
          <w:rFonts w:ascii="Arial" w:hAnsi="Arial" w:cs="Arial"/>
          <w:sz w:val="20"/>
          <w:szCs w:val="20"/>
        </w:rPr>
        <w:t xml:space="preserve"> expression profile of the GSE47552 dataset </w:t>
      </w:r>
      <w:proofErr w:type="gramStart"/>
      <w:r w:rsidRPr="00533A3C">
        <w:rPr>
          <w:rFonts w:ascii="Arial" w:hAnsi="Arial" w:cs="Arial"/>
          <w:sz w:val="20"/>
          <w:szCs w:val="20"/>
        </w:rPr>
        <w:t xml:space="preserve">was </w:t>
      </w:r>
      <w:r>
        <w:rPr>
          <w:rFonts w:ascii="Arial" w:hAnsi="Arial" w:cs="Arial"/>
          <w:sz w:val="20"/>
          <w:szCs w:val="20"/>
        </w:rPr>
        <w:t>retrieved</w:t>
      </w:r>
      <w:proofErr w:type="gramEnd"/>
      <w:r w:rsidRPr="00533A3C">
        <w:rPr>
          <w:rFonts w:ascii="Arial" w:hAnsi="Arial" w:cs="Arial"/>
          <w:sz w:val="20"/>
          <w:szCs w:val="20"/>
        </w:rPr>
        <w:t xml:space="preserve"> using the GPL6244 platform ([HuGene-1_0-st] </w:t>
      </w:r>
      <w:proofErr w:type="spellStart"/>
      <w:r w:rsidRPr="00533A3C">
        <w:rPr>
          <w:rFonts w:ascii="Arial" w:hAnsi="Arial" w:cs="Arial"/>
          <w:sz w:val="20"/>
          <w:szCs w:val="20"/>
        </w:rPr>
        <w:t>Affymetrix</w:t>
      </w:r>
      <w:proofErr w:type="spellEnd"/>
      <w:r w:rsidRPr="00533A3C">
        <w:rPr>
          <w:rFonts w:ascii="Arial" w:hAnsi="Arial" w:cs="Arial"/>
          <w:sz w:val="20"/>
          <w:szCs w:val="20"/>
        </w:rPr>
        <w:t xml:space="preserve"> Human Gene 1.0 ST Array [Transcript (Gene) Version]). The Cancer Genome Atlas (TCGA) (https://portal.gdc.cancer.gov) provided the data for MMRF-</w:t>
      </w:r>
      <w:proofErr w:type="spellStart"/>
      <w:r w:rsidRPr="00533A3C">
        <w:rPr>
          <w:rFonts w:ascii="Arial" w:hAnsi="Arial" w:cs="Arial"/>
          <w:sz w:val="20"/>
          <w:szCs w:val="20"/>
        </w:rPr>
        <w:t>COMMpass</w:t>
      </w:r>
      <w:proofErr w:type="spellEnd"/>
      <w:r w:rsidRPr="00533A3C">
        <w:rPr>
          <w:rFonts w:ascii="Arial" w:hAnsi="Arial" w:cs="Arial"/>
          <w:sz w:val="20"/>
          <w:szCs w:val="20"/>
        </w:rPr>
        <w:t>. In the study, there were 48 and 99 samples selected for investigation from the GSE125363 and GSE47552 datasets, respectively, including patients with multiple myeloma and healthy individuals. In addition, 709 MMRF-</w:t>
      </w:r>
      <w:proofErr w:type="spellStart"/>
      <w:r w:rsidRPr="00533A3C">
        <w:rPr>
          <w:rFonts w:ascii="Arial" w:hAnsi="Arial" w:cs="Arial"/>
          <w:sz w:val="20"/>
          <w:szCs w:val="20"/>
        </w:rPr>
        <w:t>COMMpass</w:t>
      </w:r>
      <w:proofErr w:type="spellEnd"/>
      <w:r w:rsidRPr="00533A3C">
        <w:rPr>
          <w:rFonts w:ascii="Arial" w:hAnsi="Arial" w:cs="Arial"/>
          <w:sz w:val="20"/>
          <w:szCs w:val="20"/>
        </w:rPr>
        <w:t xml:space="preserve"> cases </w:t>
      </w:r>
      <w:proofErr w:type="gramStart"/>
      <w:r w:rsidRPr="00533A3C">
        <w:rPr>
          <w:rFonts w:ascii="Arial" w:hAnsi="Arial" w:cs="Arial"/>
          <w:sz w:val="20"/>
          <w:szCs w:val="20"/>
        </w:rPr>
        <w:t>were selected</w:t>
      </w:r>
      <w:proofErr w:type="gramEnd"/>
      <w:r w:rsidRPr="00533A3C">
        <w:rPr>
          <w:rFonts w:ascii="Arial" w:hAnsi="Arial" w:cs="Arial"/>
          <w:sz w:val="20"/>
          <w:szCs w:val="20"/>
        </w:rPr>
        <w:t xml:space="preserve"> for further investigation.</w:t>
      </w:r>
    </w:p>
    <w:p w14:paraId="14735172" w14:textId="77777777" w:rsidR="00533A3C" w:rsidRDefault="00533A3C" w:rsidP="00533A3C">
      <w:pPr>
        <w:rPr>
          <w:rFonts w:ascii="Arial" w:hAnsi="Arial" w:cs="Arial"/>
          <w:i/>
          <w:iCs/>
          <w:sz w:val="20"/>
          <w:szCs w:val="20"/>
        </w:rPr>
      </w:pPr>
    </w:p>
    <w:p w14:paraId="2708336B" w14:textId="77777777" w:rsidR="007D68BB" w:rsidRPr="00ED74B6" w:rsidRDefault="007D68BB" w:rsidP="007D68BB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  <w:r w:rsidRPr="00ED74B6">
        <w:rPr>
          <w:rFonts w:ascii="Arial" w:hAnsi="Arial" w:cs="Arial"/>
          <w:i/>
          <w:iCs/>
          <w:sz w:val="20"/>
          <w:szCs w:val="20"/>
        </w:rPr>
        <w:t>Data Processing and DEG Identification</w:t>
      </w:r>
    </w:p>
    <w:p w14:paraId="00A961C6" w14:textId="77777777" w:rsidR="007D68BB" w:rsidRDefault="00133AB8" w:rsidP="007D68B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33AB8">
        <w:rPr>
          <w:rFonts w:ascii="Arial" w:hAnsi="Arial" w:cs="Arial"/>
          <w:sz w:val="20"/>
          <w:szCs w:val="20"/>
        </w:rPr>
        <w:t xml:space="preserve">R version 4.3.1 </w:t>
      </w:r>
      <w:proofErr w:type="gramStart"/>
      <w:r w:rsidRPr="00133AB8">
        <w:rPr>
          <w:rFonts w:ascii="Arial" w:hAnsi="Arial" w:cs="Arial"/>
          <w:sz w:val="20"/>
          <w:szCs w:val="20"/>
        </w:rPr>
        <w:t>was used</w:t>
      </w:r>
      <w:proofErr w:type="gramEnd"/>
      <w:r w:rsidRPr="00133AB8">
        <w:rPr>
          <w:rFonts w:ascii="Arial" w:hAnsi="Arial" w:cs="Arial"/>
          <w:sz w:val="20"/>
          <w:szCs w:val="20"/>
        </w:rPr>
        <w:t xml:space="preserve"> for all analyses in this study.  DEGs </w:t>
      </w:r>
      <w:proofErr w:type="gramStart"/>
      <w:r w:rsidRPr="00133AB8">
        <w:rPr>
          <w:rFonts w:ascii="Arial" w:hAnsi="Arial" w:cs="Arial"/>
          <w:sz w:val="20"/>
          <w:szCs w:val="20"/>
        </w:rPr>
        <w:t>were detected</w:t>
      </w:r>
      <w:proofErr w:type="gramEnd"/>
      <w:r w:rsidRPr="00133AB8">
        <w:rPr>
          <w:rFonts w:ascii="Arial" w:hAnsi="Arial" w:cs="Arial"/>
          <w:sz w:val="20"/>
          <w:szCs w:val="20"/>
        </w:rPr>
        <w:t xml:space="preserve"> between MM patients and healthy donors using the R package "</w:t>
      </w:r>
      <w:proofErr w:type="spellStart"/>
      <w:r w:rsidRPr="00133AB8">
        <w:rPr>
          <w:rFonts w:ascii="Arial" w:hAnsi="Arial" w:cs="Arial"/>
          <w:sz w:val="20"/>
          <w:szCs w:val="20"/>
        </w:rPr>
        <w:t>limma</w:t>
      </w:r>
      <w:proofErr w:type="spellEnd"/>
      <w:r w:rsidRPr="00133AB8">
        <w:rPr>
          <w:rFonts w:ascii="Arial" w:hAnsi="Arial" w:cs="Arial"/>
          <w:sz w:val="20"/>
          <w:szCs w:val="20"/>
        </w:rPr>
        <w:t>". Genes with P &lt; 0.05 and [log2FoldChange (log2FC)] &gt; 1.2 were considered DEGs.</w:t>
      </w:r>
    </w:p>
    <w:p w14:paraId="7D188A7F" w14:textId="77777777" w:rsidR="00133AB8" w:rsidRPr="00ED74B6" w:rsidRDefault="00133AB8" w:rsidP="00133AB8">
      <w:pPr>
        <w:jc w:val="both"/>
        <w:rPr>
          <w:rFonts w:ascii="Arial" w:hAnsi="Arial" w:cs="Arial"/>
          <w:sz w:val="20"/>
          <w:szCs w:val="20"/>
        </w:rPr>
      </w:pPr>
    </w:p>
    <w:p w14:paraId="3186125D" w14:textId="77777777" w:rsidR="007D68BB" w:rsidRPr="00ED74B6" w:rsidRDefault="007D68BB" w:rsidP="007D68BB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  <w:bookmarkStart w:id="1" w:name="OLE_LINK41"/>
      <w:bookmarkStart w:id="2" w:name="OLE_LINK42"/>
      <w:r w:rsidRPr="00ED74B6">
        <w:rPr>
          <w:rFonts w:ascii="Arial" w:hAnsi="Arial" w:cs="Arial"/>
          <w:i/>
          <w:iCs/>
          <w:sz w:val="20"/>
          <w:szCs w:val="20"/>
        </w:rPr>
        <w:t xml:space="preserve">Construction of </w:t>
      </w:r>
      <w:bookmarkStart w:id="3" w:name="OLE_LINK43"/>
      <w:bookmarkStart w:id="4" w:name="OLE_LINK44"/>
      <w:proofErr w:type="spellStart"/>
      <w:r w:rsidRPr="00ED74B6">
        <w:rPr>
          <w:rFonts w:ascii="Arial" w:hAnsi="Arial" w:cs="Arial"/>
          <w:i/>
          <w:iCs/>
          <w:sz w:val="20"/>
          <w:szCs w:val="20"/>
        </w:rPr>
        <w:t>lncRNA</w:t>
      </w:r>
      <w:proofErr w:type="spellEnd"/>
      <w:r w:rsidRPr="00ED74B6">
        <w:rPr>
          <w:rFonts w:ascii="Arial" w:hAnsi="Arial" w:cs="Arial"/>
          <w:i/>
          <w:iCs/>
          <w:sz w:val="20"/>
          <w:szCs w:val="20"/>
        </w:rPr>
        <w:t xml:space="preserve">/miRNA/HDAC6 </w:t>
      </w:r>
      <w:bookmarkEnd w:id="3"/>
      <w:bookmarkEnd w:id="4"/>
      <w:r w:rsidRPr="00ED74B6">
        <w:rPr>
          <w:rFonts w:ascii="Arial" w:hAnsi="Arial" w:cs="Arial"/>
          <w:i/>
          <w:iCs/>
          <w:sz w:val="20"/>
          <w:szCs w:val="20"/>
        </w:rPr>
        <w:t>ax</w:t>
      </w:r>
      <w:r w:rsidR="00133AB8">
        <w:rPr>
          <w:rFonts w:ascii="Arial" w:hAnsi="Arial" w:cs="Arial"/>
          <w:i/>
          <w:iCs/>
          <w:sz w:val="20"/>
          <w:szCs w:val="20"/>
        </w:rPr>
        <w:t>i</w:t>
      </w:r>
      <w:r w:rsidRPr="00ED74B6">
        <w:rPr>
          <w:rFonts w:ascii="Arial" w:hAnsi="Arial" w:cs="Arial"/>
          <w:i/>
          <w:iCs/>
          <w:sz w:val="20"/>
          <w:szCs w:val="20"/>
        </w:rPr>
        <w:t>s</w:t>
      </w:r>
    </w:p>
    <w:bookmarkEnd w:id="1"/>
    <w:bookmarkEnd w:id="2"/>
    <w:p w14:paraId="7F7B5246" w14:textId="77777777" w:rsidR="008F4153" w:rsidRDefault="008F4153" w:rsidP="007D68B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F4153">
        <w:rPr>
          <w:rFonts w:ascii="Arial" w:hAnsi="Arial" w:cs="Arial"/>
          <w:sz w:val="20"/>
          <w:szCs w:val="20"/>
        </w:rPr>
        <w:t>GEO and TCGA datasets were used to build a network</w:t>
      </w:r>
      <w:r>
        <w:rPr>
          <w:rFonts w:ascii="Arial" w:hAnsi="Arial" w:cs="Arial"/>
          <w:sz w:val="20"/>
          <w:szCs w:val="20"/>
        </w:rPr>
        <w:t xml:space="preserve"> between </w:t>
      </w:r>
      <w:r w:rsidRPr="008F4153">
        <w:rPr>
          <w:rFonts w:ascii="Arial" w:hAnsi="Arial" w:cs="Arial"/>
          <w:sz w:val="20"/>
          <w:szCs w:val="20"/>
        </w:rPr>
        <w:t>LncRNA-miRNA-HDAC6</w:t>
      </w:r>
      <w:r>
        <w:rPr>
          <w:rFonts w:ascii="Arial" w:hAnsi="Arial" w:cs="Arial"/>
          <w:sz w:val="20"/>
          <w:szCs w:val="20"/>
        </w:rPr>
        <w:t xml:space="preserve">, </w:t>
      </w:r>
      <w:proofErr w:type="gramStart"/>
      <w:r>
        <w:rPr>
          <w:rFonts w:ascii="Arial" w:hAnsi="Arial" w:cs="Arial"/>
          <w:sz w:val="20"/>
          <w:szCs w:val="20"/>
        </w:rPr>
        <w:t xml:space="preserve">and </w:t>
      </w:r>
      <w:r w:rsidRPr="008F4153">
        <w:rPr>
          <w:rFonts w:ascii="Arial" w:hAnsi="Arial" w:cs="Arial"/>
          <w:sz w:val="20"/>
          <w:szCs w:val="20"/>
        </w:rPr>
        <w:t xml:space="preserve"> interactive</w:t>
      </w:r>
      <w:proofErr w:type="gramEnd"/>
      <w:r w:rsidRPr="008F4153">
        <w:rPr>
          <w:rFonts w:ascii="Arial" w:hAnsi="Arial" w:cs="Arial"/>
          <w:sz w:val="20"/>
          <w:szCs w:val="20"/>
        </w:rPr>
        <w:t xml:space="preserve"> networks were created using the R package "</w:t>
      </w:r>
      <w:proofErr w:type="spellStart"/>
      <w:r w:rsidRPr="008F4153">
        <w:rPr>
          <w:rFonts w:ascii="Arial" w:hAnsi="Arial" w:cs="Arial"/>
          <w:sz w:val="20"/>
          <w:szCs w:val="20"/>
        </w:rPr>
        <w:t>igraph</w:t>
      </w:r>
      <w:proofErr w:type="spellEnd"/>
      <w:r w:rsidRPr="008F4153">
        <w:rPr>
          <w:rFonts w:ascii="Arial" w:hAnsi="Arial" w:cs="Arial"/>
          <w:sz w:val="20"/>
          <w:szCs w:val="20"/>
        </w:rPr>
        <w:t>".</w:t>
      </w:r>
    </w:p>
    <w:p w14:paraId="39103520" w14:textId="77777777" w:rsidR="007D68BB" w:rsidRPr="00ED74B6" w:rsidRDefault="007D68BB" w:rsidP="007D68B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DD2E378" w14:textId="77777777" w:rsidR="007D68BB" w:rsidRPr="00ED74B6" w:rsidRDefault="007D68BB" w:rsidP="007D68BB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  <w:r w:rsidRPr="00ED74B6">
        <w:rPr>
          <w:rFonts w:ascii="Arial" w:hAnsi="Arial" w:cs="Arial"/>
          <w:i/>
          <w:iCs/>
          <w:sz w:val="20"/>
          <w:szCs w:val="20"/>
        </w:rPr>
        <w:t>Venn Diagram of HDAC6 related miRNA</w:t>
      </w:r>
      <w:r>
        <w:rPr>
          <w:rFonts w:ascii="Arial" w:hAnsi="Arial" w:cs="Arial"/>
          <w:i/>
          <w:iCs/>
          <w:sz w:val="20"/>
          <w:szCs w:val="20"/>
        </w:rPr>
        <w:t xml:space="preserve"> and the sponge effect of </w:t>
      </w:r>
      <w:proofErr w:type="spellStart"/>
      <w:r w:rsidRPr="00ED74B6">
        <w:rPr>
          <w:rFonts w:ascii="Arial" w:hAnsi="Arial" w:cs="Arial"/>
          <w:i/>
          <w:iCs/>
          <w:sz w:val="20"/>
          <w:szCs w:val="20"/>
        </w:rPr>
        <w:t>lncRNA</w:t>
      </w:r>
      <w:proofErr w:type="spellEnd"/>
      <w:r w:rsidRPr="00ED74B6">
        <w:rPr>
          <w:rFonts w:ascii="Arial" w:hAnsi="Arial" w:cs="Arial"/>
          <w:i/>
          <w:iCs/>
          <w:sz w:val="20"/>
          <w:szCs w:val="20"/>
        </w:rPr>
        <w:t xml:space="preserve">/miRNA/HDAC6 </w:t>
      </w:r>
    </w:p>
    <w:p w14:paraId="5E6D3A13" w14:textId="2280F234" w:rsidR="003D4A22" w:rsidRPr="009E4E98" w:rsidRDefault="003D4A22" w:rsidP="007D68BB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D4A22">
        <w:rPr>
          <w:rFonts w:ascii="Arial" w:hAnsi="Arial" w:cs="Arial"/>
          <w:sz w:val="20"/>
          <w:szCs w:val="20"/>
        </w:rPr>
        <w:t>The intersection</w:t>
      </w:r>
      <w:r>
        <w:rPr>
          <w:rFonts w:ascii="Arial" w:hAnsi="Arial" w:cs="Arial"/>
          <w:sz w:val="20"/>
          <w:szCs w:val="20"/>
        </w:rPr>
        <w:t>s</w:t>
      </w:r>
      <w:r w:rsidRPr="003D4A22">
        <w:rPr>
          <w:rFonts w:ascii="Arial" w:hAnsi="Arial" w:cs="Arial"/>
          <w:sz w:val="20"/>
          <w:szCs w:val="20"/>
        </w:rPr>
        <w:t xml:space="preserve"> of central HDAC6-associated miRNAs in multiple myeloma </w:t>
      </w:r>
      <w:r>
        <w:rPr>
          <w:rFonts w:ascii="Arial" w:hAnsi="Arial" w:cs="Arial"/>
          <w:sz w:val="20"/>
          <w:szCs w:val="20"/>
        </w:rPr>
        <w:t>derived</w:t>
      </w:r>
      <w:r w:rsidRPr="003D4A22">
        <w:rPr>
          <w:rFonts w:ascii="Arial" w:hAnsi="Arial" w:cs="Arial"/>
          <w:sz w:val="20"/>
          <w:szCs w:val="20"/>
        </w:rPr>
        <w:t xml:space="preserve"> from GSE125363, the </w:t>
      </w:r>
      <w:proofErr w:type="spellStart"/>
      <w:r w:rsidRPr="003D4A22">
        <w:rPr>
          <w:rFonts w:ascii="Arial" w:hAnsi="Arial" w:cs="Arial"/>
          <w:sz w:val="20"/>
          <w:szCs w:val="20"/>
        </w:rPr>
        <w:t>miRWalk</w:t>
      </w:r>
      <w:proofErr w:type="spellEnd"/>
      <w:r w:rsidRPr="003D4A22">
        <w:rPr>
          <w:rFonts w:ascii="Arial" w:hAnsi="Arial" w:cs="Arial"/>
          <w:sz w:val="20"/>
          <w:szCs w:val="20"/>
        </w:rPr>
        <w:t xml:space="preserve"> database (http://mirwalk.umm.uni-heidelberg.de/), the </w:t>
      </w:r>
      <w:proofErr w:type="spellStart"/>
      <w:r w:rsidRPr="003D4A22">
        <w:rPr>
          <w:rFonts w:ascii="Arial" w:hAnsi="Arial" w:cs="Arial"/>
          <w:sz w:val="20"/>
          <w:szCs w:val="20"/>
        </w:rPr>
        <w:t>miRDB</w:t>
      </w:r>
      <w:proofErr w:type="spellEnd"/>
      <w:r w:rsidRPr="003D4A22">
        <w:rPr>
          <w:rFonts w:ascii="Arial" w:hAnsi="Arial" w:cs="Arial"/>
          <w:sz w:val="20"/>
          <w:szCs w:val="20"/>
        </w:rPr>
        <w:t xml:space="preserve"> database (http://mirdb.org/) and the </w:t>
      </w:r>
      <w:proofErr w:type="spellStart"/>
      <w:r w:rsidRPr="003D4A22">
        <w:rPr>
          <w:rFonts w:ascii="Arial" w:hAnsi="Arial" w:cs="Arial"/>
          <w:sz w:val="20"/>
          <w:szCs w:val="20"/>
        </w:rPr>
        <w:t>miRcode</w:t>
      </w:r>
      <w:proofErr w:type="spellEnd"/>
      <w:r w:rsidRPr="003D4A22">
        <w:rPr>
          <w:rFonts w:ascii="Arial" w:hAnsi="Arial" w:cs="Arial"/>
          <w:sz w:val="20"/>
          <w:szCs w:val="20"/>
        </w:rPr>
        <w:t xml:space="preserve"> database (http://mircode.org/) are considered </w:t>
      </w:r>
      <w:proofErr w:type="gramStart"/>
      <w:r w:rsidRPr="003D4A22">
        <w:rPr>
          <w:rFonts w:ascii="Arial" w:hAnsi="Arial" w:cs="Arial"/>
          <w:sz w:val="20"/>
          <w:szCs w:val="20"/>
        </w:rPr>
        <w:t>to be a</w:t>
      </w:r>
      <w:proofErr w:type="gramEnd"/>
      <w:r w:rsidRPr="003D4A22">
        <w:rPr>
          <w:rFonts w:ascii="Arial" w:hAnsi="Arial" w:cs="Arial"/>
          <w:sz w:val="20"/>
          <w:szCs w:val="20"/>
        </w:rPr>
        <w:t xml:space="preserve"> miRNA hub more strongly associated with multiple myeloma (MM) occurrence and progression. </w:t>
      </w:r>
      <w:r w:rsidRPr="009E4E98">
        <w:rPr>
          <w:rFonts w:ascii="Arial" w:hAnsi="Arial" w:cs="Arial"/>
          <w:color w:val="000000" w:themeColor="text1"/>
          <w:sz w:val="20"/>
          <w:szCs w:val="20"/>
        </w:rPr>
        <w:t>The R package "</w:t>
      </w:r>
      <w:proofErr w:type="spellStart"/>
      <w:r w:rsidRPr="009E4E98">
        <w:rPr>
          <w:rFonts w:ascii="Arial" w:hAnsi="Arial" w:cs="Arial"/>
          <w:color w:val="000000" w:themeColor="text1"/>
          <w:sz w:val="20"/>
          <w:szCs w:val="20"/>
        </w:rPr>
        <w:t>venndiagram</w:t>
      </w:r>
      <w:proofErr w:type="spellEnd"/>
      <w:r w:rsidRPr="009E4E98">
        <w:rPr>
          <w:rFonts w:ascii="Arial" w:hAnsi="Arial" w:cs="Arial"/>
          <w:color w:val="000000" w:themeColor="text1"/>
          <w:sz w:val="20"/>
          <w:szCs w:val="20"/>
        </w:rPr>
        <w:t xml:space="preserve">" </w:t>
      </w:r>
      <w:proofErr w:type="gramStart"/>
      <w:r w:rsidRPr="009E4E98">
        <w:rPr>
          <w:rFonts w:ascii="Arial" w:hAnsi="Arial" w:cs="Arial"/>
          <w:color w:val="000000" w:themeColor="text1"/>
          <w:sz w:val="20"/>
          <w:szCs w:val="20"/>
        </w:rPr>
        <w:t>was used</w:t>
      </w:r>
      <w:proofErr w:type="gramEnd"/>
      <w:r w:rsidRPr="009E4E98">
        <w:rPr>
          <w:rFonts w:ascii="Arial" w:hAnsi="Arial" w:cs="Arial"/>
          <w:color w:val="000000" w:themeColor="text1"/>
          <w:sz w:val="20"/>
          <w:szCs w:val="20"/>
        </w:rPr>
        <w:t xml:space="preserve"> to create a Venn diagram to obtain these intersections. </w:t>
      </w:r>
      <w:proofErr w:type="spellStart"/>
      <w:r w:rsidRPr="009E4E98">
        <w:rPr>
          <w:rFonts w:ascii="Arial" w:hAnsi="Arial" w:cs="Arial"/>
          <w:color w:val="000000" w:themeColor="text1"/>
          <w:sz w:val="20"/>
          <w:szCs w:val="20"/>
        </w:rPr>
        <w:t>LncBase</w:t>
      </w:r>
      <w:proofErr w:type="spellEnd"/>
      <w:r w:rsidRPr="009E4E98">
        <w:rPr>
          <w:rFonts w:ascii="Arial" w:hAnsi="Arial" w:cs="Arial"/>
          <w:color w:val="000000" w:themeColor="text1"/>
          <w:sz w:val="20"/>
          <w:szCs w:val="20"/>
        </w:rPr>
        <w:t xml:space="preserve"> Predicted v.3 (</w:t>
      </w:r>
      <w:hyperlink r:id="rId4" w:history="1">
        <w:r w:rsidR="0015434C" w:rsidRPr="009E4E98">
          <w:rPr>
            <w:rStyle w:val="Hyperlink"/>
            <w:rFonts w:ascii="Arial" w:hAnsi="Arial" w:cs="Arial"/>
            <w:color w:val="000000" w:themeColor="text1"/>
            <w:sz w:val="20"/>
            <w:szCs w:val="20"/>
            <w:u w:val="none"/>
          </w:rPr>
          <w:t>https://diana.e-ce.uth.gr/lncbasev3</w:t>
        </w:r>
      </w:hyperlink>
      <w:r w:rsidRPr="009E4E98">
        <w:rPr>
          <w:rFonts w:ascii="Arial" w:hAnsi="Arial" w:cs="Arial"/>
          <w:color w:val="000000" w:themeColor="text1"/>
          <w:sz w:val="20"/>
          <w:szCs w:val="20"/>
        </w:rPr>
        <w:t>)</w:t>
      </w:r>
      <w:r w:rsidR="0015434C" w:rsidRPr="009E4E98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9E4E98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proofErr w:type="spellStart"/>
      <w:r w:rsidRPr="009E4E98">
        <w:rPr>
          <w:rFonts w:ascii="Arial" w:hAnsi="Arial" w:cs="Arial"/>
          <w:color w:val="000000" w:themeColor="text1"/>
          <w:sz w:val="20"/>
          <w:szCs w:val="20"/>
        </w:rPr>
        <w:t>StarBase</w:t>
      </w:r>
      <w:proofErr w:type="spellEnd"/>
      <w:r w:rsidRPr="009E4E98">
        <w:rPr>
          <w:rFonts w:ascii="Arial" w:hAnsi="Arial" w:cs="Arial"/>
          <w:color w:val="000000" w:themeColor="text1"/>
          <w:sz w:val="20"/>
          <w:szCs w:val="20"/>
        </w:rPr>
        <w:t xml:space="preserve"> database (</w:t>
      </w:r>
      <w:hyperlink r:id="rId5" w:history="1">
        <w:r w:rsidR="0015434C" w:rsidRPr="009E4E98">
          <w:rPr>
            <w:rStyle w:val="Hyperlink"/>
            <w:rFonts w:ascii="Arial" w:hAnsi="Arial" w:cs="Arial"/>
            <w:color w:val="000000" w:themeColor="text1"/>
            <w:sz w:val="20"/>
            <w:szCs w:val="20"/>
            <w:u w:val="none"/>
          </w:rPr>
          <w:t>http://starbase.sysu.edu.cn/index.php</w:t>
        </w:r>
      </w:hyperlink>
      <w:r w:rsidRPr="009E4E98">
        <w:rPr>
          <w:rFonts w:ascii="Arial" w:hAnsi="Arial" w:cs="Arial"/>
          <w:color w:val="000000" w:themeColor="text1"/>
          <w:sz w:val="20"/>
          <w:szCs w:val="20"/>
        </w:rPr>
        <w:t>)</w:t>
      </w:r>
      <w:r w:rsidR="0015434C" w:rsidRPr="009E4E98">
        <w:rPr>
          <w:rFonts w:ascii="Arial" w:hAnsi="Arial" w:cs="Arial"/>
          <w:color w:val="000000" w:themeColor="text1"/>
          <w:sz w:val="20"/>
          <w:szCs w:val="20"/>
        </w:rPr>
        <w:t xml:space="preserve"> and </w:t>
      </w:r>
      <w:proofErr w:type="spellStart"/>
      <w:r w:rsidR="0015434C" w:rsidRPr="009E4E98">
        <w:rPr>
          <w:rFonts w:ascii="Arial" w:hAnsi="Arial" w:cs="Arial"/>
          <w:color w:val="000000" w:themeColor="text1"/>
          <w:sz w:val="20"/>
          <w:szCs w:val="20"/>
        </w:rPr>
        <w:t>TargetScanHuman</w:t>
      </w:r>
      <w:proofErr w:type="spellEnd"/>
      <w:r w:rsidR="0015434C" w:rsidRPr="009E4E98">
        <w:rPr>
          <w:rFonts w:ascii="Arial" w:hAnsi="Arial" w:cs="Arial"/>
          <w:color w:val="000000" w:themeColor="text1"/>
          <w:sz w:val="20"/>
          <w:szCs w:val="20"/>
        </w:rPr>
        <w:t xml:space="preserve"> V7.2 (</w:t>
      </w:r>
      <w:hyperlink r:id="rId6" w:history="1">
        <w:r w:rsidR="0015434C" w:rsidRPr="009E4E98">
          <w:rPr>
            <w:rStyle w:val="Hyperlink"/>
            <w:rFonts w:ascii="Arial" w:hAnsi="Arial" w:cs="Arial"/>
            <w:color w:val="000000" w:themeColor="text1"/>
            <w:sz w:val="20"/>
            <w:szCs w:val="20"/>
            <w:u w:val="none"/>
          </w:rPr>
          <w:t>https://www.targetscan.org/vert_72/</w:t>
        </w:r>
      </w:hyperlink>
      <w:r w:rsidR="0015434C" w:rsidRPr="009E4E98">
        <w:rPr>
          <w:rFonts w:ascii="Arial" w:hAnsi="Arial" w:cs="Arial"/>
          <w:color w:val="000000" w:themeColor="text1"/>
          <w:sz w:val="20"/>
          <w:szCs w:val="20"/>
        </w:rPr>
        <w:t xml:space="preserve">) </w:t>
      </w:r>
      <w:proofErr w:type="gramStart"/>
      <w:r w:rsidRPr="009E4E98">
        <w:rPr>
          <w:rFonts w:ascii="Arial" w:hAnsi="Arial" w:cs="Arial"/>
          <w:color w:val="000000" w:themeColor="text1"/>
          <w:sz w:val="20"/>
          <w:szCs w:val="20"/>
        </w:rPr>
        <w:t>were used</w:t>
      </w:r>
      <w:proofErr w:type="gramEnd"/>
      <w:r w:rsidRPr="009E4E98">
        <w:rPr>
          <w:rFonts w:ascii="Arial" w:hAnsi="Arial" w:cs="Arial"/>
          <w:color w:val="000000" w:themeColor="text1"/>
          <w:sz w:val="20"/>
          <w:szCs w:val="20"/>
        </w:rPr>
        <w:t xml:space="preserve"> to predict the binding sites of </w:t>
      </w:r>
      <w:proofErr w:type="spellStart"/>
      <w:r w:rsidRPr="009E4E98">
        <w:rPr>
          <w:rFonts w:ascii="Arial" w:hAnsi="Arial" w:cs="Arial"/>
          <w:color w:val="000000" w:themeColor="text1"/>
          <w:sz w:val="20"/>
          <w:szCs w:val="20"/>
        </w:rPr>
        <w:t>lncRNA</w:t>
      </w:r>
      <w:proofErr w:type="spellEnd"/>
      <w:r w:rsidRPr="009E4E98">
        <w:rPr>
          <w:rFonts w:ascii="Arial" w:hAnsi="Arial" w:cs="Arial"/>
          <w:color w:val="000000" w:themeColor="text1"/>
          <w:sz w:val="20"/>
          <w:szCs w:val="20"/>
        </w:rPr>
        <w:t>-miRNA-mRNA networks.</w:t>
      </w:r>
    </w:p>
    <w:p w14:paraId="1F59CFAF" w14:textId="77777777" w:rsidR="003D4A22" w:rsidRPr="0015434C" w:rsidRDefault="003D4A22" w:rsidP="007D68B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3812BD0" w14:textId="77777777" w:rsidR="007D68BB" w:rsidRPr="00ED74B6" w:rsidRDefault="007D68BB" w:rsidP="007D68BB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  <w:r w:rsidRPr="00ED74B6">
        <w:rPr>
          <w:rFonts w:ascii="Arial" w:hAnsi="Arial" w:cs="Arial"/>
          <w:i/>
          <w:iCs/>
          <w:sz w:val="20"/>
          <w:szCs w:val="20"/>
        </w:rPr>
        <w:t xml:space="preserve">Survival Analysis of HDAC family </w:t>
      </w:r>
    </w:p>
    <w:p w14:paraId="1D7AB018" w14:textId="77777777" w:rsidR="007D68BB" w:rsidRDefault="007D68BB" w:rsidP="007D68B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D74B6">
        <w:rPr>
          <w:rFonts w:ascii="Arial" w:hAnsi="Arial" w:cs="Arial"/>
          <w:sz w:val="20"/>
          <w:szCs w:val="20"/>
        </w:rPr>
        <w:t xml:space="preserve">The R package "survival" </w:t>
      </w:r>
      <w:proofErr w:type="gramStart"/>
      <w:r w:rsidRPr="00ED74B6">
        <w:rPr>
          <w:rFonts w:ascii="Arial" w:hAnsi="Arial" w:cs="Arial"/>
          <w:sz w:val="20"/>
          <w:szCs w:val="20"/>
        </w:rPr>
        <w:t>was used</w:t>
      </w:r>
      <w:proofErr w:type="gramEnd"/>
      <w:r w:rsidRPr="00ED74B6">
        <w:rPr>
          <w:rFonts w:ascii="Arial" w:hAnsi="Arial" w:cs="Arial"/>
          <w:sz w:val="20"/>
          <w:szCs w:val="20"/>
        </w:rPr>
        <w:t xml:space="preserve"> to investigate the i</w:t>
      </w:r>
      <w:r w:rsidR="00167528">
        <w:rPr>
          <w:rFonts w:ascii="Arial" w:hAnsi="Arial" w:cs="Arial"/>
          <w:sz w:val="20"/>
          <w:szCs w:val="20"/>
        </w:rPr>
        <w:t>mpact</w:t>
      </w:r>
      <w:r w:rsidRPr="00ED74B6">
        <w:rPr>
          <w:rFonts w:ascii="Arial" w:hAnsi="Arial" w:cs="Arial"/>
          <w:sz w:val="20"/>
          <w:szCs w:val="20"/>
        </w:rPr>
        <w:t xml:space="preserve"> of different expressions of the HDAC family </w:t>
      </w:r>
      <w:r w:rsidR="00167528">
        <w:rPr>
          <w:rFonts w:ascii="Arial" w:hAnsi="Arial" w:cs="Arial"/>
          <w:sz w:val="20"/>
          <w:szCs w:val="20"/>
        </w:rPr>
        <w:t xml:space="preserve">members </w:t>
      </w:r>
      <w:r w:rsidRPr="00ED74B6">
        <w:rPr>
          <w:rFonts w:ascii="Arial" w:hAnsi="Arial" w:cs="Arial"/>
          <w:sz w:val="20"/>
          <w:szCs w:val="20"/>
        </w:rPr>
        <w:t xml:space="preserve">on the survival of patients using RNA sequencing data and matched clinical </w:t>
      </w:r>
      <w:proofErr w:type="spellStart"/>
      <w:r w:rsidR="00167528">
        <w:rPr>
          <w:rFonts w:ascii="Arial" w:hAnsi="Arial" w:cs="Arial"/>
          <w:sz w:val="20"/>
          <w:szCs w:val="20"/>
        </w:rPr>
        <w:t>characterstics</w:t>
      </w:r>
      <w:proofErr w:type="spellEnd"/>
      <w:r w:rsidRPr="00ED74B6">
        <w:rPr>
          <w:rFonts w:ascii="Arial" w:hAnsi="Arial" w:cs="Arial"/>
          <w:sz w:val="20"/>
          <w:szCs w:val="20"/>
        </w:rPr>
        <w:t xml:space="preserve"> from the TCGA.</w:t>
      </w:r>
    </w:p>
    <w:p w14:paraId="06C240EB" w14:textId="77777777" w:rsidR="00167528" w:rsidRDefault="00167528" w:rsidP="007D68B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54133B0" w14:textId="77777777" w:rsidR="007D68BB" w:rsidRPr="0031048D" w:rsidRDefault="007D68BB" w:rsidP="007D68BB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31048D">
        <w:rPr>
          <w:rFonts w:ascii="Arial" w:hAnsi="Arial" w:cs="Arial"/>
          <w:i/>
          <w:iCs/>
          <w:sz w:val="20"/>
          <w:szCs w:val="20"/>
        </w:rPr>
        <w:t>RT</w:t>
      </w:r>
      <w:r w:rsidR="00787C8D">
        <w:rPr>
          <w:rFonts w:ascii="Arial" w:hAnsi="Arial" w:cs="Arial"/>
          <w:i/>
          <w:iCs/>
          <w:sz w:val="20"/>
          <w:szCs w:val="20"/>
        </w:rPr>
        <w:t>-</w:t>
      </w:r>
      <w:r w:rsidRPr="0031048D">
        <w:rPr>
          <w:rFonts w:ascii="Arial" w:hAnsi="Arial" w:cs="Arial"/>
          <w:i/>
          <w:iCs/>
          <w:sz w:val="20"/>
          <w:szCs w:val="20"/>
        </w:rPr>
        <w:t xml:space="preserve">qPCR </w:t>
      </w:r>
      <w:r w:rsidR="00787C8D">
        <w:rPr>
          <w:rFonts w:ascii="Arial" w:hAnsi="Arial" w:cs="Arial"/>
          <w:i/>
          <w:iCs/>
          <w:sz w:val="20"/>
          <w:szCs w:val="20"/>
        </w:rPr>
        <w:t>evaluation</w:t>
      </w:r>
    </w:p>
    <w:p w14:paraId="1168C93F" w14:textId="77777777" w:rsidR="007D68BB" w:rsidRDefault="007D68BB" w:rsidP="007D68BB">
      <w:pPr>
        <w:spacing w:line="360" w:lineRule="auto"/>
        <w:jc w:val="both"/>
        <w:rPr>
          <w:rFonts w:ascii="Arial" w:hAnsi="Arial" w:cs="Arial"/>
          <w:color w:val="000000" w:themeColor="text1"/>
          <w:spacing w:val="-2"/>
          <w:sz w:val="20"/>
          <w:szCs w:val="20"/>
        </w:rPr>
      </w:pP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lastRenderedPageBreak/>
        <w:t xml:space="preserve">RNA isolation of multiple myeloma 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cell line (OPM-2 and U266) 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was performed with </w:t>
      </w:r>
      <w:r w:rsidRPr="000D6CC2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RNeasy </w:t>
      </w:r>
      <w:proofErr w:type="gramStart"/>
      <w:r w:rsidRPr="000D6CC2">
        <w:rPr>
          <w:rFonts w:ascii="Arial" w:hAnsi="Arial" w:cs="Arial"/>
          <w:color w:val="000000" w:themeColor="text1"/>
          <w:spacing w:val="-2"/>
          <w:sz w:val="20"/>
          <w:szCs w:val="20"/>
        </w:rPr>
        <w:t>Plus</w:t>
      </w:r>
      <w:proofErr w:type="gramEnd"/>
      <w:r w:rsidRPr="000D6CC2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Mini Kit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(QIAGEN, </w:t>
      </w:r>
      <w:r w:rsidRPr="000D6CC2">
        <w:rPr>
          <w:rFonts w:ascii="Arial" w:hAnsi="Arial" w:cs="Arial"/>
          <w:color w:val="000000" w:themeColor="text1"/>
          <w:spacing w:val="-2"/>
          <w:sz w:val="20"/>
          <w:szCs w:val="20"/>
        </w:rPr>
        <w:t>Cat. No: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</w:t>
      </w:r>
      <w:r w:rsidRPr="000D6CC2">
        <w:rPr>
          <w:rFonts w:ascii="Arial" w:hAnsi="Arial" w:cs="Arial"/>
          <w:color w:val="000000" w:themeColor="text1"/>
          <w:spacing w:val="-2"/>
          <w:sz w:val="20"/>
          <w:szCs w:val="20"/>
        </w:rPr>
        <w:t>74136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>)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. Complementary DNA (cDNA) </w:t>
      </w:r>
      <w:proofErr w:type="gramStart"/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was synthesized</w:t>
      </w:r>
      <w:proofErr w:type="gramEnd"/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by reverse transcription using </w:t>
      </w:r>
      <w:proofErr w:type="spellStart"/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hifiscript</w:t>
      </w:r>
      <w:proofErr w:type="spellEnd"/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Kit (Invitrogen). Quantitative polymerase chain reaction was performed on 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LINC00152 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and 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hsa-miR-499a-5p 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using </w:t>
      </w:r>
      <w:r w:rsidRPr="007A36B2">
        <w:rPr>
          <w:rFonts w:ascii="Arial" w:hAnsi="Arial" w:cs="Arial"/>
          <w:color w:val="000000" w:themeColor="text1"/>
          <w:spacing w:val="-2"/>
          <w:sz w:val="20"/>
          <w:szCs w:val="20"/>
        </w:rPr>
        <w:t>P</w:t>
      </w:r>
      <w:r w:rsidRPr="007A36B2">
        <w:t xml:space="preserve"> </w:t>
      </w:r>
      <w:proofErr w:type="spellStart"/>
      <w:r w:rsidRPr="007A36B2">
        <w:rPr>
          <w:rFonts w:ascii="Arial" w:hAnsi="Arial" w:cs="Arial"/>
          <w:color w:val="000000" w:themeColor="text1"/>
          <w:spacing w:val="-2"/>
          <w:sz w:val="20"/>
          <w:szCs w:val="20"/>
        </w:rPr>
        <w:t>PowerTrack</w:t>
      </w:r>
      <w:proofErr w:type="spellEnd"/>
      <w:r w:rsidRPr="007A36B2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™ SYBR Green </w:t>
      </w:r>
      <w:proofErr w:type="spellStart"/>
      <w:r w:rsidRPr="007A36B2">
        <w:rPr>
          <w:rFonts w:ascii="Arial" w:hAnsi="Arial" w:cs="Arial"/>
          <w:color w:val="000000" w:themeColor="text1"/>
          <w:spacing w:val="-2"/>
          <w:sz w:val="20"/>
          <w:szCs w:val="20"/>
        </w:rPr>
        <w:t>Mastermix</w:t>
      </w:r>
      <w:proofErr w:type="spellEnd"/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 w:themeColor="text1"/>
          <w:spacing w:val="-2"/>
          <w:sz w:val="20"/>
          <w:szCs w:val="20"/>
        </w:rPr>
        <w:t>Thermo</w:t>
      </w:r>
      <w:proofErr w:type="spellEnd"/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Fisher Scientific, </w:t>
      </w:r>
      <w:r w:rsidRPr="000D6CC2">
        <w:rPr>
          <w:rFonts w:ascii="Arial" w:hAnsi="Arial" w:cs="Arial"/>
          <w:color w:val="000000" w:themeColor="text1"/>
          <w:spacing w:val="-2"/>
          <w:sz w:val="20"/>
          <w:szCs w:val="20"/>
        </w:rPr>
        <w:t>Cat. No: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A46109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)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>. T</w:t>
      </w:r>
      <w:r w:rsidRPr="002A5CD6">
        <w:rPr>
          <w:rFonts w:ascii="Arial" w:hAnsi="Arial" w:cs="Arial"/>
          <w:color w:val="000000" w:themeColor="text1"/>
          <w:spacing w:val="-2"/>
          <w:sz w:val="20"/>
          <w:szCs w:val="20"/>
        </w:rPr>
        <w:t>he glyceraldehyde 3-phosphate dehydrogenase (GAPDH)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</w:t>
      </w:r>
      <w:proofErr w:type="gramStart"/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was selected</w:t>
      </w:r>
      <w:proofErr w:type="gramEnd"/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as the internal reference gene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for LINC00152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. The primer sequence</w:t>
      </w:r>
      <w:r w:rsidR="004867C0">
        <w:rPr>
          <w:rFonts w:ascii="Arial" w:hAnsi="Arial" w:cs="Arial"/>
          <w:color w:val="000000" w:themeColor="text1"/>
          <w:spacing w:val="-2"/>
          <w:sz w:val="20"/>
          <w:szCs w:val="20"/>
        </w:rPr>
        <w:t>s used are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as follows: 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LINC00152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forward 5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- 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AGTTACGGAGGACCCAGCAA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-3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; 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LINC00152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reverse 5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GGGCTGAGTCGTGATTTTCG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-3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; GAPDH forward 5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CCAGGTGGTCTCCTCTGA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-3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; GAPDH reverse 5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GCTGTAGCCAAATCGTTGT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-3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’.</w:t>
      </w:r>
      <w:r w:rsidRPr="005077FE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>U6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</w:t>
      </w:r>
      <w:proofErr w:type="gramStart"/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was selected</w:t>
      </w:r>
      <w:proofErr w:type="gramEnd"/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as the internal reference gene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for has-miR-499a-5p</w:t>
      </w:r>
      <w:r w:rsidRPr="0031048D">
        <w:rPr>
          <w:rFonts w:ascii="Arial" w:hAnsi="Arial" w:cs="Arial" w:hint="eastAsia"/>
          <w:color w:val="000000" w:themeColor="text1"/>
          <w:spacing w:val="-2"/>
          <w:sz w:val="20"/>
          <w:szCs w:val="20"/>
        </w:rPr>
        <w:t>.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The primer sequence is as follows: 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hsa-miR-499a-5p 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forward 5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>GCCGAGTTAAGACTTGCAGTGA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-3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;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hsa-miR-499a-5p 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reverse 5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>CTCAACTGGTGTCGTGGA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-3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; 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U6 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forward 5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>CTCGCTTCGGCAGCACA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-3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;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U6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reverse 5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>AACGCTTCAGGAATTTGCG</w:t>
      </w:r>
      <w:r w:rsidRPr="0031048D">
        <w:rPr>
          <w:rFonts w:ascii="Arial" w:hAnsi="Arial" w:cs="Arial"/>
          <w:color w:val="000000" w:themeColor="text1"/>
          <w:spacing w:val="-2"/>
          <w:sz w:val="20"/>
          <w:szCs w:val="20"/>
        </w:rPr>
        <w:t>-3</w:t>
      </w:r>
      <w:r w:rsidRPr="004B3AD0">
        <w:rPr>
          <w:rFonts w:ascii="Arial" w:hAnsi="Arial" w:cs="Arial"/>
          <w:color w:val="000000" w:themeColor="text1"/>
          <w:spacing w:val="-2"/>
          <w:sz w:val="20"/>
          <w:szCs w:val="20"/>
        </w:rPr>
        <w:t>’.</w:t>
      </w:r>
      <w:r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</w:t>
      </w:r>
      <w:r w:rsidRPr="002A5CD6">
        <w:rPr>
          <w:rFonts w:ascii="Arial" w:hAnsi="Arial" w:cs="Arial"/>
          <w:color w:val="000000" w:themeColor="text1"/>
          <w:spacing w:val="-2"/>
          <w:sz w:val="20"/>
          <w:szCs w:val="20"/>
        </w:rPr>
        <w:t>The delta–delta Ct (2</w:t>
      </w:r>
      <w:r w:rsidRPr="00807CAD">
        <w:rPr>
          <w:rFonts w:ascii="Arial" w:hAnsi="Arial" w:cs="Arial"/>
          <w:color w:val="000000" w:themeColor="text1"/>
          <w:spacing w:val="-2"/>
          <w:sz w:val="20"/>
          <w:szCs w:val="20"/>
          <w:vertAlign w:val="superscript"/>
        </w:rPr>
        <w:t>–</w:t>
      </w:r>
      <w:r w:rsidRPr="00807CAD">
        <w:rPr>
          <w:rFonts w:ascii="Cambria Math" w:hAnsi="Cambria Math" w:cs="Cambria Math"/>
          <w:color w:val="000000" w:themeColor="text1"/>
          <w:spacing w:val="-2"/>
          <w:sz w:val="20"/>
          <w:szCs w:val="20"/>
          <w:vertAlign w:val="superscript"/>
        </w:rPr>
        <w:t>∆∆</w:t>
      </w:r>
      <w:r w:rsidRPr="00807CAD">
        <w:rPr>
          <w:rFonts w:ascii="Arial" w:hAnsi="Arial" w:cs="Arial"/>
          <w:color w:val="000000" w:themeColor="text1"/>
          <w:spacing w:val="-2"/>
          <w:sz w:val="20"/>
          <w:szCs w:val="20"/>
          <w:vertAlign w:val="superscript"/>
        </w:rPr>
        <w:t>Ct</w:t>
      </w:r>
      <w:r w:rsidRPr="002A5CD6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) approach </w:t>
      </w:r>
      <w:proofErr w:type="gramStart"/>
      <w:r w:rsidRPr="002A5CD6">
        <w:rPr>
          <w:rFonts w:ascii="Arial" w:hAnsi="Arial" w:cs="Arial"/>
          <w:color w:val="000000" w:themeColor="text1"/>
          <w:spacing w:val="-2"/>
          <w:sz w:val="20"/>
          <w:szCs w:val="20"/>
        </w:rPr>
        <w:t>was used</w:t>
      </w:r>
      <w:proofErr w:type="gramEnd"/>
      <w:r w:rsidRPr="002A5CD6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to measure the relative expression levels of target genes, which were standardized against GAPDH mRNA and U6 snRNA levels, respectively, for </w:t>
      </w:r>
      <w:proofErr w:type="spellStart"/>
      <w:r w:rsidRPr="002A5CD6">
        <w:rPr>
          <w:rFonts w:ascii="Arial" w:hAnsi="Arial" w:cs="Arial"/>
          <w:color w:val="000000" w:themeColor="text1"/>
          <w:spacing w:val="-2"/>
          <w:sz w:val="20"/>
          <w:szCs w:val="20"/>
        </w:rPr>
        <w:t>lncRNA</w:t>
      </w:r>
      <w:proofErr w:type="spellEnd"/>
      <w:r w:rsidRPr="002A5CD6">
        <w:rPr>
          <w:rFonts w:ascii="Arial" w:hAnsi="Arial" w:cs="Arial"/>
          <w:color w:val="000000" w:themeColor="text1"/>
          <w:spacing w:val="-2"/>
          <w:sz w:val="20"/>
          <w:szCs w:val="20"/>
        </w:rPr>
        <w:t xml:space="preserve"> or mRNA and miRNA.</w:t>
      </w:r>
    </w:p>
    <w:p w14:paraId="7BFD3559" w14:textId="77777777" w:rsidR="007D68BB" w:rsidRDefault="007D68BB" w:rsidP="007D68BB">
      <w:pPr>
        <w:spacing w:line="360" w:lineRule="auto"/>
        <w:jc w:val="both"/>
        <w:rPr>
          <w:rFonts w:ascii="Arial" w:hAnsi="Arial" w:cs="Arial"/>
          <w:color w:val="000000" w:themeColor="text1"/>
          <w:spacing w:val="-2"/>
          <w:sz w:val="20"/>
          <w:szCs w:val="20"/>
        </w:rPr>
      </w:pPr>
    </w:p>
    <w:p w14:paraId="3BF491C4" w14:textId="77777777" w:rsidR="007D68BB" w:rsidRPr="00807CAD" w:rsidRDefault="007D68BB" w:rsidP="007D68BB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07CAD">
        <w:rPr>
          <w:rFonts w:ascii="Arial" w:hAnsi="Arial" w:cs="Arial"/>
          <w:i/>
          <w:iCs/>
          <w:sz w:val="20"/>
          <w:szCs w:val="20"/>
        </w:rPr>
        <w:t>Statistical Analysis</w:t>
      </w:r>
    </w:p>
    <w:p w14:paraId="3088DE8D" w14:textId="77777777" w:rsidR="007D68BB" w:rsidRPr="00807CAD" w:rsidRDefault="007D68BB" w:rsidP="007D68B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07CAD">
        <w:rPr>
          <w:rFonts w:ascii="Arial" w:hAnsi="Arial" w:cs="Arial"/>
          <w:sz w:val="20"/>
          <w:szCs w:val="20"/>
        </w:rPr>
        <w:t xml:space="preserve">Statistical analysis </w:t>
      </w:r>
      <w:proofErr w:type="gramStart"/>
      <w:r w:rsidRPr="00807CAD">
        <w:rPr>
          <w:rFonts w:ascii="Arial" w:hAnsi="Arial" w:cs="Arial"/>
          <w:sz w:val="20"/>
          <w:szCs w:val="20"/>
        </w:rPr>
        <w:t>was performed</w:t>
      </w:r>
      <w:proofErr w:type="gramEnd"/>
      <w:r w:rsidRPr="00807CAD">
        <w:rPr>
          <w:rFonts w:ascii="Arial" w:hAnsi="Arial" w:cs="Arial"/>
          <w:sz w:val="20"/>
          <w:szCs w:val="20"/>
        </w:rPr>
        <w:t xml:space="preserve"> using </w:t>
      </w:r>
      <w:proofErr w:type="spellStart"/>
      <w:r w:rsidRPr="00807CAD">
        <w:rPr>
          <w:rFonts w:ascii="Arial" w:hAnsi="Arial" w:cs="Arial"/>
          <w:sz w:val="20"/>
          <w:szCs w:val="20"/>
        </w:rPr>
        <w:t>GraphPad</w:t>
      </w:r>
      <w:proofErr w:type="spellEnd"/>
      <w:r w:rsidRPr="00807CAD">
        <w:rPr>
          <w:rFonts w:ascii="Arial" w:hAnsi="Arial" w:cs="Arial"/>
          <w:sz w:val="20"/>
          <w:szCs w:val="20"/>
        </w:rPr>
        <w:t xml:space="preserve"> Prism (version 8.0). Experimental data </w:t>
      </w:r>
      <w:proofErr w:type="gramStart"/>
      <w:r w:rsidRPr="00807CAD">
        <w:rPr>
          <w:rFonts w:ascii="Arial" w:hAnsi="Arial" w:cs="Arial"/>
          <w:sz w:val="20"/>
          <w:szCs w:val="20"/>
        </w:rPr>
        <w:t>are presented</w:t>
      </w:r>
      <w:proofErr w:type="gramEnd"/>
      <w:r w:rsidRPr="00807CAD">
        <w:rPr>
          <w:rFonts w:ascii="Arial" w:hAnsi="Arial" w:cs="Arial"/>
          <w:sz w:val="20"/>
          <w:szCs w:val="20"/>
        </w:rPr>
        <w:t xml:space="preserve"> as means ± SD. </w:t>
      </w:r>
      <w:r w:rsidRPr="00256614">
        <w:rPr>
          <w:rFonts w:ascii="Arial" w:hAnsi="Arial" w:cs="Arial"/>
          <w:sz w:val="20"/>
          <w:szCs w:val="20"/>
        </w:rPr>
        <w:t>Unpaired Student’s t-test</w:t>
      </w:r>
      <w:r>
        <w:rPr>
          <w:rFonts w:ascii="Arial" w:hAnsi="Arial" w:cs="Arial"/>
          <w:sz w:val="20"/>
          <w:szCs w:val="20"/>
        </w:rPr>
        <w:t xml:space="preserve"> </w:t>
      </w:r>
      <w:r w:rsidRPr="00807CAD">
        <w:rPr>
          <w:rFonts w:ascii="Arial" w:hAnsi="Arial" w:cs="Arial"/>
          <w:sz w:val="20"/>
          <w:szCs w:val="20"/>
        </w:rPr>
        <w:t xml:space="preserve">was performed to analyze statistical significance. </w:t>
      </w:r>
      <w:r w:rsidR="004867C0" w:rsidRPr="00807CAD">
        <w:rPr>
          <w:rFonts w:ascii="Arial" w:hAnsi="Arial" w:cs="Arial"/>
          <w:sz w:val="20"/>
          <w:szCs w:val="20"/>
        </w:rPr>
        <w:t>P</w:t>
      </w:r>
      <w:r w:rsidRPr="00807CAD">
        <w:rPr>
          <w:rFonts w:ascii="Arial" w:hAnsi="Arial" w:cs="Arial"/>
          <w:sz w:val="20"/>
          <w:szCs w:val="20"/>
        </w:rPr>
        <w:t xml:space="preserve"> &lt; 0.05 </w:t>
      </w:r>
      <w:proofErr w:type="gramStart"/>
      <w:r w:rsidRPr="00807CAD">
        <w:rPr>
          <w:rFonts w:ascii="Arial" w:hAnsi="Arial" w:cs="Arial"/>
          <w:sz w:val="20"/>
          <w:szCs w:val="20"/>
        </w:rPr>
        <w:t>was considered</w:t>
      </w:r>
      <w:proofErr w:type="gramEnd"/>
      <w:r w:rsidRPr="00807CAD">
        <w:rPr>
          <w:rFonts w:ascii="Arial" w:hAnsi="Arial" w:cs="Arial"/>
          <w:sz w:val="20"/>
          <w:szCs w:val="20"/>
        </w:rPr>
        <w:t xml:space="preserve"> statistically significant.</w:t>
      </w:r>
    </w:p>
    <w:p w14:paraId="0DCE929B" w14:textId="77777777" w:rsidR="007D68BB" w:rsidRDefault="007D68BB" w:rsidP="007D68BB">
      <w:pPr>
        <w:spacing w:line="360" w:lineRule="auto"/>
      </w:pPr>
    </w:p>
    <w:p w14:paraId="48DAED72" w14:textId="77777777" w:rsidR="007D68BB" w:rsidRDefault="007D68BB" w:rsidP="007D68BB">
      <w:pPr>
        <w:spacing w:line="360" w:lineRule="auto"/>
      </w:pPr>
    </w:p>
    <w:p w14:paraId="11D3FD8B" w14:textId="77777777" w:rsidR="007D68BB" w:rsidRDefault="007D68BB"/>
    <w:sectPr w:rsidR="007D68B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8BB"/>
    <w:rsid w:val="000C3CA3"/>
    <w:rsid w:val="00133AB8"/>
    <w:rsid w:val="0015434C"/>
    <w:rsid w:val="00167528"/>
    <w:rsid w:val="003D4A22"/>
    <w:rsid w:val="004867C0"/>
    <w:rsid w:val="004D690D"/>
    <w:rsid w:val="00533A3C"/>
    <w:rsid w:val="00787C8D"/>
    <w:rsid w:val="007D68BB"/>
    <w:rsid w:val="008F4153"/>
    <w:rsid w:val="009E4E98"/>
    <w:rsid w:val="00CA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0DE8C"/>
  <w15:chartTrackingRefBased/>
  <w15:docId w15:val="{4C1610C0-9E7F-4567-BACA-58BECF4F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D68BB"/>
    <w:pPr>
      <w:spacing w:after="0" w:line="240" w:lineRule="auto"/>
    </w:pPr>
    <w:rPr>
      <w:kern w:val="2"/>
      <w:sz w:val="24"/>
      <w:szCs w:val="24"/>
      <w:lang w:val="en-US" w:eastAsia="zh-CN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D68BB"/>
    <w:rPr>
      <w:color w:val="0000FF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154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argetscan.org/vert_72/" TargetMode="External"/><Relationship Id="rId5" Type="http://schemas.openxmlformats.org/officeDocument/2006/relationships/hyperlink" Target="http://starbase.sysu.edu.cn/index.php" TargetMode="External"/><Relationship Id="rId4" Type="http://schemas.openxmlformats.org/officeDocument/2006/relationships/hyperlink" Target="https://diana.e-ce.uth.gr/lncbasev3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 Bonn</Company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Sharma</dc:creator>
  <cp:keywords/>
  <dc:description/>
  <cp:lastModifiedBy>Amit Sharma</cp:lastModifiedBy>
  <cp:revision>2</cp:revision>
  <dcterms:created xsi:type="dcterms:W3CDTF">2023-09-14T07:44:00Z</dcterms:created>
  <dcterms:modified xsi:type="dcterms:W3CDTF">2023-09-14T07:44:00Z</dcterms:modified>
</cp:coreProperties>
</file>