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B6E80" w14:textId="59A7971A" w:rsidR="007700E5" w:rsidRDefault="0044540F">
      <w:r>
        <w:rPr>
          <w:noProof/>
        </w:rPr>
        <w:drawing>
          <wp:inline distT="0" distB="0" distL="0" distR="0" wp14:anchorId="4BF497A3" wp14:editId="60C8FE8B">
            <wp:extent cx="5274310" cy="2624455"/>
            <wp:effectExtent l="0" t="0" r="2540" b="4445"/>
            <wp:docPr id="1" name="图片 1" descr="图片包含 照片, 游戏机, 水, 显示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照片, 游戏机, 水, 显示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CACDF" w14:textId="399DF950" w:rsidR="0044540F" w:rsidRDefault="0044540F"/>
    <w:p w14:paraId="7C7246CE" w14:textId="77B29BDF" w:rsidR="0044540F" w:rsidRDefault="00C821D2">
      <w:pPr>
        <w:rPr>
          <w:rFonts w:hint="eastAsia"/>
        </w:rPr>
      </w:pPr>
      <w:r>
        <w:t>S</w:t>
      </w:r>
      <w:r w:rsidR="0044540F" w:rsidRPr="0044540F">
        <w:t>upplementary</w:t>
      </w:r>
      <w:r w:rsidR="0044540F" w:rsidRPr="0044540F">
        <w:t xml:space="preserve"> </w:t>
      </w:r>
      <w:r w:rsidR="0044540F" w:rsidRPr="0044540F">
        <w:t xml:space="preserve">Figure </w:t>
      </w:r>
      <w:r>
        <w:t>1</w:t>
      </w:r>
      <w:r w:rsidR="0044540F">
        <w:rPr>
          <w:rFonts w:hint="eastAsia"/>
        </w:rPr>
        <w:t>：</w:t>
      </w:r>
      <w:r w:rsidRPr="00C821D2">
        <w:rPr>
          <w:rFonts w:hint="eastAsia"/>
        </w:rPr>
        <w:t xml:space="preserve">This is the original figure of Figure 3 in the </w:t>
      </w:r>
      <w:r w:rsidRPr="00C821D2">
        <w:rPr>
          <w:rFonts w:hint="eastAsia"/>
        </w:rPr>
        <w:t>m</w:t>
      </w:r>
      <w:r w:rsidRPr="00C821D2">
        <w:t>anuscript</w:t>
      </w:r>
      <w:r w:rsidRPr="00C821D2">
        <w:t>.</w:t>
      </w:r>
      <w:r w:rsidR="0044540F">
        <w:t xml:space="preserve"> </w:t>
      </w:r>
      <w:r w:rsidR="0044540F" w:rsidRPr="0044540F">
        <w:rPr>
          <w:b/>
          <w:bCs/>
        </w:rPr>
        <w:t>a</w:t>
      </w:r>
      <w:r w:rsidR="0044540F" w:rsidRPr="0044540F">
        <w:t xml:space="preserve">. A 800-bp PCR product was amplified by gap-PCR using primers F1 and R1 in I3, II2 and III1. No PCR product was observed from I1, I4, II1 or the control. M: marker, N: normal individual. </w:t>
      </w:r>
      <w:r w:rsidR="0044540F" w:rsidRPr="0044540F">
        <w:rPr>
          <w:b/>
          <w:bCs/>
        </w:rPr>
        <w:t>b</w:t>
      </w:r>
      <w:r w:rsidR="0044540F" w:rsidRPr="0044540F">
        <w:t xml:space="preserve">. A 900-bp PCR product was amplified by gap-PCR using primers F2 and R2 in II1 and III1. No PCR product was observed from I1, I3, I4, II2 or the control. </w:t>
      </w:r>
      <w:r w:rsidR="0044540F" w:rsidRPr="0044540F">
        <w:rPr>
          <w:b/>
          <w:bCs/>
        </w:rPr>
        <w:t>c</w:t>
      </w:r>
      <w:r w:rsidR="0044540F" w:rsidRPr="0044540F">
        <w:t>. A 1300-bp PCR product was amplified by gap-PCR using primers F3 and R3 in II1 and III1. No PCR product was observed from I1, I3, I4, II2 or the control.</w:t>
      </w:r>
    </w:p>
    <w:sectPr w:rsidR="00445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3D"/>
    <w:rsid w:val="0044540F"/>
    <w:rsid w:val="007700E5"/>
    <w:rsid w:val="00BA583D"/>
    <w:rsid w:val="00C8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9F563"/>
  <w15:chartTrackingRefBased/>
  <w15:docId w15:val="{67F02B8F-B05B-49AB-ACD2-6CECE134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5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兴盛</dc:creator>
  <cp:keywords/>
  <dc:description/>
  <cp:lastModifiedBy>董 兴盛</cp:lastModifiedBy>
  <cp:revision>2</cp:revision>
  <dcterms:created xsi:type="dcterms:W3CDTF">2023-03-14T15:43:00Z</dcterms:created>
  <dcterms:modified xsi:type="dcterms:W3CDTF">2023-03-14T15:57:00Z</dcterms:modified>
</cp:coreProperties>
</file>