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E7DA7" w14:textId="77777777" w:rsidR="003474B4" w:rsidRPr="008459A5" w:rsidRDefault="003474B4" w:rsidP="003474B4">
      <w:pPr>
        <w:pStyle w:val="EndNoteBibliography"/>
        <w:ind w:left="720" w:hanging="720"/>
        <w:rPr>
          <w:rFonts w:ascii="Times New Roman" w:hAnsi="Times New Roman" w:cs="Times New Roman"/>
          <w:b/>
          <w:bCs/>
          <w:sz w:val="21"/>
        </w:rPr>
      </w:pPr>
      <w:r w:rsidRPr="008459A5">
        <w:rPr>
          <w:rFonts w:ascii="Times New Roman" w:hAnsi="Times New Roman" w:cs="Times New Roman" w:hint="eastAsia"/>
          <w:b/>
          <w:bCs/>
          <w:sz w:val="21"/>
        </w:rPr>
        <w:t>Supplementary</w:t>
      </w:r>
      <w:r w:rsidRPr="008459A5">
        <w:rPr>
          <w:rFonts w:ascii="Times New Roman" w:hAnsi="Times New Roman" w:cs="Times New Roman"/>
          <w:b/>
          <w:bCs/>
          <w:sz w:val="21"/>
        </w:rPr>
        <w:t xml:space="preserve"> </w:t>
      </w:r>
      <w:r w:rsidRPr="008459A5">
        <w:rPr>
          <w:rFonts w:ascii="Times New Roman" w:hAnsi="Times New Roman" w:cs="Times New Roman" w:hint="eastAsia"/>
          <w:b/>
          <w:bCs/>
          <w:sz w:val="21"/>
        </w:rPr>
        <w:t>figures</w:t>
      </w:r>
    </w:p>
    <w:p w14:paraId="50B7399F" w14:textId="77777777" w:rsidR="003474B4" w:rsidRDefault="003474B4" w:rsidP="003474B4">
      <w:pPr>
        <w:pStyle w:val="EndNoteBibliography"/>
        <w:ind w:left="720" w:hanging="720"/>
        <w:rPr>
          <w:noProof/>
        </w:rPr>
      </w:pPr>
      <w:r>
        <w:rPr>
          <w:noProof/>
        </w:rPr>
        <w:drawing>
          <wp:inline distT="0" distB="0" distL="0" distR="0" wp14:anchorId="14E25E6F" wp14:editId="4B4D7D4C">
            <wp:extent cx="5274310" cy="3956050"/>
            <wp:effectExtent l="0" t="0" r="2540" b="6350"/>
            <wp:docPr id="182860320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603209" name="图片 182860320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A6D51" w14:textId="77777777" w:rsidR="003474B4" w:rsidRPr="009E57F4" w:rsidRDefault="003474B4" w:rsidP="003474B4">
      <w:pPr>
        <w:pStyle w:val="a7"/>
        <w:spacing w:before="168" w:beforeAutospacing="0" w:afterAutospacing="0"/>
        <w:jc w:val="both"/>
        <w:rPr>
          <w:rFonts w:ascii="Times New Roman" w:hAnsi="Times New Roman"/>
          <w:kern w:val="2"/>
          <w:sz w:val="15"/>
          <w:szCs w:val="15"/>
        </w:rPr>
      </w:pPr>
      <w:r w:rsidRPr="00AE2044">
        <w:rPr>
          <w:rFonts w:ascii="Times New Roman" w:hAnsi="Times New Roman"/>
          <w:b/>
          <w:bCs/>
          <w:kern w:val="2"/>
          <w:sz w:val="15"/>
          <w:szCs w:val="15"/>
        </w:rPr>
        <w:t>Fig. S1</w:t>
      </w:r>
      <w:r w:rsidRPr="00A62406">
        <w:rPr>
          <w:rFonts w:ascii="Times New Roman" w:hAnsi="Times New Roman"/>
          <w:b/>
          <w:bCs/>
          <w:kern w:val="2"/>
          <w:sz w:val="21"/>
        </w:rPr>
        <w:t xml:space="preserve"> </w:t>
      </w:r>
      <w:r w:rsidRPr="009F12BF">
        <w:rPr>
          <w:rFonts w:ascii="Times New Roman" w:hAnsi="Times New Roman" w:cstheme="minorBidi"/>
          <w:kern w:val="2"/>
          <w:sz w:val="15"/>
          <w:szCs w:val="15"/>
        </w:rPr>
        <w:t xml:space="preserve">Manhattan plots for associations of genetically predicted circulating proteins levels with </w:t>
      </w:r>
      <w:r w:rsidRPr="009F12BF">
        <w:rPr>
          <w:rFonts w:ascii="Times New Roman" w:hAnsi="Times New Roman" w:cstheme="minorBidi" w:hint="eastAsia"/>
          <w:kern w:val="2"/>
          <w:sz w:val="15"/>
          <w:szCs w:val="15"/>
        </w:rPr>
        <w:t>all</w:t>
      </w:r>
      <w:r w:rsidRPr="009F12BF">
        <w:rPr>
          <w:rFonts w:ascii="Times New Roman" w:hAnsi="Times New Roman" w:cstheme="minorBidi"/>
          <w:kern w:val="2"/>
          <w:sz w:val="15"/>
          <w:szCs w:val="15"/>
        </w:rPr>
        <w:t>-</w:t>
      </w:r>
      <w:r w:rsidRPr="009F12BF">
        <w:rPr>
          <w:rFonts w:ascii="Times New Roman" w:hAnsi="Times New Roman" w:cstheme="minorBidi" w:hint="eastAsia"/>
          <w:kern w:val="2"/>
          <w:sz w:val="15"/>
          <w:szCs w:val="15"/>
        </w:rPr>
        <w:t>cause</w:t>
      </w:r>
      <w:r w:rsidRPr="009F12BF">
        <w:rPr>
          <w:rFonts w:ascii="Times New Roman" w:hAnsi="Times New Roman" w:cstheme="minorBidi"/>
          <w:kern w:val="2"/>
          <w:sz w:val="15"/>
          <w:szCs w:val="15"/>
        </w:rPr>
        <w:t xml:space="preserve"> HF in MR analysis. a) Associations of genetically predicted circulating </w:t>
      </w:r>
      <w:r w:rsidRPr="009F12BF">
        <w:rPr>
          <w:rFonts w:ascii="Times New Roman" w:hAnsi="Times New Roman" w:cstheme="minorBidi" w:hint="eastAsia"/>
          <w:kern w:val="2"/>
          <w:sz w:val="15"/>
          <w:szCs w:val="15"/>
        </w:rPr>
        <w:t>proteins</w:t>
      </w:r>
      <w:r w:rsidRPr="009F12BF">
        <w:rPr>
          <w:rFonts w:ascii="Times New Roman" w:hAnsi="Times New Roman" w:cstheme="minorBidi"/>
          <w:kern w:val="2"/>
          <w:sz w:val="15"/>
          <w:szCs w:val="15"/>
        </w:rPr>
        <w:t xml:space="preserve"> with </w:t>
      </w:r>
      <w:r w:rsidRPr="009F12BF">
        <w:rPr>
          <w:rFonts w:ascii="Times New Roman" w:hAnsi="Times New Roman" w:cstheme="minorBidi" w:hint="eastAsia"/>
          <w:kern w:val="2"/>
          <w:sz w:val="15"/>
          <w:szCs w:val="15"/>
        </w:rPr>
        <w:t>all</w:t>
      </w:r>
      <w:r w:rsidRPr="009F12BF">
        <w:rPr>
          <w:rFonts w:ascii="Times New Roman" w:hAnsi="Times New Roman" w:cstheme="minorBidi"/>
          <w:kern w:val="2"/>
          <w:sz w:val="15"/>
          <w:szCs w:val="15"/>
        </w:rPr>
        <w:t>-</w:t>
      </w:r>
      <w:r w:rsidRPr="009F12BF">
        <w:rPr>
          <w:rFonts w:ascii="Times New Roman" w:hAnsi="Times New Roman" w:cstheme="minorBidi" w:hint="eastAsia"/>
          <w:kern w:val="2"/>
          <w:sz w:val="15"/>
          <w:szCs w:val="15"/>
        </w:rPr>
        <w:t>cause</w:t>
      </w:r>
      <w:r w:rsidRPr="009F12BF">
        <w:rPr>
          <w:rFonts w:ascii="Times New Roman" w:hAnsi="Times New Roman" w:cstheme="minorBidi"/>
          <w:kern w:val="2"/>
          <w:sz w:val="15"/>
          <w:szCs w:val="15"/>
        </w:rPr>
        <w:t xml:space="preserve"> HF </w:t>
      </w:r>
      <w:r w:rsidRPr="009F12BF">
        <w:rPr>
          <w:rFonts w:ascii="Times New Roman" w:hAnsi="Times New Roman" w:cstheme="minorBidi" w:hint="eastAsia"/>
          <w:kern w:val="2"/>
          <w:sz w:val="15"/>
          <w:szCs w:val="15"/>
        </w:rPr>
        <w:t>in</w:t>
      </w:r>
      <w:r w:rsidRPr="009F12BF">
        <w:rPr>
          <w:rFonts w:ascii="Times New Roman" w:hAnsi="Times New Roman" w:cstheme="minorBidi"/>
          <w:kern w:val="2"/>
          <w:sz w:val="15"/>
          <w:szCs w:val="15"/>
        </w:rPr>
        <w:t xml:space="preserve"> the HERMES Consortium; b) Associations of genetically predicted circulating </w:t>
      </w:r>
      <w:r w:rsidRPr="009F12BF">
        <w:rPr>
          <w:rFonts w:ascii="Times New Roman" w:hAnsi="Times New Roman" w:cstheme="minorBidi" w:hint="eastAsia"/>
          <w:kern w:val="2"/>
          <w:sz w:val="15"/>
          <w:szCs w:val="15"/>
        </w:rPr>
        <w:t>proteins</w:t>
      </w:r>
      <w:r w:rsidRPr="009F12BF">
        <w:rPr>
          <w:rFonts w:ascii="Times New Roman" w:hAnsi="Times New Roman" w:cstheme="minorBidi"/>
          <w:kern w:val="2"/>
          <w:sz w:val="15"/>
          <w:szCs w:val="15"/>
        </w:rPr>
        <w:t xml:space="preserve"> with </w:t>
      </w:r>
      <w:r w:rsidRPr="009F12BF">
        <w:rPr>
          <w:rFonts w:ascii="Times New Roman" w:hAnsi="Times New Roman" w:cstheme="minorBidi" w:hint="eastAsia"/>
          <w:kern w:val="2"/>
          <w:sz w:val="15"/>
          <w:szCs w:val="15"/>
        </w:rPr>
        <w:t>all</w:t>
      </w:r>
      <w:r w:rsidRPr="009F12BF">
        <w:rPr>
          <w:rFonts w:ascii="Times New Roman" w:hAnsi="Times New Roman" w:cstheme="minorBidi"/>
          <w:kern w:val="2"/>
          <w:sz w:val="15"/>
          <w:szCs w:val="15"/>
        </w:rPr>
        <w:t>-</w:t>
      </w:r>
      <w:r w:rsidRPr="009F12BF">
        <w:rPr>
          <w:rFonts w:ascii="Times New Roman" w:hAnsi="Times New Roman" w:cstheme="minorBidi" w:hint="eastAsia"/>
          <w:kern w:val="2"/>
          <w:sz w:val="15"/>
          <w:szCs w:val="15"/>
        </w:rPr>
        <w:t>cause</w:t>
      </w:r>
      <w:r w:rsidRPr="009F12BF">
        <w:rPr>
          <w:rFonts w:ascii="Times New Roman" w:hAnsi="Times New Roman" w:cstheme="minorBidi"/>
          <w:kern w:val="2"/>
          <w:sz w:val="15"/>
          <w:szCs w:val="15"/>
        </w:rPr>
        <w:t xml:space="preserve"> HF </w:t>
      </w:r>
      <w:r w:rsidRPr="009F12BF">
        <w:rPr>
          <w:rFonts w:ascii="Times New Roman" w:hAnsi="Times New Roman" w:cstheme="minorBidi" w:hint="eastAsia"/>
          <w:kern w:val="2"/>
          <w:sz w:val="15"/>
          <w:szCs w:val="15"/>
        </w:rPr>
        <w:t>in</w:t>
      </w:r>
      <w:r w:rsidRPr="009F12BF">
        <w:rPr>
          <w:rFonts w:ascii="Times New Roman" w:hAnsi="Times New Roman" w:cstheme="minorBidi"/>
          <w:kern w:val="2"/>
          <w:sz w:val="15"/>
          <w:szCs w:val="15"/>
        </w:rPr>
        <w:t xml:space="preserve"> the </w:t>
      </w:r>
      <w:proofErr w:type="spellStart"/>
      <w:r w:rsidRPr="009F12BF">
        <w:rPr>
          <w:rFonts w:ascii="Times New Roman" w:hAnsi="Times New Roman" w:cstheme="minorBidi"/>
          <w:kern w:val="2"/>
          <w:sz w:val="15"/>
          <w:szCs w:val="15"/>
        </w:rPr>
        <w:t>FinnGen</w:t>
      </w:r>
      <w:proofErr w:type="spellEnd"/>
      <w:r w:rsidRPr="009F12BF">
        <w:rPr>
          <w:rFonts w:ascii="Times New Roman" w:hAnsi="Times New Roman" w:cstheme="minorBidi"/>
          <w:kern w:val="2"/>
          <w:sz w:val="15"/>
          <w:szCs w:val="15"/>
        </w:rPr>
        <w:t xml:space="preserve"> Consortium. Blue line indicates the Bonferroni-corrected P = 0.05. Results are plotted by gene start position.</w:t>
      </w:r>
    </w:p>
    <w:p w14:paraId="16B08D20" w14:textId="77777777" w:rsidR="003474B4" w:rsidRPr="009F12BF" w:rsidRDefault="003474B4" w:rsidP="003474B4">
      <w:pPr>
        <w:pStyle w:val="a7"/>
        <w:spacing w:before="168" w:beforeAutospacing="0" w:afterAutospacing="0"/>
        <w:jc w:val="both"/>
        <w:rPr>
          <w:rFonts w:ascii="Times New Roman" w:hAnsi="Times New Roman"/>
          <w:b/>
          <w:bCs/>
          <w:kern w:val="2"/>
          <w:sz w:val="21"/>
        </w:rPr>
      </w:pPr>
      <w:r>
        <w:rPr>
          <w:rFonts w:ascii="Times New Roman" w:hAnsi="Times New Roman"/>
          <w:b/>
          <w:bCs/>
          <w:noProof/>
          <w:kern w:val="2"/>
          <w:sz w:val="21"/>
        </w:rPr>
        <w:drawing>
          <wp:inline distT="0" distB="0" distL="0" distR="0" wp14:anchorId="76CCB68E" wp14:editId="26845FA5">
            <wp:extent cx="5274310" cy="1862455"/>
            <wp:effectExtent l="0" t="0" r="2540" b="4445"/>
            <wp:docPr id="28387385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873858" name="图片 28387385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2D028" w14:textId="77777777" w:rsidR="003474B4" w:rsidRDefault="003474B4" w:rsidP="003474B4">
      <w:pPr>
        <w:pStyle w:val="a7"/>
        <w:spacing w:before="168" w:beforeAutospacing="0" w:afterAutospacing="0"/>
        <w:jc w:val="both"/>
        <w:rPr>
          <w:rFonts w:ascii="Times New Roman" w:hAnsi="Times New Roman"/>
          <w:b/>
          <w:bCs/>
          <w:kern w:val="2"/>
          <w:sz w:val="21"/>
        </w:rPr>
      </w:pPr>
      <w:r w:rsidRPr="00AE2044">
        <w:rPr>
          <w:rFonts w:ascii="Times New Roman" w:hAnsi="Times New Roman"/>
          <w:b/>
          <w:bCs/>
          <w:kern w:val="2"/>
          <w:sz w:val="15"/>
          <w:szCs w:val="15"/>
        </w:rPr>
        <w:t>Fig</w:t>
      </w:r>
      <w:r w:rsidRPr="00AE2044">
        <w:rPr>
          <w:rFonts w:ascii="Times New Roman" w:hAnsi="Times New Roman" w:hint="eastAsia"/>
          <w:b/>
          <w:bCs/>
          <w:kern w:val="2"/>
          <w:sz w:val="15"/>
          <w:szCs w:val="15"/>
        </w:rPr>
        <w:t>.</w:t>
      </w:r>
      <w:r w:rsidRPr="00AE2044">
        <w:rPr>
          <w:rFonts w:ascii="Times New Roman" w:hAnsi="Times New Roman"/>
          <w:b/>
          <w:bCs/>
          <w:kern w:val="2"/>
          <w:sz w:val="15"/>
          <w:szCs w:val="15"/>
        </w:rPr>
        <w:t xml:space="preserve"> S2</w:t>
      </w:r>
      <w:r w:rsidRPr="00A62406">
        <w:rPr>
          <w:rFonts w:ascii="Times New Roman" w:hAnsi="Times New Roman"/>
          <w:b/>
          <w:bCs/>
          <w:kern w:val="2"/>
          <w:sz w:val="21"/>
        </w:rPr>
        <w:t xml:space="preserve"> </w:t>
      </w:r>
      <w:r w:rsidRPr="00AE2044">
        <w:rPr>
          <w:rFonts w:ascii="Times New Roman" w:hAnsi="Times New Roman" w:cstheme="minorBidi"/>
          <w:kern w:val="2"/>
          <w:sz w:val="15"/>
          <w:szCs w:val="15"/>
        </w:rPr>
        <w:t xml:space="preserve">Manhattan plots for associations of genetically predicted circulating proteins levels with </w:t>
      </w:r>
      <w:r w:rsidRPr="00AE2044">
        <w:rPr>
          <w:rFonts w:ascii="Times New Roman" w:hAnsi="Times New Roman" w:cstheme="minorBidi" w:hint="eastAsia"/>
          <w:kern w:val="2"/>
          <w:sz w:val="15"/>
          <w:szCs w:val="15"/>
        </w:rPr>
        <w:t>ischemic</w:t>
      </w:r>
      <w:r w:rsidRPr="00AE2044">
        <w:rPr>
          <w:rFonts w:ascii="Times New Roman" w:hAnsi="Times New Roman" w:cstheme="minorBidi"/>
          <w:kern w:val="2"/>
          <w:sz w:val="15"/>
          <w:szCs w:val="15"/>
        </w:rPr>
        <w:t xml:space="preserve"> </w:t>
      </w:r>
      <w:r w:rsidRPr="00AE2044">
        <w:rPr>
          <w:rFonts w:ascii="Times New Roman" w:hAnsi="Times New Roman" w:cstheme="minorBidi" w:hint="eastAsia"/>
          <w:kern w:val="2"/>
          <w:sz w:val="15"/>
          <w:szCs w:val="15"/>
        </w:rPr>
        <w:t>heart</w:t>
      </w:r>
      <w:r w:rsidRPr="00AE2044">
        <w:rPr>
          <w:rFonts w:ascii="Times New Roman" w:hAnsi="Times New Roman" w:cstheme="minorBidi"/>
          <w:kern w:val="2"/>
          <w:sz w:val="15"/>
          <w:szCs w:val="15"/>
        </w:rPr>
        <w:t xml:space="preserve"> </w:t>
      </w:r>
      <w:r w:rsidRPr="00AE2044">
        <w:rPr>
          <w:rFonts w:ascii="Times New Roman" w:hAnsi="Times New Roman" w:cstheme="minorBidi" w:hint="eastAsia"/>
          <w:kern w:val="2"/>
          <w:sz w:val="15"/>
          <w:szCs w:val="15"/>
        </w:rPr>
        <w:t>disease</w:t>
      </w:r>
      <w:r w:rsidRPr="00AE2044">
        <w:rPr>
          <w:rFonts w:ascii="Times New Roman" w:hAnsi="Times New Roman" w:cstheme="minorBidi"/>
          <w:kern w:val="2"/>
          <w:sz w:val="15"/>
          <w:szCs w:val="15"/>
        </w:rPr>
        <w:t xml:space="preserve"> in MR analysis. Associations of genetically predicted circulating </w:t>
      </w:r>
      <w:r w:rsidRPr="00AE2044">
        <w:rPr>
          <w:rFonts w:ascii="Times New Roman" w:hAnsi="Times New Roman" w:cstheme="minorBidi" w:hint="eastAsia"/>
          <w:kern w:val="2"/>
          <w:sz w:val="15"/>
          <w:szCs w:val="15"/>
        </w:rPr>
        <w:t>proteins</w:t>
      </w:r>
      <w:r w:rsidRPr="00AE2044">
        <w:rPr>
          <w:rFonts w:ascii="Times New Roman" w:hAnsi="Times New Roman" w:cstheme="minorBidi"/>
          <w:kern w:val="2"/>
          <w:sz w:val="15"/>
          <w:szCs w:val="15"/>
        </w:rPr>
        <w:t xml:space="preserve"> with </w:t>
      </w:r>
      <w:r w:rsidRPr="00AE2044">
        <w:rPr>
          <w:rFonts w:ascii="Times New Roman" w:hAnsi="Times New Roman" w:cstheme="minorBidi" w:hint="eastAsia"/>
          <w:kern w:val="2"/>
          <w:sz w:val="15"/>
          <w:szCs w:val="15"/>
        </w:rPr>
        <w:t>ischemic</w:t>
      </w:r>
      <w:r w:rsidRPr="00AE2044">
        <w:rPr>
          <w:rFonts w:ascii="Times New Roman" w:hAnsi="Times New Roman" w:cstheme="minorBidi"/>
          <w:kern w:val="2"/>
          <w:sz w:val="15"/>
          <w:szCs w:val="15"/>
        </w:rPr>
        <w:t xml:space="preserve"> </w:t>
      </w:r>
      <w:r w:rsidRPr="00AE2044">
        <w:rPr>
          <w:rFonts w:ascii="Times New Roman" w:hAnsi="Times New Roman" w:cstheme="minorBidi" w:hint="eastAsia"/>
          <w:kern w:val="2"/>
          <w:sz w:val="15"/>
          <w:szCs w:val="15"/>
        </w:rPr>
        <w:t>heart</w:t>
      </w:r>
      <w:r w:rsidRPr="00AE2044">
        <w:rPr>
          <w:rFonts w:ascii="Times New Roman" w:hAnsi="Times New Roman" w:cstheme="minorBidi"/>
          <w:kern w:val="2"/>
          <w:sz w:val="15"/>
          <w:szCs w:val="15"/>
        </w:rPr>
        <w:t xml:space="preserve"> </w:t>
      </w:r>
      <w:r w:rsidRPr="00AE2044">
        <w:rPr>
          <w:rFonts w:ascii="Times New Roman" w:hAnsi="Times New Roman" w:cstheme="minorBidi" w:hint="eastAsia"/>
          <w:kern w:val="2"/>
          <w:sz w:val="15"/>
          <w:szCs w:val="15"/>
        </w:rPr>
        <w:t>disease</w:t>
      </w:r>
      <w:r w:rsidRPr="00AE2044">
        <w:rPr>
          <w:rFonts w:ascii="Times New Roman" w:hAnsi="Times New Roman" w:cstheme="minorBidi"/>
          <w:kern w:val="2"/>
          <w:sz w:val="15"/>
          <w:szCs w:val="15"/>
        </w:rPr>
        <w:t xml:space="preserve">. Labelled and colored </w:t>
      </w:r>
      <w:r>
        <w:rPr>
          <w:rFonts w:ascii="Times New Roman" w:hAnsi="Times New Roman" w:cstheme="minorBidi"/>
          <w:kern w:val="2"/>
          <w:sz w:val="15"/>
          <w:szCs w:val="15"/>
        </w:rPr>
        <w:t>protein</w:t>
      </w:r>
      <w:r w:rsidRPr="00AE2044">
        <w:rPr>
          <w:rFonts w:ascii="Times New Roman" w:hAnsi="Times New Roman" w:cstheme="minorBidi"/>
          <w:kern w:val="2"/>
          <w:sz w:val="15"/>
          <w:szCs w:val="15"/>
        </w:rPr>
        <w:t xml:space="preserve">s refer to MR findings with Bonferroni-corrected P &lt; 0.05 (two-sample MR analysis). Red </w:t>
      </w:r>
      <w:r>
        <w:rPr>
          <w:rFonts w:ascii="Times New Roman" w:hAnsi="Times New Roman" w:cstheme="minorBidi"/>
          <w:kern w:val="2"/>
          <w:sz w:val="15"/>
          <w:szCs w:val="15"/>
        </w:rPr>
        <w:t>protein</w:t>
      </w:r>
      <w:r w:rsidRPr="00AE2044">
        <w:rPr>
          <w:rFonts w:ascii="Times New Roman" w:hAnsi="Times New Roman" w:cstheme="minorBidi"/>
          <w:kern w:val="2"/>
          <w:sz w:val="15"/>
          <w:szCs w:val="15"/>
        </w:rPr>
        <w:t xml:space="preserve">s indicate the positive effect of the circulating </w:t>
      </w:r>
      <w:r w:rsidRPr="00AE2044">
        <w:rPr>
          <w:rFonts w:ascii="Times New Roman" w:hAnsi="Times New Roman" w:cstheme="minorBidi" w:hint="eastAsia"/>
          <w:kern w:val="2"/>
          <w:sz w:val="15"/>
          <w:szCs w:val="15"/>
        </w:rPr>
        <w:t>proteins</w:t>
      </w:r>
      <w:r w:rsidRPr="00AE2044">
        <w:rPr>
          <w:rFonts w:ascii="Times New Roman" w:hAnsi="Times New Roman" w:cstheme="minorBidi"/>
          <w:kern w:val="2"/>
          <w:sz w:val="15"/>
          <w:szCs w:val="15"/>
        </w:rPr>
        <w:t xml:space="preserve"> on outcomes; blue </w:t>
      </w:r>
      <w:r>
        <w:rPr>
          <w:rFonts w:ascii="Times New Roman" w:hAnsi="Times New Roman" w:cstheme="minorBidi"/>
          <w:kern w:val="2"/>
          <w:sz w:val="15"/>
          <w:szCs w:val="15"/>
        </w:rPr>
        <w:t>protein</w:t>
      </w:r>
      <w:r w:rsidRPr="00AE2044">
        <w:rPr>
          <w:rFonts w:ascii="Times New Roman" w:hAnsi="Times New Roman" w:cstheme="minorBidi"/>
          <w:kern w:val="2"/>
          <w:sz w:val="15"/>
          <w:szCs w:val="15"/>
        </w:rPr>
        <w:t xml:space="preserve">s indicate the negative effect of the circulating </w:t>
      </w:r>
      <w:r w:rsidRPr="00AE2044">
        <w:rPr>
          <w:rFonts w:ascii="Times New Roman" w:hAnsi="Times New Roman" w:cstheme="minorBidi" w:hint="eastAsia"/>
          <w:kern w:val="2"/>
          <w:sz w:val="15"/>
          <w:szCs w:val="15"/>
        </w:rPr>
        <w:t>proteins</w:t>
      </w:r>
      <w:r w:rsidRPr="00AE2044">
        <w:rPr>
          <w:rFonts w:ascii="Times New Roman" w:hAnsi="Times New Roman" w:cstheme="minorBidi"/>
          <w:kern w:val="2"/>
          <w:sz w:val="15"/>
          <w:szCs w:val="15"/>
        </w:rPr>
        <w:t xml:space="preserve"> on outcomes; </w:t>
      </w:r>
      <w:r w:rsidRPr="00AE2044">
        <w:rPr>
          <w:rFonts w:ascii="Times New Roman" w:hAnsi="Times New Roman" w:cstheme="minorBidi" w:hint="eastAsia"/>
          <w:kern w:val="2"/>
          <w:sz w:val="15"/>
          <w:szCs w:val="15"/>
        </w:rPr>
        <w:t>b</w:t>
      </w:r>
      <w:r w:rsidRPr="00AE2044">
        <w:rPr>
          <w:rFonts w:ascii="Times New Roman" w:hAnsi="Times New Roman" w:cstheme="minorBidi"/>
          <w:kern w:val="2"/>
          <w:sz w:val="15"/>
          <w:szCs w:val="15"/>
        </w:rPr>
        <w:t>lue line indicates the Bonferroni-corrected P = 0.05. Results are plotted by gene start position.</w:t>
      </w:r>
    </w:p>
    <w:p w14:paraId="6898459A" w14:textId="77777777" w:rsidR="003474B4" w:rsidRDefault="003474B4" w:rsidP="003474B4">
      <w:pPr>
        <w:pStyle w:val="EndNoteBibliography"/>
        <w:ind w:left="720" w:hanging="720"/>
        <w:rPr>
          <w:noProof/>
        </w:rPr>
      </w:pPr>
      <w:r>
        <w:rPr>
          <w:noProof/>
        </w:rPr>
        <w:lastRenderedPageBreak/>
        <w:drawing>
          <wp:inline distT="0" distB="0" distL="0" distR="0" wp14:anchorId="3F5612BC" wp14:editId="64198F4F">
            <wp:extent cx="5274310" cy="1862455"/>
            <wp:effectExtent l="0" t="0" r="2540" b="4445"/>
            <wp:docPr id="26442752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427526" name="图片 2644275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31231" w14:textId="77777777" w:rsidR="003474B4" w:rsidRDefault="003474B4" w:rsidP="003474B4">
      <w:pPr>
        <w:pStyle w:val="a7"/>
        <w:spacing w:before="168" w:beforeAutospacing="0" w:afterAutospacing="0"/>
        <w:jc w:val="both"/>
        <w:rPr>
          <w:rFonts w:ascii="Times New Roman" w:hAnsi="Times New Roman"/>
          <w:sz w:val="15"/>
          <w:szCs w:val="15"/>
        </w:rPr>
      </w:pPr>
      <w:r w:rsidRPr="00AE2044">
        <w:rPr>
          <w:rFonts w:ascii="Times New Roman" w:hAnsi="Times New Roman"/>
          <w:b/>
          <w:bCs/>
          <w:sz w:val="15"/>
          <w:szCs w:val="15"/>
        </w:rPr>
        <w:t>Fig. S3</w:t>
      </w:r>
      <w:r w:rsidRPr="00AE2044">
        <w:rPr>
          <w:rFonts w:ascii="Times New Roman" w:hAnsi="Times New Roman"/>
          <w:sz w:val="15"/>
          <w:szCs w:val="15"/>
        </w:rPr>
        <w:t xml:space="preserve"> Manhattan plots for associations of genetically predicted circulating proteins levels with </w:t>
      </w:r>
      <w:r w:rsidRPr="00AE2044">
        <w:rPr>
          <w:rFonts w:ascii="Times New Roman" w:hAnsi="Times New Roman" w:hint="eastAsia"/>
          <w:sz w:val="15"/>
          <w:szCs w:val="15"/>
        </w:rPr>
        <w:t>essential</w:t>
      </w:r>
      <w:r w:rsidRPr="00AE2044">
        <w:rPr>
          <w:rFonts w:ascii="Times New Roman" w:hAnsi="Times New Roman"/>
          <w:sz w:val="15"/>
          <w:szCs w:val="15"/>
        </w:rPr>
        <w:t xml:space="preserve"> hypertension in MR analysis. </w:t>
      </w:r>
      <w:r w:rsidRPr="009E57F4">
        <w:rPr>
          <w:rFonts w:ascii="Times New Roman" w:hAnsi="Times New Roman"/>
          <w:sz w:val="15"/>
          <w:szCs w:val="15"/>
        </w:rPr>
        <w:t xml:space="preserve">Associations of genetically predicted circulating </w:t>
      </w:r>
      <w:r>
        <w:rPr>
          <w:rFonts w:ascii="Times New Roman" w:hAnsi="Times New Roman" w:hint="eastAsia"/>
          <w:sz w:val="15"/>
          <w:szCs w:val="15"/>
        </w:rPr>
        <w:t>proteins</w:t>
      </w:r>
      <w:r w:rsidRPr="009E57F4">
        <w:rPr>
          <w:rFonts w:ascii="Times New Roman" w:hAnsi="Times New Roman"/>
          <w:sz w:val="15"/>
          <w:szCs w:val="15"/>
        </w:rPr>
        <w:t xml:space="preserve"> with </w:t>
      </w:r>
      <w:r>
        <w:rPr>
          <w:rFonts w:ascii="Times New Roman" w:hAnsi="Times New Roman" w:hint="eastAsia"/>
          <w:sz w:val="15"/>
          <w:szCs w:val="15"/>
        </w:rPr>
        <w:t>essential</w:t>
      </w:r>
      <w:r>
        <w:rPr>
          <w:rFonts w:ascii="Times New Roman" w:hAnsi="Times New Roman"/>
          <w:sz w:val="15"/>
          <w:szCs w:val="15"/>
        </w:rPr>
        <w:t xml:space="preserve"> </w:t>
      </w:r>
      <w:r>
        <w:rPr>
          <w:rFonts w:ascii="Times New Roman" w:hAnsi="Times New Roman" w:hint="eastAsia"/>
          <w:sz w:val="15"/>
          <w:szCs w:val="15"/>
        </w:rPr>
        <w:t>hypertension</w:t>
      </w:r>
      <w:r w:rsidRPr="009E57F4">
        <w:rPr>
          <w:rFonts w:ascii="Times New Roman" w:hAnsi="Times New Roman"/>
          <w:sz w:val="15"/>
          <w:szCs w:val="15"/>
        </w:rPr>
        <w:t xml:space="preserve">. Labelled and colored </w:t>
      </w:r>
      <w:r>
        <w:rPr>
          <w:rFonts w:ascii="Times New Roman" w:hAnsi="Times New Roman"/>
          <w:sz w:val="15"/>
          <w:szCs w:val="15"/>
        </w:rPr>
        <w:t>protein</w:t>
      </w:r>
      <w:r w:rsidRPr="009E57F4">
        <w:rPr>
          <w:rFonts w:ascii="Times New Roman" w:hAnsi="Times New Roman"/>
          <w:sz w:val="15"/>
          <w:szCs w:val="15"/>
        </w:rPr>
        <w:t xml:space="preserve">s refer to MR findings with Bonferroni-corrected P &lt; 0.05 (two-sample MR analysis). Red </w:t>
      </w:r>
      <w:r>
        <w:rPr>
          <w:rFonts w:ascii="Times New Roman" w:hAnsi="Times New Roman"/>
          <w:sz w:val="15"/>
          <w:szCs w:val="15"/>
        </w:rPr>
        <w:t>protein</w:t>
      </w:r>
      <w:r w:rsidRPr="009E57F4">
        <w:rPr>
          <w:rFonts w:ascii="Times New Roman" w:hAnsi="Times New Roman"/>
          <w:sz w:val="15"/>
          <w:szCs w:val="15"/>
        </w:rPr>
        <w:t xml:space="preserve">s indicate the positive effect of the circulating </w:t>
      </w:r>
      <w:r>
        <w:rPr>
          <w:rFonts w:ascii="Times New Roman" w:hAnsi="Times New Roman" w:hint="eastAsia"/>
          <w:sz w:val="15"/>
          <w:szCs w:val="15"/>
        </w:rPr>
        <w:t>proteins</w:t>
      </w:r>
      <w:r w:rsidRPr="009E57F4">
        <w:rPr>
          <w:rFonts w:ascii="Times New Roman" w:hAnsi="Times New Roman"/>
          <w:sz w:val="15"/>
          <w:szCs w:val="15"/>
        </w:rPr>
        <w:t xml:space="preserve"> on outcomes; blue </w:t>
      </w:r>
      <w:r>
        <w:rPr>
          <w:rFonts w:ascii="Times New Roman" w:hAnsi="Times New Roman"/>
          <w:sz w:val="15"/>
          <w:szCs w:val="15"/>
        </w:rPr>
        <w:t>protein</w:t>
      </w:r>
      <w:r w:rsidRPr="009E57F4">
        <w:rPr>
          <w:rFonts w:ascii="Times New Roman" w:hAnsi="Times New Roman"/>
          <w:sz w:val="15"/>
          <w:szCs w:val="15"/>
        </w:rPr>
        <w:t xml:space="preserve">s indicate the negative effect of the circulating </w:t>
      </w:r>
      <w:r>
        <w:rPr>
          <w:rFonts w:ascii="Times New Roman" w:hAnsi="Times New Roman" w:hint="eastAsia"/>
          <w:sz w:val="15"/>
          <w:szCs w:val="15"/>
        </w:rPr>
        <w:t>proteins</w:t>
      </w:r>
      <w:r w:rsidRPr="009E57F4">
        <w:rPr>
          <w:rFonts w:ascii="Times New Roman" w:hAnsi="Times New Roman"/>
          <w:sz w:val="15"/>
          <w:szCs w:val="15"/>
        </w:rPr>
        <w:t xml:space="preserve"> on outcomes;</w:t>
      </w:r>
      <w:r>
        <w:rPr>
          <w:rFonts w:ascii="Times New Roman" w:hAnsi="Times New Roman"/>
          <w:sz w:val="15"/>
          <w:szCs w:val="15"/>
        </w:rPr>
        <w:t xml:space="preserve"> </w:t>
      </w:r>
      <w:r>
        <w:rPr>
          <w:rFonts w:ascii="Times New Roman" w:hAnsi="Times New Roman" w:hint="eastAsia"/>
          <w:sz w:val="15"/>
          <w:szCs w:val="15"/>
        </w:rPr>
        <w:t>b</w:t>
      </w:r>
      <w:r w:rsidRPr="009E57F4">
        <w:rPr>
          <w:rFonts w:ascii="Times New Roman" w:hAnsi="Times New Roman"/>
          <w:sz w:val="15"/>
          <w:szCs w:val="15"/>
        </w:rPr>
        <w:t>lue line indicates the Bonferroni-corrected P = 0.05. Results are plotted by gene start position.</w:t>
      </w:r>
    </w:p>
    <w:p w14:paraId="54CDB532" w14:textId="77777777" w:rsidR="003474B4" w:rsidRDefault="003474B4" w:rsidP="003474B4">
      <w:pPr>
        <w:pStyle w:val="a7"/>
        <w:spacing w:before="168" w:beforeAutospacing="0" w:afterAutospacing="0"/>
        <w:jc w:val="both"/>
        <w:rPr>
          <w:rFonts w:ascii="Times New Roman" w:hAnsi="Times New Roman"/>
          <w:b/>
          <w:bCs/>
          <w:kern w:val="2"/>
          <w:sz w:val="21"/>
        </w:rPr>
      </w:pPr>
      <w:r>
        <w:rPr>
          <w:rFonts w:ascii="Times New Roman" w:hAnsi="Times New Roman"/>
          <w:b/>
          <w:bCs/>
          <w:noProof/>
          <w:kern w:val="2"/>
          <w:sz w:val="21"/>
        </w:rPr>
        <w:drawing>
          <wp:inline distT="0" distB="0" distL="0" distR="0" wp14:anchorId="439BC1CF" wp14:editId="4967028F">
            <wp:extent cx="5274310" cy="3730625"/>
            <wp:effectExtent l="0" t="0" r="0" b="0"/>
            <wp:docPr id="139613772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137729" name="图片 13961377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D1F5F" w14:textId="77777777" w:rsidR="003474B4" w:rsidRPr="00872250" w:rsidRDefault="003474B4" w:rsidP="003474B4">
      <w:pPr>
        <w:rPr>
          <w:rFonts w:ascii="Times New Roman" w:hAnsi="Times New Roman" w:cs="Times New Roman"/>
          <w:sz w:val="15"/>
          <w:szCs w:val="15"/>
        </w:rPr>
      </w:pPr>
      <w:r w:rsidRPr="00872250">
        <w:rPr>
          <w:rFonts w:ascii="Times New Roman" w:hAnsi="Times New Roman" w:cs="Times New Roman"/>
          <w:b/>
          <w:bCs/>
          <w:sz w:val="15"/>
          <w:szCs w:val="15"/>
        </w:rPr>
        <w:t>Fig. S4</w:t>
      </w:r>
      <w:r w:rsidRPr="00872250">
        <w:rPr>
          <w:rFonts w:ascii="Times New Roman" w:hAnsi="Times New Roman" w:cs="Times New Roman" w:hint="eastAsia"/>
          <w:b/>
          <w:bCs/>
          <w:sz w:val="15"/>
          <w:szCs w:val="15"/>
        </w:rPr>
        <w:t xml:space="preserve"> </w:t>
      </w:r>
      <w:r w:rsidRPr="00872250">
        <w:rPr>
          <w:rFonts w:ascii="Times New Roman" w:hAnsi="Times New Roman" w:cs="Times New Roman"/>
          <w:sz w:val="15"/>
          <w:szCs w:val="15"/>
        </w:rPr>
        <w:t>Two-Step Mendelian randomization analysis assessing the mediation effect of CHD on the relationship between PCSK9 and HF in patients with CHD. HF: heart failure; CHD: C</w:t>
      </w:r>
      <w:r w:rsidRPr="00872250">
        <w:rPr>
          <w:rFonts w:ascii="Times New Roman" w:hAnsi="Times New Roman" w:cs="Times New Roman" w:hint="eastAsia"/>
          <w:sz w:val="15"/>
          <w:szCs w:val="15"/>
        </w:rPr>
        <w:t>oronary heart disease</w:t>
      </w:r>
      <w:r w:rsidRPr="00872250">
        <w:rPr>
          <w:rFonts w:ascii="Times New Roman" w:hAnsi="Times New Roman" w:cs="Times New Roman"/>
          <w:sz w:val="15"/>
          <w:szCs w:val="15"/>
        </w:rPr>
        <w:t xml:space="preserve">; </w:t>
      </w:r>
      <w:r w:rsidRPr="00872250">
        <w:rPr>
          <w:rFonts w:ascii="Times New Roman" w:hAnsi="Times New Roman" w:cs="Times New Roman" w:hint="eastAsia"/>
          <w:sz w:val="15"/>
          <w:szCs w:val="15"/>
        </w:rPr>
        <w:t>β</w:t>
      </w:r>
      <w:r w:rsidRPr="00872250">
        <w:rPr>
          <w:rFonts w:ascii="Times New Roman" w:hAnsi="Times New Roman" w:cs="Times New Roman"/>
          <w:sz w:val="15"/>
          <w:szCs w:val="15"/>
        </w:rPr>
        <w:t xml:space="preserve">1 = Beta value between PCSK9 and mediator; </w:t>
      </w:r>
      <w:r w:rsidRPr="00872250">
        <w:rPr>
          <w:rFonts w:ascii="Times New Roman" w:hAnsi="Times New Roman" w:cs="Times New Roman" w:hint="eastAsia"/>
          <w:sz w:val="15"/>
          <w:szCs w:val="15"/>
        </w:rPr>
        <w:t>β</w:t>
      </w:r>
      <w:r w:rsidRPr="00872250">
        <w:rPr>
          <w:rFonts w:ascii="Times New Roman" w:hAnsi="Times New Roman" w:cs="Times New Roman"/>
          <w:sz w:val="15"/>
          <w:szCs w:val="15"/>
        </w:rPr>
        <w:t>2 = Beta value between mediator and HF in patients with CHD; Total effect = Beta value between PCSK9 and HF in patients with CHD</w:t>
      </w:r>
      <w:r w:rsidRPr="00872250">
        <w:rPr>
          <w:rFonts w:ascii="Times New Roman" w:hAnsi="Times New Roman" w:cs="Times New Roman" w:hint="eastAsia"/>
          <w:sz w:val="15"/>
          <w:szCs w:val="15"/>
        </w:rPr>
        <w:t>;</w:t>
      </w:r>
      <w:r w:rsidRPr="00872250">
        <w:rPr>
          <w:rFonts w:ascii="Times New Roman" w:hAnsi="Times New Roman" w:cs="Times New Roman"/>
          <w:sz w:val="15"/>
          <w:szCs w:val="15"/>
        </w:rPr>
        <w:t xml:space="preserve"> Proportion of mediation (%) =</w:t>
      </w:r>
      <w:r w:rsidRPr="00872250">
        <w:rPr>
          <w:rFonts w:ascii="Times New Roman" w:hAnsi="Times New Roman" w:cs="Times New Roman" w:hint="eastAsia"/>
          <w:sz w:val="15"/>
          <w:szCs w:val="15"/>
        </w:rPr>
        <w:t xml:space="preserve"> </w:t>
      </w:r>
      <w:r w:rsidRPr="00872250">
        <w:rPr>
          <w:rFonts w:ascii="Times New Roman" w:hAnsi="Times New Roman" w:cs="Times New Roman"/>
          <w:sz w:val="15"/>
          <w:szCs w:val="15"/>
        </w:rPr>
        <w:t xml:space="preserve">(Indirect effect / Total effect) </w:t>
      </w:r>
      <w:r w:rsidRPr="00872250">
        <w:rPr>
          <w:rFonts w:ascii="Times New Roman" w:hAnsi="Times New Roman" w:cs="Times New Roman" w:hint="eastAsia"/>
          <w:sz w:val="15"/>
          <w:szCs w:val="15"/>
        </w:rPr>
        <w:t>×</w:t>
      </w:r>
      <w:r w:rsidRPr="00872250">
        <w:rPr>
          <w:rFonts w:ascii="Times New Roman" w:hAnsi="Times New Roman" w:cs="Times New Roman"/>
          <w:sz w:val="15"/>
          <w:szCs w:val="15"/>
        </w:rPr>
        <w:t xml:space="preserve"> 100%.</w:t>
      </w:r>
    </w:p>
    <w:p w14:paraId="7699620A" w14:textId="77777777" w:rsidR="003474B4" w:rsidRDefault="003474B4" w:rsidP="003474B4">
      <w:pPr>
        <w:pStyle w:val="EndNoteBibliography"/>
        <w:ind w:left="720" w:hanging="720"/>
        <w:rPr>
          <w:noProof/>
        </w:rPr>
      </w:pPr>
      <w:r>
        <w:rPr>
          <w:rFonts w:hint="eastAsia"/>
          <w:noProof/>
        </w:rPr>
        <w:lastRenderedPageBreak/>
        <w:drawing>
          <wp:inline distT="0" distB="0" distL="0" distR="0" wp14:anchorId="0FD9F20E" wp14:editId="3727CF37">
            <wp:extent cx="5274310" cy="3730625"/>
            <wp:effectExtent l="0" t="0" r="2540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31470" w14:textId="77777777" w:rsidR="003474B4" w:rsidRDefault="003474B4" w:rsidP="003474B4">
      <w:pPr>
        <w:rPr>
          <w:rFonts w:ascii="Times New Roman" w:hAnsi="Times New Roman" w:cs="Times New Roman"/>
          <w:sz w:val="15"/>
          <w:szCs w:val="15"/>
        </w:rPr>
      </w:pPr>
      <w:r w:rsidRPr="00872250">
        <w:rPr>
          <w:rFonts w:ascii="Times New Roman" w:hAnsi="Times New Roman" w:cs="Times New Roman"/>
          <w:b/>
          <w:bCs/>
          <w:sz w:val="15"/>
          <w:szCs w:val="15"/>
        </w:rPr>
        <w:t>Fig. S5</w:t>
      </w:r>
      <w:r w:rsidRPr="00872250">
        <w:rPr>
          <w:rFonts w:ascii="Times New Roman" w:hAnsi="Times New Roman" w:cs="Times New Roman" w:hint="eastAsia"/>
          <w:b/>
          <w:bCs/>
          <w:sz w:val="15"/>
          <w:szCs w:val="15"/>
        </w:rPr>
        <w:t xml:space="preserve"> </w:t>
      </w:r>
      <w:r w:rsidRPr="00872250">
        <w:rPr>
          <w:rFonts w:ascii="Times New Roman" w:hAnsi="Times New Roman" w:cs="Times New Roman"/>
          <w:sz w:val="15"/>
          <w:szCs w:val="15"/>
        </w:rPr>
        <w:t>Two-</w:t>
      </w:r>
      <w:r w:rsidRPr="00AE2044">
        <w:rPr>
          <w:rFonts w:ascii="Times New Roman" w:hAnsi="Times New Roman" w:cs="Times New Roman"/>
          <w:sz w:val="15"/>
          <w:szCs w:val="15"/>
        </w:rPr>
        <w:t>Step Mendelian randomization analysis assessing the mediation effect of LDL-C on the relationship between PCSK9 and HF in patients with CHD. HF: heart failure; CHD: C</w:t>
      </w:r>
      <w:r w:rsidRPr="00AE2044">
        <w:rPr>
          <w:rFonts w:ascii="Times New Roman" w:hAnsi="Times New Roman" w:cs="Times New Roman" w:hint="eastAsia"/>
          <w:sz w:val="15"/>
          <w:szCs w:val="15"/>
        </w:rPr>
        <w:t>oronary heart disease</w:t>
      </w:r>
      <w:r w:rsidRPr="00AE2044">
        <w:rPr>
          <w:rFonts w:ascii="Times New Roman" w:hAnsi="Times New Roman" w:cs="Times New Roman"/>
          <w:sz w:val="15"/>
          <w:szCs w:val="15"/>
        </w:rPr>
        <w:t xml:space="preserve">; </w:t>
      </w:r>
      <w:r>
        <w:rPr>
          <w:rFonts w:ascii="Times New Roman" w:hAnsi="Times New Roman" w:cs="Times New Roman" w:hint="eastAsia"/>
          <w:sz w:val="15"/>
          <w:szCs w:val="15"/>
        </w:rPr>
        <w:t>L</w:t>
      </w:r>
      <w:r>
        <w:rPr>
          <w:rFonts w:ascii="Times New Roman" w:hAnsi="Times New Roman" w:cs="Times New Roman"/>
          <w:sz w:val="15"/>
          <w:szCs w:val="15"/>
        </w:rPr>
        <w:t xml:space="preserve">DL-C: </w:t>
      </w:r>
      <w:r w:rsidRPr="00890B16">
        <w:rPr>
          <w:rFonts w:ascii="Times New Roman" w:hAnsi="Times New Roman" w:cs="Times New Roman"/>
          <w:sz w:val="15"/>
          <w:szCs w:val="15"/>
        </w:rPr>
        <w:t>low-density lipoprotein</w:t>
      </w:r>
      <w:r>
        <w:rPr>
          <w:rFonts w:ascii="Times New Roman" w:hAnsi="Times New Roman" w:cs="Times New Roman"/>
          <w:sz w:val="15"/>
          <w:szCs w:val="15"/>
        </w:rPr>
        <w:t xml:space="preserve">; </w:t>
      </w:r>
      <w:r>
        <w:rPr>
          <w:rFonts w:ascii="Times New Roman" w:hAnsi="Times New Roman" w:cs="Times New Roman" w:hint="eastAsia"/>
          <w:sz w:val="15"/>
          <w:szCs w:val="15"/>
        </w:rPr>
        <w:t>β</w:t>
      </w:r>
      <w:r w:rsidRPr="00D51CE6">
        <w:rPr>
          <w:rFonts w:ascii="Times New Roman" w:hAnsi="Times New Roman" w:cs="Times New Roman"/>
          <w:sz w:val="15"/>
          <w:szCs w:val="15"/>
        </w:rPr>
        <w:t xml:space="preserve">1 = Beta value between PCSK9 and mediator; </w:t>
      </w:r>
      <w:r>
        <w:rPr>
          <w:rFonts w:ascii="Times New Roman" w:hAnsi="Times New Roman" w:cs="Times New Roman" w:hint="eastAsia"/>
          <w:sz w:val="15"/>
          <w:szCs w:val="15"/>
        </w:rPr>
        <w:t>β</w:t>
      </w:r>
      <w:r w:rsidRPr="00D51CE6">
        <w:rPr>
          <w:rFonts w:ascii="Times New Roman" w:hAnsi="Times New Roman" w:cs="Times New Roman"/>
          <w:sz w:val="15"/>
          <w:szCs w:val="15"/>
        </w:rPr>
        <w:t xml:space="preserve">2 = Beta value between mediator and HF </w:t>
      </w:r>
      <w:r>
        <w:rPr>
          <w:rFonts w:ascii="Times New Roman" w:hAnsi="Times New Roman" w:cs="Times New Roman"/>
          <w:sz w:val="15"/>
          <w:szCs w:val="15"/>
        </w:rPr>
        <w:t>in patients with</w:t>
      </w:r>
      <w:r w:rsidRPr="00D51CE6">
        <w:rPr>
          <w:rFonts w:ascii="Times New Roman" w:hAnsi="Times New Roman" w:cs="Times New Roman"/>
          <w:sz w:val="15"/>
          <w:szCs w:val="15"/>
        </w:rPr>
        <w:t xml:space="preserve"> CHD; Total effect = Beta value between PCSK9 and HF </w:t>
      </w:r>
      <w:r>
        <w:rPr>
          <w:rFonts w:ascii="Times New Roman" w:hAnsi="Times New Roman" w:cs="Times New Roman"/>
          <w:sz w:val="15"/>
          <w:szCs w:val="15"/>
        </w:rPr>
        <w:t>in patients with</w:t>
      </w:r>
      <w:r w:rsidRPr="00D51CE6">
        <w:rPr>
          <w:rFonts w:ascii="Times New Roman" w:hAnsi="Times New Roman" w:cs="Times New Roman"/>
          <w:sz w:val="15"/>
          <w:szCs w:val="15"/>
        </w:rPr>
        <w:t xml:space="preserve"> CHD</w:t>
      </w:r>
      <w:r>
        <w:rPr>
          <w:rFonts w:ascii="Times New Roman" w:hAnsi="Times New Roman" w:cs="Times New Roman" w:hint="eastAsia"/>
          <w:sz w:val="15"/>
          <w:szCs w:val="15"/>
        </w:rPr>
        <w:t>;</w:t>
      </w:r>
      <w:r w:rsidRPr="00D51CE6">
        <w:rPr>
          <w:rFonts w:ascii="Times New Roman" w:hAnsi="Times New Roman" w:cs="Times New Roman"/>
          <w:sz w:val="15"/>
          <w:szCs w:val="15"/>
        </w:rPr>
        <w:t xml:space="preserve"> Proportion of mediation</w:t>
      </w:r>
      <w:r>
        <w:rPr>
          <w:rFonts w:ascii="Times New Roman" w:hAnsi="Times New Roman" w:cs="Times New Roman"/>
          <w:sz w:val="15"/>
          <w:szCs w:val="15"/>
        </w:rPr>
        <w:t xml:space="preserve"> (%)</w:t>
      </w:r>
      <w:r w:rsidRPr="00D51CE6">
        <w:rPr>
          <w:rFonts w:ascii="Times New Roman" w:hAnsi="Times New Roman" w:cs="Times New Roman"/>
          <w:sz w:val="15"/>
          <w:szCs w:val="15"/>
        </w:rPr>
        <w:t xml:space="preserve"> =</w:t>
      </w:r>
      <w:r>
        <w:rPr>
          <w:rFonts w:ascii="Times New Roman" w:hAnsi="Times New Roman" w:cs="Times New Roman" w:hint="eastAsia"/>
          <w:sz w:val="15"/>
          <w:szCs w:val="15"/>
        </w:rPr>
        <w:t xml:space="preserve"> </w:t>
      </w:r>
      <w:r>
        <w:rPr>
          <w:rFonts w:ascii="Times New Roman" w:hAnsi="Times New Roman" w:cs="Times New Roman"/>
          <w:sz w:val="15"/>
          <w:szCs w:val="15"/>
        </w:rPr>
        <w:t>(</w:t>
      </w:r>
      <w:r w:rsidRPr="00D51CE6">
        <w:rPr>
          <w:rFonts w:ascii="Times New Roman" w:hAnsi="Times New Roman" w:cs="Times New Roman"/>
          <w:sz w:val="15"/>
          <w:szCs w:val="15"/>
        </w:rPr>
        <w:t>Indirect effect / Total effect</w:t>
      </w:r>
      <w:r>
        <w:rPr>
          <w:rFonts w:ascii="Times New Roman" w:hAnsi="Times New Roman" w:cs="Times New Roman"/>
          <w:sz w:val="15"/>
          <w:szCs w:val="15"/>
        </w:rPr>
        <w:t xml:space="preserve">) </w:t>
      </w:r>
      <w:r>
        <w:rPr>
          <w:rFonts w:ascii="Times New Roman" w:hAnsi="Times New Roman" w:cs="Times New Roman" w:hint="eastAsia"/>
          <w:sz w:val="15"/>
          <w:szCs w:val="15"/>
        </w:rPr>
        <w:t>×</w:t>
      </w:r>
      <w:r>
        <w:rPr>
          <w:rFonts w:ascii="Times New Roman" w:hAnsi="Times New Roman" w:cs="Times New Roman"/>
          <w:sz w:val="15"/>
          <w:szCs w:val="15"/>
        </w:rPr>
        <w:t xml:space="preserve"> 100%</w:t>
      </w:r>
      <w:r w:rsidRPr="00A62406">
        <w:rPr>
          <w:rFonts w:ascii="Times New Roman" w:hAnsi="Times New Roman" w:cs="Times New Roman"/>
          <w:sz w:val="15"/>
          <w:szCs w:val="15"/>
        </w:rPr>
        <w:t>.</w:t>
      </w:r>
    </w:p>
    <w:p w14:paraId="0F4401CE" w14:textId="77777777" w:rsidR="003474B4" w:rsidRDefault="003474B4" w:rsidP="003474B4">
      <w:pPr>
        <w:pStyle w:val="EndNoteBibliography"/>
        <w:ind w:left="720" w:hanging="720"/>
        <w:rPr>
          <w:noProof/>
        </w:rPr>
      </w:pPr>
      <w:r>
        <w:rPr>
          <w:rFonts w:hint="eastAsia"/>
          <w:noProof/>
        </w:rPr>
        <w:drawing>
          <wp:inline distT="0" distB="0" distL="0" distR="0" wp14:anchorId="0D453971" wp14:editId="33B949F7">
            <wp:extent cx="5274310" cy="2226945"/>
            <wp:effectExtent l="0" t="0" r="2540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5EBB7" w14:textId="77777777" w:rsidR="003474B4" w:rsidRPr="00E12221" w:rsidRDefault="003474B4" w:rsidP="003474B4">
      <w:pPr>
        <w:spacing w:line="240" w:lineRule="exact"/>
        <w:rPr>
          <w:rFonts w:ascii="Times New Roman" w:hAnsi="Times New Roman" w:cs="Times New Roman"/>
          <w:sz w:val="15"/>
          <w:szCs w:val="15"/>
        </w:rPr>
      </w:pPr>
      <w:r w:rsidRPr="00E12221">
        <w:rPr>
          <w:rFonts w:ascii="Times New Roman" w:hAnsi="Times New Roman" w:cs="Times New Roman"/>
          <w:b/>
          <w:bCs/>
          <w:sz w:val="15"/>
          <w:szCs w:val="15"/>
        </w:rPr>
        <w:t>Fig</w:t>
      </w:r>
      <w:r w:rsidRPr="00872250">
        <w:rPr>
          <w:rFonts w:ascii="Times New Roman" w:hAnsi="Times New Roman" w:cs="Times New Roman"/>
          <w:b/>
          <w:bCs/>
          <w:sz w:val="15"/>
          <w:szCs w:val="15"/>
        </w:rPr>
        <w:t xml:space="preserve">. S6 </w:t>
      </w:r>
      <w:r w:rsidRPr="00872250">
        <w:rPr>
          <w:rFonts w:ascii="Times New Roman" w:hAnsi="Times New Roman" w:cs="Times New Roman"/>
          <w:sz w:val="15"/>
          <w:szCs w:val="15"/>
        </w:rPr>
        <w:t>Co</w:t>
      </w:r>
      <w:r w:rsidRPr="007B0B69">
        <w:rPr>
          <w:rFonts w:ascii="Times New Roman" w:hAnsi="Times New Roman" w:cs="Times New Roman"/>
          <w:sz w:val="15"/>
          <w:szCs w:val="15"/>
        </w:rPr>
        <w:t xml:space="preserve">mparing PCSK9 </w:t>
      </w:r>
      <w:r w:rsidRPr="007B0B69">
        <w:rPr>
          <w:rFonts w:ascii="Times New Roman" w:hAnsi="Times New Roman" w:cs="Times New Roman" w:hint="eastAsia"/>
          <w:sz w:val="15"/>
          <w:szCs w:val="15"/>
        </w:rPr>
        <w:t>e</w:t>
      </w:r>
      <w:r w:rsidRPr="007B0B69">
        <w:rPr>
          <w:rFonts w:ascii="Times New Roman" w:hAnsi="Times New Roman" w:cs="Times New Roman"/>
          <w:sz w:val="15"/>
          <w:szCs w:val="15"/>
        </w:rPr>
        <w:t xml:space="preserve">xpression in </w:t>
      </w:r>
      <w:r w:rsidRPr="007B0B69">
        <w:rPr>
          <w:rFonts w:ascii="Times New Roman" w:hAnsi="Times New Roman" w:cs="Times New Roman" w:hint="eastAsia"/>
          <w:sz w:val="15"/>
          <w:szCs w:val="15"/>
        </w:rPr>
        <w:t>c</w:t>
      </w:r>
      <w:r w:rsidRPr="007B0B69">
        <w:rPr>
          <w:rFonts w:ascii="Times New Roman" w:hAnsi="Times New Roman" w:cs="Times New Roman"/>
          <w:sz w:val="15"/>
          <w:szCs w:val="15"/>
        </w:rPr>
        <w:t xml:space="preserve">ardiac </w:t>
      </w:r>
      <w:r w:rsidRPr="007B0B69">
        <w:rPr>
          <w:rFonts w:ascii="Times New Roman" w:hAnsi="Times New Roman" w:cs="Times New Roman" w:hint="eastAsia"/>
          <w:sz w:val="15"/>
          <w:szCs w:val="15"/>
        </w:rPr>
        <w:t>c</w:t>
      </w:r>
      <w:r w:rsidRPr="007B0B69">
        <w:rPr>
          <w:rFonts w:ascii="Times New Roman" w:hAnsi="Times New Roman" w:cs="Times New Roman"/>
          <w:sz w:val="15"/>
          <w:szCs w:val="15"/>
        </w:rPr>
        <w:t xml:space="preserve">ells </w:t>
      </w:r>
      <w:r w:rsidRPr="007B0B69">
        <w:rPr>
          <w:rFonts w:ascii="Times New Roman" w:hAnsi="Times New Roman" w:cs="Times New Roman" w:hint="eastAsia"/>
          <w:sz w:val="15"/>
          <w:szCs w:val="15"/>
        </w:rPr>
        <w:t>b</w:t>
      </w:r>
      <w:r w:rsidRPr="007B0B69">
        <w:rPr>
          <w:rFonts w:ascii="Times New Roman" w:hAnsi="Times New Roman" w:cs="Times New Roman"/>
          <w:sz w:val="15"/>
          <w:szCs w:val="15"/>
        </w:rPr>
        <w:t>etween End-Stage Ischemic Cardiomyopathy and Non-Failing Controls</w:t>
      </w:r>
      <w:r w:rsidRPr="00E12221">
        <w:rPr>
          <w:rFonts w:ascii="Times New Roman" w:hAnsi="Times New Roman" w:cs="Times New Roman"/>
          <w:sz w:val="15"/>
          <w:szCs w:val="15"/>
        </w:rPr>
        <w:t xml:space="preserve">. </w:t>
      </w:r>
      <w:r w:rsidRPr="007B4AD0">
        <w:rPr>
          <w:rFonts w:ascii="Times New Roman" w:hAnsi="Times New Roman" w:cs="Times New Roman"/>
          <w:sz w:val="15"/>
          <w:szCs w:val="15"/>
        </w:rPr>
        <w:t xml:space="preserve">In this figure, the red </w:t>
      </w:r>
      <w:r>
        <w:rPr>
          <w:rFonts w:ascii="Times New Roman" w:hAnsi="Times New Roman" w:cs="Times New Roman"/>
          <w:sz w:val="15"/>
          <w:szCs w:val="15"/>
        </w:rPr>
        <w:t>group</w:t>
      </w:r>
      <w:r w:rsidRPr="007B4AD0">
        <w:rPr>
          <w:rFonts w:ascii="Times New Roman" w:hAnsi="Times New Roman" w:cs="Times New Roman"/>
          <w:sz w:val="15"/>
          <w:szCs w:val="15"/>
        </w:rPr>
        <w:t xml:space="preserve"> correspond to ischemic cardiomyopathy at end-stage HF, while the blue </w:t>
      </w:r>
      <w:r>
        <w:rPr>
          <w:rFonts w:ascii="Times New Roman" w:hAnsi="Times New Roman" w:cs="Times New Roman"/>
          <w:sz w:val="15"/>
          <w:szCs w:val="15"/>
        </w:rPr>
        <w:t>group</w:t>
      </w:r>
      <w:r w:rsidRPr="007B4AD0">
        <w:rPr>
          <w:rFonts w:ascii="Times New Roman" w:hAnsi="Times New Roman" w:cs="Times New Roman"/>
          <w:sz w:val="15"/>
          <w:szCs w:val="15"/>
        </w:rPr>
        <w:t xml:space="preserve"> represent the non-failing controls. The vertical axis denotes the PCSK9 expression levels.</w:t>
      </w:r>
    </w:p>
    <w:p w14:paraId="6130A7F1" w14:textId="77777777" w:rsidR="003474B4" w:rsidRDefault="003474B4" w:rsidP="003474B4">
      <w:pPr>
        <w:pStyle w:val="EndNoteBibliography"/>
        <w:ind w:left="720" w:hanging="72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6575F1F" wp14:editId="40E912A9">
            <wp:extent cx="4770218" cy="3845579"/>
            <wp:effectExtent l="0" t="0" r="0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6143" cy="385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7A7F0" w14:textId="77777777" w:rsidR="003474B4" w:rsidRPr="00E12221" w:rsidRDefault="003474B4" w:rsidP="003474B4">
      <w:pPr>
        <w:spacing w:line="240" w:lineRule="exact"/>
        <w:rPr>
          <w:rFonts w:ascii="Times New Roman" w:hAnsi="Times New Roman" w:cs="Times New Roman"/>
          <w:sz w:val="15"/>
          <w:szCs w:val="15"/>
        </w:rPr>
      </w:pPr>
      <w:r w:rsidRPr="00E12221">
        <w:rPr>
          <w:rFonts w:ascii="Times New Roman" w:hAnsi="Times New Roman" w:cs="Times New Roman"/>
          <w:b/>
          <w:bCs/>
          <w:sz w:val="15"/>
          <w:szCs w:val="15"/>
        </w:rPr>
        <w:t>Fig.</w:t>
      </w:r>
      <w:r w:rsidRPr="00872250">
        <w:rPr>
          <w:rFonts w:ascii="Times New Roman" w:hAnsi="Times New Roman" w:cs="Times New Roman"/>
          <w:b/>
          <w:bCs/>
          <w:sz w:val="15"/>
          <w:szCs w:val="15"/>
        </w:rPr>
        <w:t xml:space="preserve"> S7 </w:t>
      </w:r>
      <w:r w:rsidRPr="00872250">
        <w:rPr>
          <w:rFonts w:ascii="Times New Roman" w:hAnsi="Times New Roman" w:cs="Times New Roman"/>
          <w:sz w:val="15"/>
          <w:szCs w:val="15"/>
        </w:rPr>
        <w:t>Expr</w:t>
      </w:r>
      <w:r w:rsidRPr="007B0B69">
        <w:rPr>
          <w:rFonts w:ascii="Times New Roman" w:hAnsi="Times New Roman" w:cs="Times New Roman"/>
          <w:sz w:val="15"/>
          <w:szCs w:val="15"/>
        </w:rPr>
        <w:t xml:space="preserve">ession of PCSK9 in </w:t>
      </w:r>
      <w:r>
        <w:rPr>
          <w:rFonts w:ascii="Times New Roman" w:hAnsi="Times New Roman" w:cs="Times New Roman" w:hint="eastAsia"/>
          <w:sz w:val="15"/>
          <w:szCs w:val="15"/>
        </w:rPr>
        <w:t>c</w:t>
      </w:r>
      <w:r w:rsidRPr="007B0B69">
        <w:rPr>
          <w:rFonts w:ascii="Times New Roman" w:hAnsi="Times New Roman" w:cs="Times New Roman"/>
          <w:sz w:val="15"/>
          <w:szCs w:val="15"/>
        </w:rPr>
        <w:t xml:space="preserve">ardiac </w:t>
      </w:r>
      <w:r>
        <w:rPr>
          <w:rFonts w:ascii="Times New Roman" w:hAnsi="Times New Roman" w:cs="Times New Roman" w:hint="eastAsia"/>
          <w:sz w:val="15"/>
          <w:szCs w:val="15"/>
        </w:rPr>
        <w:t>c</w:t>
      </w:r>
      <w:r w:rsidRPr="007B0B69">
        <w:rPr>
          <w:rFonts w:ascii="Times New Roman" w:hAnsi="Times New Roman" w:cs="Times New Roman"/>
          <w:sz w:val="15"/>
          <w:szCs w:val="15"/>
        </w:rPr>
        <w:t xml:space="preserve">ells in </w:t>
      </w:r>
      <w:r>
        <w:rPr>
          <w:rFonts w:ascii="Times New Roman" w:hAnsi="Times New Roman" w:cs="Times New Roman" w:hint="eastAsia"/>
          <w:sz w:val="15"/>
          <w:szCs w:val="15"/>
        </w:rPr>
        <w:t>both</w:t>
      </w:r>
      <w:r>
        <w:rPr>
          <w:rFonts w:ascii="Times New Roman" w:hAnsi="Times New Roman" w:cs="Times New Roman"/>
          <w:sz w:val="15"/>
          <w:szCs w:val="15"/>
        </w:rPr>
        <w:t xml:space="preserve"> </w:t>
      </w:r>
      <w:r w:rsidRPr="007B0B69">
        <w:rPr>
          <w:rFonts w:ascii="Times New Roman" w:hAnsi="Times New Roman" w:cs="Times New Roman"/>
          <w:sz w:val="15"/>
          <w:szCs w:val="15"/>
        </w:rPr>
        <w:t>End-Stage Ischemic Cardiomyopathy and Non-Failing Controls</w:t>
      </w:r>
      <w:r>
        <w:rPr>
          <w:rFonts w:ascii="Times New Roman" w:hAnsi="Times New Roman" w:cs="Times New Roman"/>
          <w:sz w:val="15"/>
          <w:szCs w:val="15"/>
        </w:rPr>
        <w:t>.</w:t>
      </w:r>
      <w:r w:rsidRPr="00E12221">
        <w:rPr>
          <w:rFonts w:ascii="Times New Roman" w:hAnsi="Times New Roman" w:cs="Times New Roman"/>
          <w:sz w:val="15"/>
          <w:szCs w:val="15"/>
        </w:rPr>
        <w:t xml:space="preserve"> In the UMAP dimensionality reduction cluster diagram, </w:t>
      </w:r>
      <w:r w:rsidRPr="007B4AD0">
        <w:rPr>
          <w:rFonts w:ascii="Times New Roman" w:hAnsi="Times New Roman" w:cs="Times New Roman"/>
          <w:sz w:val="15"/>
          <w:szCs w:val="15"/>
        </w:rPr>
        <w:t>each data point corresponds to an individual cell. Intensity of color indicates the relative expression level of PCSK9 within the cell, with redder shades denoting higher expression.</w:t>
      </w:r>
    </w:p>
    <w:p w14:paraId="14806D9E" w14:textId="77777777" w:rsidR="002C6A6F" w:rsidRPr="003474B4" w:rsidRDefault="002C6A6F"/>
    <w:sectPr w:rsidR="002C6A6F" w:rsidRPr="003474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17E4B" w14:textId="77777777" w:rsidR="004E0DAD" w:rsidRDefault="004E0DAD" w:rsidP="003474B4">
      <w:r>
        <w:separator/>
      </w:r>
    </w:p>
  </w:endnote>
  <w:endnote w:type="continuationSeparator" w:id="0">
    <w:p w14:paraId="23310224" w14:textId="77777777" w:rsidR="004E0DAD" w:rsidRDefault="004E0DAD" w:rsidP="00347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CA0FA" w14:textId="77777777" w:rsidR="004E0DAD" w:rsidRDefault="004E0DAD" w:rsidP="003474B4">
      <w:r>
        <w:separator/>
      </w:r>
    </w:p>
  </w:footnote>
  <w:footnote w:type="continuationSeparator" w:id="0">
    <w:p w14:paraId="6AEDBD53" w14:textId="77777777" w:rsidR="004E0DAD" w:rsidRDefault="004E0DAD" w:rsidP="003474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B13"/>
    <w:rsid w:val="002C6A6F"/>
    <w:rsid w:val="003474B4"/>
    <w:rsid w:val="003B4396"/>
    <w:rsid w:val="004E0DAD"/>
    <w:rsid w:val="00872250"/>
    <w:rsid w:val="00F9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0670D33-89FD-4838-8ACA-90FC2B5D4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4B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74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474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74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474B4"/>
    <w:rPr>
      <w:sz w:val="18"/>
      <w:szCs w:val="18"/>
    </w:rPr>
  </w:style>
  <w:style w:type="paragraph" w:styleId="a7">
    <w:name w:val="Normal (Web)"/>
    <w:basedOn w:val="a"/>
    <w:uiPriority w:val="99"/>
    <w:qFormat/>
    <w:rsid w:val="003474B4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EndNoteBibliography">
    <w:name w:val="EndNote Bibliography"/>
    <w:basedOn w:val="a"/>
    <w:link w:val="EndNoteBibliography0"/>
    <w:rsid w:val="003474B4"/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a0"/>
    <w:link w:val="EndNoteBibliography"/>
    <w:rsid w:val="003474B4"/>
    <w:rPr>
      <w:rFonts w:ascii="Calibri" w:hAnsi="Calibri" w:cs="Calibri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Lichao Lin</dc:creator>
  <cp:keywords/>
  <dc:description/>
  <cp:lastModifiedBy>Lichao Lin</cp:lastModifiedBy>
  <cp:revision>2</cp:revision>
  <dcterms:created xsi:type="dcterms:W3CDTF">2024-01-07T09:40:00Z</dcterms:created>
  <dcterms:modified xsi:type="dcterms:W3CDTF">2024-01-07T09:40:00Z</dcterms:modified>
</cp:coreProperties>
</file>