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7E8AF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49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1</w:t>
      </w:r>
      <w:r w:rsidRPr="006349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Custom panel designed using Illumina design studio sequencing (Illumina, San Diego, CA, USA), achieved a total coverage of 96% over a span of 51.6 kilobases (kb).</w:t>
      </w:r>
    </w:p>
    <w:p w14:paraId="6E9652DE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F611ED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1A6D90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EA1D8E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1"/>
        <w:tblpPr w:leftFromText="180" w:rightFromText="180" w:vertAnchor="page" w:horzAnchor="margin" w:tblpY="2891"/>
        <w:tblW w:w="0" w:type="auto"/>
        <w:tblLook w:val="04A0" w:firstRow="1" w:lastRow="0" w:firstColumn="1" w:lastColumn="0" w:noHBand="0" w:noVBand="1"/>
      </w:tblPr>
      <w:tblGrid>
        <w:gridCol w:w="3445"/>
        <w:gridCol w:w="5294"/>
      </w:tblGrid>
      <w:tr w:rsidR="006349DF" w:rsidRPr="006349DF" w14:paraId="499C83FD" w14:textId="77777777" w:rsidTr="006349DF">
        <w:trPr>
          <w:trHeight w:val="220"/>
        </w:trPr>
        <w:tc>
          <w:tcPr>
            <w:tcW w:w="34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 w14:paraId="067CAE2D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b/>
                <w:sz w:val="24"/>
                <w:szCs w:val="24"/>
                <w14:ligatures w14:val="none"/>
              </w:rPr>
              <w:t>Assay version</w:t>
            </w:r>
          </w:p>
        </w:tc>
        <w:tc>
          <w:tcPr>
            <w:tcW w:w="52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 w14:paraId="7832A2CD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b/>
                <w:sz w:val="24"/>
                <w:szCs w:val="24"/>
                <w14:ligatures w14:val="none"/>
              </w:rPr>
              <w:t>Ampliseq DNA Gene</w:t>
            </w:r>
          </w:p>
        </w:tc>
      </w:tr>
      <w:tr w:rsidR="006349DF" w:rsidRPr="006349DF" w14:paraId="01434322" w14:textId="77777777" w:rsidTr="001A2A29">
        <w:trPr>
          <w:trHeight w:val="220"/>
        </w:trPr>
        <w:tc>
          <w:tcPr>
            <w:tcW w:w="344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48061F2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529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C3A3D02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Homo Sapiens (GRCh38.p2)</w:t>
            </w:r>
          </w:p>
        </w:tc>
      </w:tr>
      <w:tr w:rsidR="006349DF" w:rsidRPr="006349DF" w14:paraId="2FAE1B47" w14:textId="77777777" w:rsidTr="006349DF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C7314D2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Sample Type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F268E0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Regular</w:t>
            </w:r>
          </w:p>
        </w:tc>
      </w:tr>
      <w:tr w:rsidR="006349DF" w:rsidRPr="006349DF" w14:paraId="120AE5F3" w14:textId="77777777" w:rsidTr="001A2A29">
        <w:trPr>
          <w:trHeight w:val="229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45592FEF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No. of Amplicons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</w:tcPr>
          <w:p w14:paraId="0990C60F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354</w:t>
            </w:r>
          </w:p>
        </w:tc>
      </w:tr>
      <w:tr w:rsidR="006349DF" w:rsidRPr="006349DF" w14:paraId="0C6CC5D1" w14:textId="77777777" w:rsidTr="006349DF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7244D1B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Total target size (bp)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6AED6A1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51583</w:t>
            </w:r>
          </w:p>
        </w:tc>
      </w:tr>
      <w:tr w:rsidR="006349DF" w:rsidRPr="006349DF" w14:paraId="3332D9BD" w14:textId="77777777" w:rsidTr="001A2A29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43EDA8E9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Covered Bases (bp)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</w:tcPr>
          <w:p w14:paraId="0F75BF26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49651</w:t>
            </w:r>
          </w:p>
        </w:tc>
      </w:tr>
      <w:tr w:rsidR="006349DF" w:rsidRPr="006349DF" w14:paraId="7670643F" w14:textId="77777777" w:rsidTr="006349DF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0D805B2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Number of Pools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A5F55EE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2</w:t>
            </w:r>
          </w:p>
        </w:tc>
      </w:tr>
      <w:tr w:rsidR="006349DF" w:rsidRPr="006349DF" w14:paraId="61CDFB43" w14:textId="77777777" w:rsidTr="001A2A29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50C2CE74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Amplicon per Pool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</w:tcPr>
          <w:p w14:paraId="5C7724DC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178/176</w:t>
            </w:r>
          </w:p>
        </w:tc>
      </w:tr>
      <w:tr w:rsidR="006349DF" w:rsidRPr="006349DF" w14:paraId="50F9FA9A" w14:textId="77777777" w:rsidTr="006349DF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62D3665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Max. Amplicon length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8CA099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275</w:t>
            </w:r>
          </w:p>
        </w:tc>
      </w:tr>
      <w:tr w:rsidR="006349DF" w:rsidRPr="006349DF" w14:paraId="3075BE82" w14:textId="77777777" w:rsidTr="001A2A29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210FCAE0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Stringency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</w:tcPr>
          <w:p w14:paraId="75E6C08C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High</w:t>
            </w:r>
          </w:p>
        </w:tc>
      </w:tr>
      <w:tr w:rsidR="006349DF" w:rsidRPr="006349DF" w14:paraId="36CB3622" w14:textId="77777777" w:rsidTr="006349DF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01A609D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Exon padding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EF92346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25</w:t>
            </w:r>
          </w:p>
        </w:tc>
      </w:tr>
      <w:tr w:rsidR="006349DF" w:rsidRPr="006349DF" w14:paraId="530680B6" w14:textId="77777777" w:rsidTr="001A2A29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2CE87A03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Concentration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</w:tcPr>
          <w:p w14:paraId="6D9D9FC0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2X</w:t>
            </w:r>
          </w:p>
        </w:tc>
      </w:tr>
      <w:tr w:rsidR="006349DF" w:rsidRPr="006349DF" w14:paraId="64E47BF3" w14:textId="77777777" w:rsidTr="006349DF">
        <w:trPr>
          <w:trHeight w:val="220"/>
        </w:trPr>
        <w:tc>
          <w:tcPr>
            <w:tcW w:w="344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 w14:paraId="3B84989D" w14:textId="77777777" w:rsidR="006349DF" w:rsidRPr="006349DF" w:rsidRDefault="006349DF" w:rsidP="006349DF">
            <w:pPr>
              <w:spacing w:before="24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Coverage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 w14:paraId="68DF9859" w14:textId="77777777" w:rsidR="006349DF" w:rsidRPr="006349DF" w:rsidRDefault="006349DF" w:rsidP="006349DF">
            <w:pPr>
              <w:spacing w:before="240" w:line="276" w:lineRule="auto"/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Arial" w:hAnsi="Times New Roman" w:cs="Times New Roman"/>
                <w:sz w:val="24"/>
                <w:szCs w:val="24"/>
                <w14:ligatures w14:val="none"/>
              </w:rPr>
              <w:t>96.25%</w:t>
            </w:r>
          </w:p>
        </w:tc>
      </w:tr>
    </w:tbl>
    <w:p w14:paraId="2C740F84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84068D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FC59FE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152808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ADB50B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071D78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026075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3B3682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A6D012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page" w:horzAnchor="margin" w:tblpY="2971"/>
        <w:tblW w:w="9967" w:type="dxa"/>
        <w:tblLook w:val="04A0" w:firstRow="1" w:lastRow="0" w:firstColumn="1" w:lastColumn="0" w:noHBand="0" w:noVBand="1"/>
      </w:tblPr>
      <w:tblGrid>
        <w:gridCol w:w="1656"/>
        <w:gridCol w:w="2719"/>
        <w:gridCol w:w="5592"/>
      </w:tblGrid>
      <w:tr w:rsidR="006349DF" w:rsidRPr="006349DF" w14:paraId="54EA1F25" w14:textId="77777777" w:rsidTr="006349DF">
        <w:trPr>
          <w:trHeight w:val="526"/>
        </w:trPr>
        <w:tc>
          <w:tcPr>
            <w:tcW w:w="16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noWrap/>
            <w:hideMark/>
          </w:tcPr>
          <w:p w14:paraId="5589413E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Target Gene</w:t>
            </w:r>
          </w:p>
        </w:tc>
        <w:tc>
          <w:tcPr>
            <w:tcW w:w="271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noWrap/>
            <w:hideMark/>
          </w:tcPr>
          <w:p w14:paraId="0D98C75C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Target Gene Name</w:t>
            </w:r>
          </w:p>
        </w:tc>
        <w:tc>
          <w:tcPr>
            <w:tcW w:w="55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noWrap/>
            <w:hideMark/>
          </w:tcPr>
          <w:p w14:paraId="3924D41D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Function</w:t>
            </w:r>
          </w:p>
        </w:tc>
      </w:tr>
      <w:tr w:rsidR="006349DF" w:rsidRPr="006349DF" w14:paraId="24A686B0" w14:textId="77777777" w:rsidTr="001A2A29">
        <w:trPr>
          <w:trHeight w:val="600"/>
        </w:trPr>
        <w:tc>
          <w:tcPr>
            <w:tcW w:w="1656" w:type="dxa"/>
            <w:tcBorders>
              <w:top w:val="single" w:sz="18" w:space="0" w:color="auto"/>
            </w:tcBorders>
            <w:noWrap/>
            <w:hideMark/>
          </w:tcPr>
          <w:p w14:paraId="34B9BAA4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MYB</w:t>
            </w:r>
          </w:p>
        </w:tc>
        <w:tc>
          <w:tcPr>
            <w:tcW w:w="2719" w:type="dxa"/>
            <w:tcBorders>
              <w:top w:val="single" w:sz="18" w:space="0" w:color="auto"/>
            </w:tcBorders>
            <w:noWrap/>
            <w:hideMark/>
          </w:tcPr>
          <w:p w14:paraId="5439E424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MYB proto-oncogene</w:t>
            </w:r>
          </w:p>
        </w:tc>
        <w:tc>
          <w:tcPr>
            <w:tcW w:w="5592" w:type="dxa"/>
            <w:tcBorders>
              <w:top w:val="single" w:sz="18" w:space="0" w:color="auto"/>
            </w:tcBorders>
            <w:noWrap/>
            <w:hideMark/>
          </w:tcPr>
          <w:p w14:paraId="4BF22C9E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Regulation of haematopoiesis</w:t>
            </w:r>
          </w:p>
        </w:tc>
      </w:tr>
      <w:tr w:rsidR="006349DF" w:rsidRPr="006349DF" w14:paraId="7A19B19E" w14:textId="77777777" w:rsidTr="006349DF">
        <w:trPr>
          <w:trHeight w:val="303"/>
        </w:trPr>
        <w:tc>
          <w:tcPr>
            <w:tcW w:w="1656" w:type="dxa"/>
            <w:shd w:val="clear" w:color="auto" w:fill="D9D9D9"/>
            <w:noWrap/>
            <w:hideMark/>
          </w:tcPr>
          <w:p w14:paraId="2389C6E3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HBB</w:t>
            </w:r>
          </w:p>
        </w:tc>
        <w:tc>
          <w:tcPr>
            <w:tcW w:w="2719" w:type="dxa"/>
            <w:shd w:val="clear" w:color="auto" w:fill="D9D9D9"/>
            <w:noWrap/>
            <w:hideMark/>
          </w:tcPr>
          <w:p w14:paraId="779FA7BC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Hemoglobin subunit beta</w:t>
            </w:r>
          </w:p>
        </w:tc>
        <w:tc>
          <w:tcPr>
            <w:tcW w:w="5592" w:type="dxa"/>
            <w:shd w:val="clear" w:color="auto" w:fill="D9D9D9"/>
            <w:noWrap/>
            <w:hideMark/>
          </w:tcPr>
          <w:p w14:paraId="42F2DD1E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Synthesis of beta globin in HbA</w:t>
            </w:r>
          </w:p>
        </w:tc>
      </w:tr>
      <w:tr w:rsidR="006349DF" w:rsidRPr="006349DF" w14:paraId="47339302" w14:textId="77777777" w:rsidTr="001A2A29">
        <w:trPr>
          <w:trHeight w:val="303"/>
        </w:trPr>
        <w:tc>
          <w:tcPr>
            <w:tcW w:w="1656" w:type="dxa"/>
            <w:noWrap/>
            <w:hideMark/>
          </w:tcPr>
          <w:p w14:paraId="46C005EA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HBG1</w:t>
            </w:r>
          </w:p>
        </w:tc>
        <w:tc>
          <w:tcPr>
            <w:tcW w:w="2719" w:type="dxa"/>
            <w:noWrap/>
            <w:hideMark/>
          </w:tcPr>
          <w:p w14:paraId="4FAFC43D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Hemoglobin subunit gamma 1</w:t>
            </w:r>
          </w:p>
        </w:tc>
        <w:tc>
          <w:tcPr>
            <w:tcW w:w="5592" w:type="dxa"/>
            <w:noWrap/>
            <w:hideMark/>
          </w:tcPr>
          <w:p w14:paraId="25083705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Synthesis of gamma globin of HbF</w:t>
            </w:r>
          </w:p>
        </w:tc>
      </w:tr>
      <w:tr w:rsidR="006349DF" w:rsidRPr="006349DF" w14:paraId="196DC1BD" w14:textId="77777777" w:rsidTr="006349DF">
        <w:trPr>
          <w:trHeight w:val="303"/>
        </w:trPr>
        <w:tc>
          <w:tcPr>
            <w:tcW w:w="1656" w:type="dxa"/>
            <w:shd w:val="clear" w:color="auto" w:fill="D9D9D9"/>
            <w:noWrap/>
            <w:hideMark/>
          </w:tcPr>
          <w:p w14:paraId="209B858D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HBG2</w:t>
            </w:r>
          </w:p>
        </w:tc>
        <w:tc>
          <w:tcPr>
            <w:tcW w:w="2719" w:type="dxa"/>
            <w:shd w:val="clear" w:color="auto" w:fill="D9D9D9"/>
            <w:noWrap/>
            <w:hideMark/>
          </w:tcPr>
          <w:p w14:paraId="095F3330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Hemoglobin subunit gamma 2</w:t>
            </w:r>
          </w:p>
        </w:tc>
        <w:tc>
          <w:tcPr>
            <w:tcW w:w="5592" w:type="dxa"/>
            <w:shd w:val="clear" w:color="auto" w:fill="D9D9D9"/>
            <w:noWrap/>
            <w:hideMark/>
          </w:tcPr>
          <w:p w14:paraId="243B7E6C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Synthesis of gamma globin of HbF</w:t>
            </w:r>
          </w:p>
        </w:tc>
      </w:tr>
      <w:tr w:rsidR="006349DF" w:rsidRPr="006349DF" w14:paraId="29554288" w14:textId="77777777" w:rsidTr="001A2A29">
        <w:trPr>
          <w:trHeight w:val="303"/>
        </w:trPr>
        <w:tc>
          <w:tcPr>
            <w:tcW w:w="1656" w:type="dxa"/>
            <w:noWrap/>
            <w:hideMark/>
          </w:tcPr>
          <w:p w14:paraId="22AE3499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BCL11A</w:t>
            </w:r>
          </w:p>
        </w:tc>
        <w:tc>
          <w:tcPr>
            <w:tcW w:w="2719" w:type="dxa"/>
            <w:noWrap/>
            <w:hideMark/>
          </w:tcPr>
          <w:p w14:paraId="10248942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BAF chromatin remodelling complex subunit</w:t>
            </w:r>
          </w:p>
        </w:tc>
        <w:tc>
          <w:tcPr>
            <w:tcW w:w="5592" w:type="dxa"/>
            <w:noWrap/>
            <w:hideMark/>
          </w:tcPr>
          <w:p w14:paraId="64B25AE0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Haematopoietic cell differentiation and silencing of gamma-globin expression in adults</w:t>
            </w:r>
          </w:p>
        </w:tc>
      </w:tr>
      <w:tr w:rsidR="006349DF" w:rsidRPr="006349DF" w14:paraId="6CD53F5C" w14:textId="77777777" w:rsidTr="006349DF">
        <w:trPr>
          <w:trHeight w:val="303"/>
        </w:trPr>
        <w:tc>
          <w:tcPr>
            <w:tcW w:w="1656" w:type="dxa"/>
            <w:shd w:val="clear" w:color="auto" w:fill="D9D9D9"/>
            <w:noWrap/>
            <w:hideMark/>
          </w:tcPr>
          <w:p w14:paraId="46E6183F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KLF10</w:t>
            </w:r>
          </w:p>
        </w:tc>
        <w:tc>
          <w:tcPr>
            <w:tcW w:w="2719" w:type="dxa"/>
            <w:shd w:val="clear" w:color="auto" w:fill="D9D9D9"/>
            <w:noWrap/>
            <w:hideMark/>
          </w:tcPr>
          <w:p w14:paraId="043D159D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Kruppel</w:t>
            </w:r>
            <w:proofErr w:type="spellEnd"/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 xml:space="preserve"> like factor 10</w:t>
            </w:r>
          </w:p>
        </w:tc>
        <w:tc>
          <w:tcPr>
            <w:tcW w:w="5592" w:type="dxa"/>
            <w:shd w:val="clear" w:color="auto" w:fill="D9D9D9"/>
            <w:noWrap/>
            <w:hideMark/>
          </w:tcPr>
          <w:p w14:paraId="3672CAA7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The encoded protein is a transcriptional repressor that acts as an effector of transforming growth factor beta signalling.</w:t>
            </w:r>
          </w:p>
        </w:tc>
      </w:tr>
      <w:tr w:rsidR="006349DF" w:rsidRPr="006349DF" w14:paraId="730E9354" w14:textId="77777777" w:rsidTr="001A2A29">
        <w:trPr>
          <w:trHeight w:val="303"/>
        </w:trPr>
        <w:tc>
          <w:tcPr>
            <w:tcW w:w="1656" w:type="dxa"/>
            <w:noWrap/>
            <w:hideMark/>
          </w:tcPr>
          <w:p w14:paraId="4BEC8C54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HAO2</w:t>
            </w:r>
          </w:p>
        </w:tc>
        <w:tc>
          <w:tcPr>
            <w:tcW w:w="2719" w:type="dxa"/>
            <w:noWrap/>
            <w:hideMark/>
          </w:tcPr>
          <w:p w14:paraId="4CD05F89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Hydroxyacid</w:t>
            </w:r>
            <w:proofErr w:type="spellEnd"/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 xml:space="preserve"> oxidase 2</w:t>
            </w:r>
          </w:p>
        </w:tc>
        <w:tc>
          <w:tcPr>
            <w:tcW w:w="5592" w:type="dxa"/>
            <w:noWrap/>
            <w:hideMark/>
          </w:tcPr>
          <w:p w14:paraId="70EDEF9F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The encoded protein localizes to the peroxisome has the highest activity toward the substrate 2-hydroxypalmitate</w:t>
            </w:r>
          </w:p>
        </w:tc>
      </w:tr>
      <w:tr w:rsidR="006349DF" w:rsidRPr="006349DF" w14:paraId="1FCE4EC5" w14:textId="77777777" w:rsidTr="006349DF">
        <w:trPr>
          <w:trHeight w:val="528"/>
        </w:trPr>
        <w:tc>
          <w:tcPr>
            <w:tcW w:w="1656" w:type="dxa"/>
            <w:shd w:val="clear" w:color="auto" w:fill="D9D9D9"/>
            <w:noWrap/>
            <w:hideMark/>
          </w:tcPr>
          <w:p w14:paraId="1137055D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NOS1</w:t>
            </w:r>
          </w:p>
        </w:tc>
        <w:tc>
          <w:tcPr>
            <w:tcW w:w="2719" w:type="dxa"/>
            <w:shd w:val="clear" w:color="auto" w:fill="D9D9D9"/>
            <w:noWrap/>
            <w:hideMark/>
          </w:tcPr>
          <w:p w14:paraId="06D58067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Nitric oxide synthase 1</w:t>
            </w:r>
          </w:p>
        </w:tc>
        <w:tc>
          <w:tcPr>
            <w:tcW w:w="5592" w:type="dxa"/>
            <w:shd w:val="clear" w:color="auto" w:fill="D9D9D9"/>
            <w:noWrap/>
            <w:hideMark/>
          </w:tcPr>
          <w:p w14:paraId="47ABAB10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Synthesize nitric oxide from L-arginine</w:t>
            </w:r>
          </w:p>
        </w:tc>
      </w:tr>
      <w:tr w:rsidR="006349DF" w:rsidRPr="006349DF" w14:paraId="73126BCF" w14:textId="77777777" w:rsidTr="001A2A29">
        <w:trPr>
          <w:trHeight w:val="303"/>
        </w:trPr>
        <w:tc>
          <w:tcPr>
            <w:tcW w:w="1656" w:type="dxa"/>
            <w:noWrap/>
            <w:hideMark/>
          </w:tcPr>
          <w:p w14:paraId="48B099C2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ARG2</w:t>
            </w:r>
          </w:p>
        </w:tc>
        <w:tc>
          <w:tcPr>
            <w:tcW w:w="2719" w:type="dxa"/>
            <w:noWrap/>
            <w:hideMark/>
          </w:tcPr>
          <w:p w14:paraId="3A07782D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Arginase 2</w:t>
            </w:r>
          </w:p>
        </w:tc>
        <w:tc>
          <w:tcPr>
            <w:tcW w:w="5592" w:type="dxa"/>
            <w:noWrap/>
            <w:hideMark/>
          </w:tcPr>
          <w:p w14:paraId="4B9A21E0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Arginase catalyses the hydrolysis of arginine to ornithine and urea</w:t>
            </w:r>
          </w:p>
        </w:tc>
      </w:tr>
      <w:tr w:rsidR="006349DF" w:rsidRPr="006349DF" w14:paraId="5F5EBA17" w14:textId="77777777" w:rsidTr="006349DF">
        <w:trPr>
          <w:trHeight w:val="303"/>
        </w:trPr>
        <w:tc>
          <w:tcPr>
            <w:tcW w:w="1656" w:type="dxa"/>
            <w:shd w:val="clear" w:color="auto" w:fill="D9D9D9"/>
            <w:noWrap/>
            <w:hideMark/>
          </w:tcPr>
          <w:p w14:paraId="24BED172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SAR1A</w:t>
            </w:r>
          </w:p>
        </w:tc>
        <w:tc>
          <w:tcPr>
            <w:tcW w:w="2719" w:type="dxa"/>
            <w:shd w:val="clear" w:color="auto" w:fill="D9D9D9"/>
            <w:noWrap/>
            <w:hideMark/>
          </w:tcPr>
          <w:p w14:paraId="4775D5F5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secretion associated Ras related GTPase 1A</w:t>
            </w:r>
          </w:p>
        </w:tc>
        <w:tc>
          <w:tcPr>
            <w:tcW w:w="5592" w:type="dxa"/>
            <w:shd w:val="clear" w:color="auto" w:fill="D9D9D9"/>
            <w:noWrap/>
            <w:hideMark/>
          </w:tcPr>
          <w:p w14:paraId="0E9E0627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Encodes a GTP-binding protein called SAR1A, has been reported to be associated with HBG expression</w:t>
            </w:r>
          </w:p>
        </w:tc>
      </w:tr>
      <w:tr w:rsidR="006349DF" w:rsidRPr="006349DF" w14:paraId="40404DC5" w14:textId="77777777" w:rsidTr="001A2A29">
        <w:trPr>
          <w:trHeight w:val="303"/>
        </w:trPr>
        <w:tc>
          <w:tcPr>
            <w:tcW w:w="1656" w:type="dxa"/>
            <w:noWrap/>
            <w:hideMark/>
          </w:tcPr>
          <w:p w14:paraId="5015FFD6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CYP2C9</w:t>
            </w:r>
          </w:p>
        </w:tc>
        <w:tc>
          <w:tcPr>
            <w:tcW w:w="2719" w:type="dxa"/>
            <w:noWrap/>
            <w:hideMark/>
          </w:tcPr>
          <w:p w14:paraId="77049BC4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Cytochrome P450 family 2 subfamily C member 9</w:t>
            </w:r>
          </w:p>
        </w:tc>
        <w:tc>
          <w:tcPr>
            <w:tcW w:w="5592" w:type="dxa"/>
            <w:noWrap/>
            <w:hideMark/>
          </w:tcPr>
          <w:p w14:paraId="06D8A50B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The cytochrome P450 proteins are monooxygenases which catalyse many reactions involved in drug metabolism and synthesis of cholesterol, steroids and other lipids</w:t>
            </w:r>
          </w:p>
        </w:tc>
      </w:tr>
      <w:tr w:rsidR="006349DF" w:rsidRPr="006349DF" w14:paraId="7A0FAE96" w14:textId="77777777" w:rsidTr="006349DF">
        <w:trPr>
          <w:trHeight w:val="303"/>
        </w:trPr>
        <w:tc>
          <w:tcPr>
            <w:tcW w:w="1656" w:type="dxa"/>
            <w:tcBorders>
              <w:bottom w:val="single" w:sz="18" w:space="0" w:color="auto"/>
            </w:tcBorders>
            <w:shd w:val="clear" w:color="auto" w:fill="D9D9D9"/>
            <w:noWrap/>
            <w:hideMark/>
          </w:tcPr>
          <w:p w14:paraId="7DF44FEF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CYP2E1</w:t>
            </w:r>
          </w:p>
        </w:tc>
        <w:tc>
          <w:tcPr>
            <w:tcW w:w="2719" w:type="dxa"/>
            <w:tcBorders>
              <w:bottom w:val="single" w:sz="18" w:space="0" w:color="auto"/>
            </w:tcBorders>
            <w:shd w:val="clear" w:color="auto" w:fill="D9D9D9"/>
            <w:noWrap/>
            <w:hideMark/>
          </w:tcPr>
          <w:p w14:paraId="20AB8E12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Cytochrome P450 family 2 subfamily E member 1</w:t>
            </w:r>
          </w:p>
        </w:tc>
        <w:tc>
          <w:tcPr>
            <w:tcW w:w="5592" w:type="dxa"/>
            <w:tcBorders>
              <w:bottom w:val="single" w:sz="18" w:space="0" w:color="auto"/>
            </w:tcBorders>
            <w:shd w:val="clear" w:color="auto" w:fill="D9D9D9"/>
            <w:noWrap/>
            <w:hideMark/>
          </w:tcPr>
          <w:p w14:paraId="707600F5" w14:textId="77777777" w:rsidR="006349DF" w:rsidRPr="006349DF" w:rsidRDefault="006349DF" w:rsidP="006349D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</w:pPr>
            <w:r w:rsidRPr="006349DF">
              <w:rPr>
                <w:rFonts w:ascii="Times New Roman" w:eastAsia="Times New Roman" w:hAnsi="Times New Roman" w:cs="Arial"/>
                <w:kern w:val="0"/>
                <w:sz w:val="24"/>
                <w:szCs w:val="24"/>
                <w14:ligatures w14:val="none"/>
              </w:rPr>
              <w:t>Catalyses many reactions involved in drug metabolism and synthesis of cholesterol, steroids and other lipids.</w:t>
            </w:r>
          </w:p>
        </w:tc>
      </w:tr>
    </w:tbl>
    <w:p w14:paraId="46A9ACCC" w14:textId="77777777" w:rsidR="006349DF" w:rsidRPr="006349DF" w:rsidRDefault="006349DF" w:rsidP="006349D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349DF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>Supplementary Table</w:t>
      </w:r>
      <w:r w:rsidRPr="006349DF">
        <w:rPr>
          <w:rFonts w:ascii="Times New Roman" w:eastAsia="Arial" w:hAnsi="Times New Roman" w:cs="Arial"/>
          <w:b/>
          <w:bCs/>
          <w:kern w:val="0"/>
          <w:sz w:val="24"/>
          <w:szCs w:val="24"/>
          <w14:ligatures w14:val="none"/>
        </w:rPr>
        <w:t xml:space="preserve"> 2</w:t>
      </w:r>
      <w:r w:rsidRPr="006349D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: </w:t>
      </w:r>
      <w:r w:rsidRPr="006349D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Genomic regions targeted by the custom Illumina Ampliseq panel. The target gene includes genes involved in hydroxyurea metabolism</w:t>
      </w:r>
      <w:r w:rsidRPr="006349D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(</w:t>
      </w:r>
      <w:r w:rsidRPr="006349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CYP2C9 &amp; CYP2E1)</w:t>
      </w:r>
      <w:r w:rsidRPr="006349D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Pr="006349D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and HbF induction </w:t>
      </w:r>
      <w:r w:rsidRPr="006349D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(MYB, HBB, HBG1, HBG2, BCLL1A, KLF10, HA02, NOS, ARG2 and SAR1A).</w:t>
      </w:r>
    </w:p>
    <w:sectPr w:rsidR="006349DF" w:rsidRPr="006349DF" w:rsidSect="004B0EA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41298" w14:textId="77777777" w:rsidR="004B0EAA" w:rsidRDefault="004B0EAA" w:rsidP="006349DF">
      <w:pPr>
        <w:spacing w:after="0" w:line="240" w:lineRule="auto"/>
      </w:pPr>
      <w:r>
        <w:separator/>
      </w:r>
    </w:p>
  </w:endnote>
  <w:endnote w:type="continuationSeparator" w:id="0">
    <w:p w14:paraId="34A97F53" w14:textId="77777777" w:rsidR="004B0EAA" w:rsidRDefault="004B0EAA" w:rsidP="0063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78785" w14:textId="77777777" w:rsidR="004B0EAA" w:rsidRDefault="004B0EAA" w:rsidP="006349DF">
      <w:pPr>
        <w:spacing w:after="0" w:line="240" w:lineRule="auto"/>
      </w:pPr>
      <w:r>
        <w:separator/>
      </w:r>
    </w:p>
  </w:footnote>
  <w:footnote w:type="continuationSeparator" w:id="0">
    <w:p w14:paraId="7BCDE71B" w14:textId="77777777" w:rsidR="004B0EAA" w:rsidRDefault="004B0EAA" w:rsidP="00634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2NTc2NjExsTA2NzJU0lEKTi0uzszPAykwrAUAskeLPiwAAAA="/>
  </w:docVars>
  <w:rsids>
    <w:rsidRoot w:val="006349DF"/>
    <w:rsid w:val="002D7492"/>
    <w:rsid w:val="00362BB3"/>
    <w:rsid w:val="003B6EEE"/>
    <w:rsid w:val="004B0EAA"/>
    <w:rsid w:val="00587C72"/>
    <w:rsid w:val="006349DF"/>
    <w:rsid w:val="00865A25"/>
    <w:rsid w:val="00AE511E"/>
    <w:rsid w:val="00B83E33"/>
    <w:rsid w:val="00C8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27366"/>
  <w15:chartTrackingRefBased/>
  <w15:docId w15:val="{AE01E087-009D-4A5A-B2E8-F72A8630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9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9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9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9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9D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6349DF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34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4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DF"/>
  </w:style>
  <w:style w:type="paragraph" w:styleId="Footer">
    <w:name w:val="footer"/>
    <w:basedOn w:val="Normal"/>
    <w:link w:val="FooterChar"/>
    <w:uiPriority w:val="99"/>
    <w:unhideWhenUsed/>
    <w:rsid w:val="00634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 NZUNDA</dc:creator>
  <cp:keywords/>
  <dc:description/>
  <cp:lastModifiedBy>COLLIN NZUNDA</cp:lastModifiedBy>
  <cp:revision>1</cp:revision>
  <dcterms:created xsi:type="dcterms:W3CDTF">2024-03-08T07:42:00Z</dcterms:created>
  <dcterms:modified xsi:type="dcterms:W3CDTF">2024-03-08T07:44:00Z</dcterms:modified>
</cp:coreProperties>
</file>