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 w:eastAsiaTheme="minorEastAsia"/>
          <w:lang w:eastAsia="zh-CN"/>
        </w:rPr>
      </w:pPr>
      <w:r>
        <w:rPr>
          <w:rFonts w:hint="eastAsia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5271770" cy="6133465"/>
            <wp:effectExtent l="0" t="0" r="1270" b="8255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613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Figure S1 The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networks of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gene-gene interactions for each biomarker.</w:t>
      </w:r>
      <w:r>
        <w:rPr>
          <w:rFonts w:hint="eastAsia" w:ascii="Times New Roman" w:hAnsi="Times New Roman" w:cs="Times New Roman"/>
          <w:lang w:val="en-US" w:eastAsia="zh-CN"/>
        </w:rPr>
        <w:t xml:space="preserve"> (A) PDK4, (B) P2RY12, and (C) ELMO3.</w:t>
      </w:r>
    </w:p>
    <w:p>
      <w:pPr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5271770" cy="5175250"/>
            <wp:effectExtent l="0" t="0" r="1270" b="6350"/>
            <wp:docPr id="2" name="图片 2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17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Figure S2 Scatterplot of PDK4 and drug sensitivity.</w:t>
      </w:r>
    </w:p>
    <w:p>
      <w:pPr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5271770" cy="5101590"/>
            <wp:effectExtent l="0" t="0" r="1270" b="3810"/>
            <wp:docPr id="3" name="图片 3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10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Figure S3 Scatterplot of P2RY12 and drug sensitivity.</w:t>
      </w:r>
    </w:p>
    <w:p>
      <w:pPr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5271770" cy="5101590"/>
            <wp:effectExtent l="0" t="0" r="1270" b="3810"/>
            <wp:docPr id="4" name="图片 4" descr="Figure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 S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10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Fig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ure S4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Scatterplot of PDK4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and drug sensitivity.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4YTc2M2ZjZDg5OGQ4ZmRiZTJmNGMyNjk3OTI3ZmUifQ=="/>
  </w:docVars>
  <w:rsids>
    <w:rsidRoot w:val="00000000"/>
    <w:rsid w:val="4C093C14"/>
    <w:rsid w:val="7A142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2024-02-02T08:26:00Z</dcterms:created>
  <dc:creator>Administrator</dc:creator>
  <cp:lastModifiedBy>审核人</cp:lastModifiedBy>
  <dcterms:modified xsi:type="dcterms:W3CDTF">2024-02-02T08:32:57Z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3E1E94ADA77346649F259945C3C3C5E2_12</vt:lpwstr>
  </property>
</Properties>
</file>