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b w:val="1"/>
        </w:rPr>
      </w:pPr>
      <w:r w:rsidDel="00000000" w:rsidR="00000000" w:rsidRPr="00000000">
        <w:rPr>
          <w:b w:val="1"/>
          <w:rtl w:val="0"/>
        </w:rPr>
        <w:t xml:space="preserve">SUPPLEMENTAL FIGURES AND TABLES</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240" w:lineRule="auto"/>
        <w:jc w:val="both"/>
        <w:rPr>
          <w:b w:val="1"/>
          <w:i w:val="1"/>
        </w:rPr>
      </w:pPr>
      <w:r w:rsidDel="00000000" w:rsidR="00000000" w:rsidRPr="00000000">
        <w:rPr>
          <w:b w:val="1"/>
          <w:i w:val="1"/>
          <w:rtl w:val="0"/>
        </w:rPr>
        <w:t xml:space="preserve">ASXL1</w:t>
      </w:r>
      <w:r w:rsidDel="00000000" w:rsidR="00000000" w:rsidRPr="00000000">
        <w:rPr>
          <w:b w:val="1"/>
          <w:rtl w:val="0"/>
        </w:rPr>
        <w:t xml:space="preserve"> truncating mutations in BOS and myeloid leukemia drive shared disruption of Wnt-signaling pathways but have differential isoform usage of </w:t>
      </w:r>
      <w:r w:rsidDel="00000000" w:rsidR="00000000" w:rsidRPr="00000000">
        <w:rPr>
          <w:b w:val="1"/>
          <w:i w:val="1"/>
          <w:rtl w:val="0"/>
        </w:rPr>
        <w:t xml:space="preserve">RUNX3</w:t>
      </w:r>
    </w:p>
    <w:p w:rsidR="00000000" w:rsidDel="00000000" w:rsidP="00000000" w:rsidRDefault="00000000" w:rsidRPr="00000000" w14:paraId="00000004">
      <w:pPr>
        <w:spacing w:after="240" w:before="240" w:line="480" w:lineRule="auto"/>
        <w:jc w:val="both"/>
        <w:rPr>
          <w:vertAlign w:val="superscript"/>
        </w:rPr>
      </w:pPr>
      <w:r w:rsidDel="00000000" w:rsidR="00000000" w:rsidRPr="00000000">
        <w:rPr>
          <w:rtl w:val="0"/>
        </w:rPr>
        <w:t xml:space="preserve">Isabella Lin</w:t>
      </w:r>
      <w:r w:rsidDel="00000000" w:rsidR="00000000" w:rsidRPr="00000000">
        <w:rPr>
          <w:vertAlign w:val="superscript"/>
          <w:rtl w:val="0"/>
        </w:rPr>
        <w:t xml:space="preserve">1,2,3*</w:t>
      </w:r>
      <w:r w:rsidDel="00000000" w:rsidR="00000000" w:rsidRPr="00000000">
        <w:rPr>
          <w:rtl w:val="0"/>
        </w:rPr>
        <w:t xml:space="preserve">, Zain Awamleh</w:t>
      </w:r>
      <w:r w:rsidDel="00000000" w:rsidR="00000000" w:rsidRPr="00000000">
        <w:rPr>
          <w:vertAlign w:val="superscript"/>
          <w:rtl w:val="0"/>
        </w:rPr>
        <w:t xml:space="preserve">4*</w:t>
      </w:r>
      <w:r w:rsidDel="00000000" w:rsidR="00000000" w:rsidRPr="00000000">
        <w:rPr>
          <w:rtl w:val="0"/>
        </w:rPr>
        <w:t xml:space="preserve">, Mili Sinvhal</w:t>
      </w:r>
      <w:r w:rsidDel="00000000" w:rsidR="00000000" w:rsidRPr="00000000">
        <w:rPr>
          <w:vertAlign w:val="superscript"/>
          <w:rtl w:val="0"/>
        </w:rPr>
        <w:t xml:space="preserve">1,2,3</w:t>
      </w:r>
      <w:r w:rsidDel="00000000" w:rsidR="00000000" w:rsidRPr="00000000">
        <w:rPr>
          <w:rtl w:val="0"/>
        </w:rPr>
        <w:t xml:space="preserve">, Andrew Wan</w:t>
      </w:r>
      <w:r w:rsidDel="00000000" w:rsidR="00000000" w:rsidRPr="00000000">
        <w:rPr>
          <w:vertAlign w:val="superscript"/>
          <w:rtl w:val="0"/>
        </w:rPr>
        <w:t xml:space="preserve">1,2,3</w:t>
      </w:r>
      <w:r w:rsidDel="00000000" w:rsidR="00000000" w:rsidRPr="00000000">
        <w:rPr>
          <w:rtl w:val="0"/>
        </w:rPr>
        <w:t xml:space="preserve">, Leroy Bondhus</w:t>
      </w:r>
      <w:r w:rsidDel="00000000" w:rsidR="00000000" w:rsidRPr="00000000">
        <w:rPr>
          <w:vertAlign w:val="superscript"/>
          <w:rtl w:val="0"/>
        </w:rPr>
        <w:t xml:space="preserve">1,2,3</w:t>
      </w:r>
      <w:r w:rsidDel="00000000" w:rsidR="00000000" w:rsidRPr="00000000">
        <w:rPr>
          <w:rtl w:val="0"/>
        </w:rPr>
        <w:t xml:space="preserve">, Angela Wei</w:t>
      </w:r>
      <w:r w:rsidDel="00000000" w:rsidR="00000000" w:rsidRPr="00000000">
        <w:rPr>
          <w:vertAlign w:val="superscript"/>
          <w:rtl w:val="0"/>
        </w:rPr>
        <w:t xml:space="preserve">1,2,3,5</w:t>
      </w:r>
      <w:r w:rsidDel="00000000" w:rsidR="00000000" w:rsidRPr="00000000">
        <w:rPr>
          <w:rtl w:val="0"/>
        </w:rPr>
        <w:t xml:space="preserve">,</w:t>
      </w:r>
      <w:r w:rsidDel="00000000" w:rsidR="00000000" w:rsidRPr="00000000">
        <w:rPr>
          <w:vertAlign w:val="superscript"/>
          <w:rtl w:val="0"/>
        </w:rPr>
        <w:t xml:space="preserve"> </w:t>
      </w:r>
      <w:r w:rsidDel="00000000" w:rsidR="00000000" w:rsidRPr="00000000">
        <w:rPr>
          <w:rtl w:val="0"/>
        </w:rPr>
        <w:t xml:space="preserve">Bianca E. Russell</w:t>
      </w:r>
      <w:r w:rsidDel="00000000" w:rsidR="00000000" w:rsidRPr="00000000">
        <w:rPr>
          <w:vertAlign w:val="superscript"/>
          <w:rtl w:val="0"/>
        </w:rPr>
        <w:t xml:space="preserve">3,6</w:t>
      </w:r>
      <w:r w:rsidDel="00000000" w:rsidR="00000000" w:rsidRPr="00000000">
        <w:rPr>
          <w:rtl w:val="0"/>
        </w:rPr>
        <w:t xml:space="preserve">, Rosanna Weksberg</w:t>
      </w:r>
      <w:r w:rsidDel="00000000" w:rsidR="00000000" w:rsidRPr="00000000">
        <w:rPr>
          <w:vertAlign w:val="superscript"/>
          <w:rtl w:val="0"/>
        </w:rPr>
        <w:t xml:space="preserve">4,7,8</w:t>
      </w:r>
      <w:r w:rsidDel="00000000" w:rsidR="00000000" w:rsidRPr="00000000">
        <w:rPr>
          <w:rtl w:val="0"/>
        </w:rPr>
        <w:t xml:space="preserve">, Valerie A. Arboleda</w:t>
      </w:r>
      <w:r w:rsidDel="00000000" w:rsidR="00000000" w:rsidRPr="00000000">
        <w:rPr>
          <w:vertAlign w:val="superscript"/>
          <w:rtl w:val="0"/>
        </w:rPr>
        <w:t xml:space="preserve">1,2,3,5,9,10</w:t>
      </w:r>
    </w:p>
    <w:p w:rsidR="00000000" w:rsidDel="00000000" w:rsidP="00000000" w:rsidRDefault="00000000" w:rsidRPr="00000000" w14:paraId="00000005">
      <w:pPr>
        <w:spacing w:line="240" w:lineRule="auto"/>
        <w:jc w:val="both"/>
        <w:rPr/>
      </w:pPr>
      <w:r w:rsidDel="00000000" w:rsidR="00000000" w:rsidRPr="00000000">
        <w:rPr>
          <w:rtl w:val="0"/>
        </w:rPr>
        <w:t xml:space="preserve">*These authors contributed equally</w:t>
      </w:r>
    </w:p>
    <w:p w:rsidR="00000000" w:rsidDel="00000000" w:rsidP="00000000" w:rsidRDefault="00000000" w:rsidRPr="00000000" w14:paraId="00000006">
      <w:pPr>
        <w:spacing w:line="240" w:lineRule="auto"/>
        <w:jc w:val="both"/>
        <w:rPr/>
      </w:pPr>
      <w:r w:rsidDel="00000000" w:rsidR="00000000" w:rsidRPr="00000000">
        <w:rPr>
          <w:vertAlign w:val="superscript"/>
          <w:rtl w:val="0"/>
        </w:rPr>
        <w:t xml:space="preserve">1</w:t>
      </w:r>
      <w:r w:rsidDel="00000000" w:rsidR="00000000" w:rsidRPr="00000000">
        <w:rPr>
          <w:rtl w:val="0"/>
        </w:rPr>
        <w:t xml:space="preserve"> Department of Pathology and Laboratory Medicine, David Geffen School of Medicine, UCLA, Los Angeles, CA, USA</w:t>
      </w:r>
    </w:p>
    <w:p w:rsidR="00000000" w:rsidDel="00000000" w:rsidP="00000000" w:rsidRDefault="00000000" w:rsidRPr="00000000" w14:paraId="00000007">
      <w:pPr>
        <w:spacing w:line="240" w:lineRule="auto"/>
        <w:jc w:val="both"/>
        <w:rPr/>
      </w:pPr>
      <w:r w:rsidDel="00000000" w:rsidR="00000000" w:rsidRPr="00000000">
        <w:rPr>
          <w:vertAlign w:val="superscript"/>
          <w:rtl w:val="0"/>
        </w:rPr>
        <w:t xml:space="preserve">2</w:t>
      </w:r>
      <w:r w:rsidDel="00000000" w:rsidR="00000000" w:rsidRPr="00000000">
        <w:rPr>
          <w:rtl w:val="0"/>
        </w:rPr>
        <w:t xml:space="preserve"> Department of Computational Medicine, David Geffen School of Medicine, UCLA, Los Angeles, CA, USA</w:t>
      </w:r>
    </w:p>
    <w:p w:rsidR="00000000" w:rsidDel="00000000" w:rsidP="00000000" w:rsidRDefault="00000000" w:rsidRPr="00000000" w14:paraId="00000008">
      <w:pPr>
        <w:spacing w:line="240" w:lineRule="auto"/>
        <w:jc w:val="both"/>
        <w:rPr/>
      </w:pPr>
      <w:r w:rsidDel="00000000" w:rsidR="00000000" w:rsidRPr="00000000">
        <w:rPr>
          <w:vertAlign w:val="superscript"/>
          <w:rtl w:val="0"/>
        </w:rPr>
        <w:t xml:space="preserve">3</w:t>
      </w:r>
      <w:r w:rsidDel="00000000" w:rsidR="00000000" w:rsidRPr="00000000">
        <w:rPr>
          <w:rtl w:val="0"/>
        </w:rPr>
        <w:t xml:space="preserve"> Department of Human Genetics, David Geffen School of Medicine, UCLA, Los Angeles, CA, USA</w:t>
      </w:r>
    </w:p>
    <w:p w:rsidR="00000000" w:rsidDel="00000000" w:rsidP="00000000" w:rsidRDefault="00000000" w:rsidRPr="00000000" w14:paraId="00000009">
      <w:pPr>
        <w:spacing w:line="240" w:lineRule="auto"/>
        <w:jc w:val="both"/>
        <w:rPr/>
      </w:pPr>
      <w:r w:rsidDel="00000000" w:rsidR="00000000" w:rsidRPr="00000000">
        <w:rPr>
          <w:vertAlign w:val="superscript"/>
          <w:rtl w:val="0"/>
        </w:rPr>
        <w:t xml:space="preserve">4 </w:t>
      </w:r>
      <w:r w:rsidDel="00000000" w:rsidR="00000000" w:rsidRPr="00000000">
        <w:rPr>
          <w:rtl w:val="0"/>
        </w:rPr>
        <w:t xml:space="preserve">Department of Genetics and Genome Biology, The Hospital for Sick Children, Toronto, ON, Canada</w:t>
      </w:r>
    </w:p>
    <w:p w:rsidR="00000000" w:rsidDel="00000000" w:rsidP="00000000" w:rsidRDefault="00000000" w:rsidRPr="00000000" w14:paraId="0000000A">
      <w:pPr>
        <w:spacing w:line="240" w:lineRule="auto"/>
        <w:jc w:val="both"/>
        <w:rPr/>
      </w:pPr>
      <w:r w:rsidDel="00000000" w:rsidR="00000000" w:rsidRPr="00000000">
        <w:rPr>
          <w:vertAlign w:val="superscript"/>
          <w:rtl w:val="0"/>
        </w:rPr>
        <w:t xml:space="preserve">5 </w:t>
      </w:r>
      <w:r w:rsidDel="00000000" w:rsidR="00000000" w:rsidRPr="00000000">
        <w:rPr>
          <w:rtl w:val="0"/>
        </w:rPr>
        <w:t xml:space="preserve">Interdepartmental Bioinformatics Program, UCLA, Los Angeles, CA, USA</w:t>
      </w:r>
    </w:p>
    <w:p w:rsidR="00000000" w:rsidDel="00000000" w:rsidP="00000000" w:rsidRDefault="00000000" w:rsidRPr="00000000" w14:paraId="0000000B">
      <w:pPr>
        <w:spacing w:line="240" w:lineRule="auto"/>
        <w:jc w:val="both"/>
        <w:rPr/>
      </w:pPr>
      <w:r w:rsidDel="00000000" w:rsidR="00000000" w:rsidRPr="00000000">
        <w:rPr>
          <w:vertAlign w:val="superscript"/>
          <w:rtl w:val="0"/>
        </w:rPr>
        <w:t xml:space="preserve">6 </w:t>
      </w:r>
      <w:r w:rsidDel="00000000" w:rsidR="00000000" w:rsidRPr="00000000">
        <w:rPr>
          <w:rtl w:val="0"/>
        </w:rPr>
        <w:t xml:space="preserve">Department of Human Genetics, Division of Clinical Genetics, UCLA, Los Angeles, CA, USA</w:t>
      </w:r>
    </w:p>
    <w:p w:rsidR="00000000" w:rsidDel="00000000" w:rsidP="00000000" w:rsidRDefault="00000000" w:rsidRPr="00000000" w14:paraId="0000000C">
      <w:pPr>
        <w:spacing w:line="240" w:lineRule="auto"/>
        <w:jc w:val="both"/>
        <w:rPr/>
      </w:pPr>
      <w:r w:rsidDel="00000000" w:rsidR="00000000" w:rsidRPr="00000000">
        <w:rPr>
          <w:vertAlign w:val="superscript"/>
          <w:rtl w:val="0"/>
        </w:rPr>
        <w:t xml:space="preserve">7</w:t>
      </w:r>
      <w:r w:rsidDel="00000000" w:rsidR="00000000" w:rsidRPr="00000000">
        <w:rPr>
          <w:rtl w:val="0"/>
        </w:rPr>
        <w:t xml:space="preserve"> Department of Pediatrics, Division of Clinical &amp; Metabolic Genetics, The Hospital for Sick Children, Toronto, ON, Canada</w:t>
      </w:r>
    </w:p>
    <w:p w:rsidR="00000000" w:rsidDel="00000000" w:rsidP="00000000" w:rsidRDefault="00000000" w:rsidRPr="00000000" w14:paraId="0000000D">
      <w:pPr>
        <w:spacing w:line="240" w:lineRule="auto"/>
        <w:jc w:val="both"/>
        <w:rPr/>
      </w:pPr>
      <w:r w:rsidDel="00000000" w:rsidR="00000000" w:rsidRPr="00000000">
        <w:rPr>
          <w:vertAlign w:val="superscript"/>
          <w:rtl w:val="0"/>
        </w:rPr>
        <w:t xml:space="preserve">8 </w:t>
      </w:r>
      <w:r w:rsidDel="00000000" w:rsidR="00000000" w:rsidRPr="00000000">
        <w:rPr>
          <w:rtl w:val="0"/>
        </w:rPr>
        <w:t xml:space="preserve">Institute of Medical Sciences and Department of Molecular Genetics, University of Toronto, Toronto, ON, Canada</w:t>
      </w:r>
    </w:p>
    <w:p w:rsidR="00000000" w:rsidDel="00000000" w:rsidP="00000000" w:rsidRDefault="00000000" w:rsidRPr="00000000" w14:paraId="0000000E">
      <w:pPr>
        <w:spacing w:line="240" w:lineRule="auto"/>
        <w:jc w:val="both"/>
        <w:rPr/>
      </w:pPr>
      <w:r w:rsidDel="00000000" w:rsidR="00000000" w:rsidRPr="00000000">
        <w:rPr>
          <w:vertAlign w:val="superscript"/>
          <w:rtl w:val="0"/>
        </w:rPr>
        <w:t xml:space="preserve">9</w:t>
      </w:r>
      <w:r w:rsidDel="00000000" w:rsidR="00000000" w:rsidRPr="00000000">
        <w:rPr>
          <w:rtl w:val="0"/>
        </w:rPr>
        <w:t xml:space="preserve"> Molecular Biology institute, UCLA, Los Angeles, CA, USA</w:t>
      </w:r>
    </w:p>
    <w:p w:rsidR="00000000" w:rsidDel="00000000" w:rsidP="00000000" w:rsidRDefault="00000000" w:rsidRPr="00000000" w14:paraId="0000000F">
      <w:pPr>
        <w:spacing w:line="240" w:lineRule="auto"/>
        <w:jc w:val="both"/>
        <w:rPr>
          <w:b w:val="1"/>
          <w:i w:val="1"/>
        </w:rPr>
      </w:pPr>
      <w:r w:rsidDel="00000000" w:rsidR="00000000" w:rsidRPr="00000000">
        <w:rPr>
          <w:highlight w:val="white"/>
          <w:vertAlign w:val="superscript"/>
          <w:rtl w:val="0"/>
        </w:rPr>
        <w:t xml:space="preserve">10 </w:t>
      </w:r>
      <w:r w:rsidDel="00000000" w:rsidR="00000000" w:rsidRPr="00000000">
        <w:rPr>
          <w:highlight w:val="white"/>
          <w:rtl w:val="0"/>
        </w:rPr>
        <w:t xml:space="preserve">Jonsson Comprehensive Cancer Center, </w:t>
      </w:r>
      <w:r w:rsidDel="00000000" w:rsidR="00000000" w:rsidRPr="00000000">
        <w:rPr>
          <w:rtl w:val="0"/>
        </w:rPr>
        <w:t xml:space="preserve">UCLA, Los Angeles, CA, USA</w:t>
      </w:r>
      <w:r w:rsidDel="00000000" w:rsidR="00000000" w:rsidRPr="00000000">
        <w:rPr>
          <w:rtl w:val="0"/>
        </w:rPr>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br w:type="page"/>
      </w:r>
      <w:r w:rsidDel="00000000" w:rsidR="00000000" w:rsidRPr="00000000">
        <w:rPr>
          <w:rtl w:val="0"/>
        </w:rPr>
      </w:r>
    </w:p>
    <w:p w:rsidR="00000000" w:rsidDel="00000000" w:rsidP="00000000" w:rsidRDefault="00000000" w:rsidRPr="00000000" w14:paraId="00000012">
      <w:pPr>
        <w:spacing w:line="360" w:lineRule="auto"/>
        <w:jc w:val="both"/>
        <w:rPr/>
      </w:pPr>
      <w:r w:rsidDel="00000000" w:rsidR="00000000" w:rsidRPr="00000000">
        <w:rPr/>
        <w:drawing>
          <wp:inline distB="114300" distT="114300" distL="114300" distR="114300">
            <wp:extent cx="5248275" cy="6705600"/>
            <wp:effectExtent b="0" l="0" r="0" t="0"/>
            <wp:docPr id="14" name="image3.png"/>
            <a:graphic>
              <a:graphicData uri="http://schemas.openxmlformats.org/drawingml/2006/picture">
                <pic:pic>
                  <pic:nvPicPr>
                    <pic:cNvPr id="0" name="image3.png"/>
                    <pic:cNvPicPr preferRelativeResize="0"/>
                  </pic:nvPicPr>
                  <pic:blipFill>
                    <a:blip r:embed="rId6"/>
                    <a:srcRect b="15384" l="0" r="11698" t="0"/>
                    <a:stretch>
                      <a:fillRect/>
                    </a:stretch>
                  </pic:blipFill>
                  <pic:spPr>
                    <a:xfrm>
                      <a:off x="0" y="0"/>
                      <a:ext cx="5248275" cy="6705600"/>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pStyle w:val="Heading4"/>
        <w:pBdr>
          <w:top w:color="e3e3e3" w:space="0" w:sz="0" w:val="none"/>
          <w:left w:color="e3e3e3" w:space="0" w:sz="0" w:val="none"/>
          <w:bottom w:color="e3e3e3" w:space="0" w:sz="0" w:val="none"/>
          <w:right w:color="e3e3e3" w:space="0" w:sz="0" w:val="none"/>
          <w:between w:color="e3e3e3" w:space="0" w:sz="0" w:val="none"/>
        </w:pBdr>
        <w:shd w:fill="ffffff" w:val="clear"/>
        <w:spacing w:after="0" w:before="0" w:line="360" w:lineRule="auto"/>
        <w:jc w:val="both"/>
        <w:rPr>
          <w:b w:val="1"/>
          <w:color w:val="000000"/>
          <w:sz w:val="22"/>
          <w:szCs w:val="22"/>
        </w:rPr>
      </w:pPr>
      <w:bookmarkStart w:colFirst="0" w:colLast="0" w:name="_5ikalmkun9jz" w:id="0"/>
      <w:bookmarkEnd w:id="0"/>
      <w:r w:rsidDel="00000000" w:rsidR="00000000" w:rsidRPr="00000000">
        <w:rPr>
          <w:b w:val="1"/>
          <w:color w:val="000000"/>
          <w:sz w:val="22"/>
          <w:szCs w:val="22"/>
          <w:rtl w:val="0"/>
        </w:rPr>
        <w:t xml:space="preserve">Figure S1: Integrative analysis of AML-ASXL1 samples compared to controls reveals distinct transcriptomic signatures.</w:t>
      </w:r>
    </w:p>
    <w:p w:rsidR="00000000" w:rsidDel="00000000" w:rsidP="00000000" w:rsidRDefault="00000000" w:rsidRPr="00000000" w14:paraId="00000014">
      <w:pPr>
        <w:pBdr>
          <w:top w:color="e3e3e3" w:space="0" w:sz="0" w:val="none"/>
          <w:left w:color="e3e3e3" w:space="0" w:sz="0" w:val="none"/>
          <w:bottom w:color="e3e3e3" w:space="0" w:sz="0" w:val="none"/>
          <w:right w:color="e3e3e3" w:space="0" w:sz="0" w:val="none"/>
          <w:between w:color="e3e3e3" w:space="0" w:sz="0" w:val="none"/>
        </w:pBdr>
        <w:shd w:fill="ffffff" w:val="clear"/>
        <w:spacing w:after="300" w:line="360" w:lineRule="auto"/>
        <w:jc w:val="both"/>
        <w:rPr/>
      </w:pPr>
      <w:r w:rsidDel="00000000" w:rsidR="00000000" w:rsidRPr="00000000">
        <w:rPr>
          <w:b w:val="1"/>
          <w:rtl w:val="0"/>
        </w:rPr>
        <w:t xml:space="preserve">(A)</w:t>
      </w:r>
      <w:r w:rsidDel="00000000" w:rsidR="00000000" w:rsidRPr="00000000">
        <w:rPr>
          <w:rtl w:val="0"/>
        </w:rPr>
        <w:t xml:space="preserve"> Principal component analysis (PCA) plot of all AML-ASXL1 samples sourced from BEAT-AML and TCGA, and all control samples sourced from GTEx and GSE120444. Samples are colored by condition (AML-ASXL1 = green, control = grey), shaded by tissue type (bone marrow = dark, blood = light), and the shapes represent sex (female = circle, male = triangle). The PCA plot demonstrates the distinct clustering patterns between AML-</w:t>
      </w:r>
      <w:r w:rsidDel="00000000" w:rsidR="00000000" w:rsidRPr="00000000">
        <w:rPr>
          <w:i w:val="1"/>
          <w:rtl w:val="0"/>
        </w:rPr>
        <w:t xml:space="preserve">ASXL1</w:t>
      </w:r>
      <w:r w:rsidDel="00000000" w:rsidR="00000000" w:rsidRPr="00000000">
        <w:rPr>
          <w:rtl w:val="0"/>
        </w:rPr>
        <w:t xml:space="preserve"> and control samples. </w:t>
      </w:r>
      <w:r w:rsidDel="00000000" w:rsidR="00000000" w:rsidRPr="00000000">
        <w:rPr>
          <w:b w:val="1"/>
          <w:rtl w:val="0"/>
        </w:rPr>
        <w:t xml:space="preserve">(B)</w:t>
      </w:r>
      <w:r w:rsidDel="00000000" w:rsidR="00000000" w:rsidRPr="00000000">
        <w:rPr>
          <w:rtl w:val="0"/>
        </w:rPr>
        <w:t xml:space="preserve"> Heatmap showing differentially expressed genes (DEGs) between AML-</w:t>
      </w:r>
      <w:r w:rsidDel="00000000" w:rsidR="00000000" w:rsidRPr="00000000">
        <w:rPr>
          <w:i w:val="1"/>
          <w:rtl w:val="0"/>
        </w:rPr>
        <w:t xml:space="preserve">ASXL1</w:t>
      </w:r>
      <w:r w:rsidDel="00000000" w:rsidR="00000000" w:rsidRPr="00000000">
        <w:rPr>
          <w:rtl w:val="0"/>
        </w:rPr>
        <w:t xml:space="preserve"> and control samples. The heatmap highlights significant changes in gene expression patterns, providing insights into the molecular alterations associated with AML-ASXL1. </w:t>
      </w:r>
      <w:r w:rsidDel="00000000" w:rsidR="00000000" w:rsidRPr="00000000">
        <w:rPr>
          <w:b w:val="1"/>
          <w:rtl w:val="0"/>
        </w:rPr>
        <w:t xml:space="preserve">(C)</w:t>
      </w:r>
      <w:r w:rsidDel="00000000" w:rsidR="00000000" w:rsidRPr="00000000">
        <w:rPr>
          <w:rtl w:val="0"/>
        </w:rPr>
        <w:t xml:space="preserve"> Volcano plot comparing AML-</w:t>
      </w:r>
      <w:r w:rsidDel="00000000" w:rsidR="00000000" w:rsidRPr="00000000">
        <w:rPr>
          <w:i w:val="1"/>
          <w:rtl w:val="0"/>
        </w:rPr>
        <w:t xml:space="preserve">ASXL1</w:t>
      </w:r>
      <w:r w:rsidDel="00000000" w:rsidR="00000000" w:rsidRPr="00000000">
        <w:rPr>
          <w:rtl w:val="0"/>
        </w:rPr>
        <w:t xml:space="preserve"> samples to controls, with log</w:t>
      </w:r>
      <w:r w:rsidDel="00000000" w:rsidR="00000000" w:rsidRPr="00000000">
        <w:rPr>
          <w:vertAlign w:val="subscript"/>
          <w:rtl w:val="0"/>
        </w:rPr>
        <w:t xml:space="preserve">2</w:t>
      </w:r>
      <w:r w:rsidDel="00000000" w:rsidR="00000000" w:rsidRPr="00000000">
        <w:rPr>
          <w:rtl w:val="0"/>
        </w:rPr>
        <w:t xml:space="preserve"> fold change (log</w:t>
      </w:r>
      <w:r w:rsidDel="00000000" w:rsidR="00000000" w:rsidRPr="00000000">
        <w:rPr>
          <w:vertAlign w:val="subscript"/>
          <w:rtl w:val="0"/>
        </w:rPr>
        <w:t xml:space="preserve">2</w:t>
      </w:r>
      <w:r w:rsidDel="00000000" w:rsidR="00000000" w:rsidRPr="00000000">
        <w:rPr>
          <w:rtl w:val="0"/>
        </w:rPr>
        <w:t xml:space="preserve">FC) on the x-axis and -log10 adjusted p-value on the y-axis. Relevant genes are labeled to highlight those with significant expression changes. </w:t>
      </w:r>
      <w:r w:rsidDel="00000000" w:rsidR="00000000" w:rsidRPr="00000000">
        <w:rPr>
          <w:b w:val="1"/>
          <w:rtl w:val="0"/>
        </w:rPr>
        <w:t xml:space="preserve">(D)</w:t>
      </w:r>
      <w:r w:rsidDel="00000000" w:rsidR="00000000" w:rsidRPr="00000000">
        <w:rPr>
          <w:rtl w:val="0"/>
        </w:rPr>
        <w:t xml:space="preserve"> Gene ontology (GO) analysis of the DEGs, illustrating the enrichment of biological processes and pathways affected in AML-</w:t>
      </w:r>
      <w:r w:rsidDel="00000000" w:rsidR="00000000" w:rsidRPr="00000000">
        <w:rPr>
          <w:i w:val="1"/>
          <w:rtl w:val="0"/>
        </w:rPr>
        <w:t xml:space="preserve">ASXL1</w:t>
      </w:r>
      <w:r w:rsidDel="00000000" w:rsidR="00000000" w:rsidRPr="00000000">
        <w:rPr>
          <w:rtl w:val="0"/>
        </w:rPr>
        <w:t xml:space="preserve">. This analysis identifies key functional categories that are dysregulated in AML-</w:t>
      </w:r>
      <w:r w:rsidDel="00000000" w:rsidR="00000000" w:rsidRPr="00000000">
        <w:rPr>
          <w:i w:val="1"/>
          <w:rtl w:val="0"/>
        </w:rPr>
        <w:t xml:space="preserve">ASXL1</w:t>
      </w:r>
      <w:r w:rsidDel="00000000" w:rsidR="00000000" w:rsidRPr="00000000">
        <w:rPr>
          <w:rtl w:val="0"/>
        </w:rPr>
        <w:t xml:space="preserve"> compared to controls.</w:t>
      </w:r>
    </w:p>
    <w:p w:rsidR="00000000" w:rsidDel="00000000" w:rsidP="00000000" w:rsidRDefault="00000000" w:rsidRPr="00000000" w14:paraId="00000015">
      <w:pPr>
        <w:pStyle w:val="Heading4"/>
        <w:spacing w:after="0" w:before="0" w:line="360" w:lineRule="auto"/>
        <w:jc w:val="both"/>
        <w:rPr>
          <w:b w:val="1"/>
          <w:color w:val="000000"/>
          <w:sz w:val="22"/>
          <w:szCs w:val="22"/>
        </w:rPr>
      </w:pPr>
      <w:bookmarkStart w:colFirst="0" w:colLast="0" w:name="_5ukuh3rdmvrd" w:id="1"/>
      <w:bookmarkEnd w:id="1"/>
      <w:r w:rsidDel="00000000" w:rsidR="00000000" w:rsidRPr="00000000">
        <w:rPr>
          <w:rtl w:val="0"/>
        </w:rPr>
      </w:r>
    </w:p>
    <w:p w:rsidR="00000000" w:rsidDel="00000000" w:rsidP="00000000" w:rsidRDefault="00000000" w:rsidRPr="00000000" w14:paraId="00000016">
      <w:pPr>
        <w:spacing w:line="360" w:lineRule="auto"/>
        <w:jc w:val="both"/>
        <w:rPr/>
      </w:pPr>
      <w:r w:rsidDel="00000000" w:rsidR="00000000" w:rsidRPr="00000000">
        <w:br w:type="page"/>
      </w:r>
      <w:r w:rsidDel="00000000" w:rsidR="00000000" w:rsidRPr="00000000">
        <w:rPr>
          <w:rtl w:val="0"/>
        </w:rPr>
      </w:r>
    </w:p>
    <w:p w:rsidR="00000000" w:rsidDel="00000000" w:rsidP="00000000" w:rsidRDefault="00000000" w:rsidRPr="00000000" w14:paraId="00000017">
      <w:pPr>
        <w:spacing w:line="360" w:lineRule="auto"/>
        <w:jc w:val="both"/>
        <w:rPr/>
      </w:pPr>
      <w:r w:rsidDel="00000000" w:rsidR="00000000" w:rsidRPr="00000000">
        <w:rPr/>
        <w:drawing>
          <wp:inline distB="114300" distT="114300" distL="114300" distR="114300">
            <wp:extent cx="5943600" cy="4314825"/>
            <wp:effectExtent b="0" l="0" r="0" t="0"/>
            <wp:docPr id="11" name="image7.png"/>
            <a:graphic>
              <a:graphicData uri="http://schemas.openxmlformats.org/drawingml/2006/picture">
                <pic:pic>
                  <pic:nvPicPr>
                    <pic:cNvPr id="0" name="image7.png"/>
                    <pic:cNvPicPr preferRelativeResize="0"/>
                  </pic:nvPicPr>
                  <pic:blipFill>
                    <a:blip r:embed="rId7"/>
                    <a:srcRect b="45552" l="0" r="0" t="0"/>
                    <a:stretch>
                      <a:fillRect/>
                    </a:stretch>
                  </pic:blipFill>
                  <pic:spPr>
                    <a:xfrm>
                      <a:off x="0" y="0"/>
                      <a:ext cx="5943600" cy="4314825"/>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pStyle w:val="Heading4"/>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0" w:before="0" w:line="360" w:lineRule="auto"/>
        <w:jc w:val="both"/>
        <w:rPr>
          <w:b w:val="1"/>
          <w:color w:val="000000"/>
          <w:sz w:val="22"/>
          <w:szCs w:val="22"/>
        </w:rPr>
      </w:pPr>
      <w:bookmarkStart w:colFirst="0" w:colLast="0" w:name="_ys5vstqb39wi" w:id="2"/>
      <w:bookmarkEnd w:id="2"/>
      <w:r w:rsidDel="00000000" w:rsidR="00000000" w:rsidRPr="00000000">
        <w:rPr>
          <w:b w:val="1"/>
          <w:color w:val="000000"/>
          <w:sz w:val="22"/>
          <w:szCs w:val="22"/>
          <w:rtl w:val="0"/>
        </w:rPr>
        <w:t xml:space="preserve">Figure S2: KEGG pathway analysis highlights Wnt signaling dysregulation in AML-ASXL1 and BOS.</w:t>
      </w:r>
    </w:p>
    <w:p w:rsidR="00000000" w:rsidDel="00000000" w:rsidP="00000000" w:rsidRDefault="00000000" w:rsidRPr="00000000" w14:paraId="00000019">
      <w:pPr>
        <w:pBdr>
          <w:top w:color="e3e3e3" w:space="0" w:sz="0" w:val="none"/>
          <w:left w:color="e3e3e3" w:space="0" w:sz="0" w:val="none"/>
          <w:bottom w:color="e3e3e3" w:space="0" w:sz="0" w:val="none"/>
          <w:right w:color="e3e3e3" w:space="0" w:sz="0" w:val="none"/>
          <w:between w:color="e3e3e3" w:space="0" w:sz="0" w:val="none"/>
        </w:pBdr>
        <w:shd w:fill="ffffff" w:val="clear"/>
        <w:spacing w:after="300" w:line="360" w:lineRule="auto"/>
        <w:jc w:val="both"/>
        <w:rPr/>
      </w:pPr>
      <w:r w:rsidDel="00000000" w:rsidR="00000000" w:rsidRPr="00000000">
        <w:rPr>
          <w:i w:val="1"/>
          <w:rtl w:val="0"/>
        </w:rPr>
        <w:t xml:space="preserve">KEGG Mapper</w:t>
      </w:r>
      <w:r w:rsidDel="00000000" w:rsidR="00000000" w:rsidRPr="00000000">
        <w:rPr>
          <w:rtl w:val="0"/>
        </w:rPr>
        <w:t xml:space="preserve"> was used to visualize differentially expressed genes (DEGs) within the canonical and non-canonical Wnt signaling pathways, identifying transcriptomic dysregulation in both AML-</w:t>
      </w:r>
      <w:r w:rsidDel="00000000" w:rsidR="00000000" w:rsidRPr="00000000">
        <w:rPr>
          <w:i w:val="1"/>
          <w:rtl w:val="0"/>
        </w:rPr>
        <w:t xml:space="preserve">ASXL1</w:t>
      </w:r>
      <w:r w:rsidDel="00000000" w:rsidR="00000000" w:rsidRPr="00000000">
        <w:rPr>
          <w:rtl w:val="0"/>
        </w:rPr>
        <w:t xml:space="preserve"> and Bohring-Opitz syndrome (BOS). Genes highlighted in pink were significant DEGs in both AML-</w:t>
      </w:r>
      <w:r w:rsidDel="00000000" w:rsidR="00000000" w:rsidRPr="00000000">
        <w:rPr>
          <w:i w:val="1"/>
          <w:rtl w:val="0"/>
        </w:rPr>
        <w:t xml:space="preserve">ASXL1</w:t>
      </w:r>
      <w:r w:rsidDel="00000000" w:rsidR="00000000" w:rsidRPr="00000000">
        <w:rPr>
          <w:rtl w:val="0"/>
        </w:rPr>
        <w:t xml:space="preserve"> and BOS transcriptomic analysis, and indicate multiple hits within the canonical Wnt signaling pathway. </w:t>
      </w:r>
    </w:p>
    <w:p w:rsidR="00000000" w:rsidDel="00000000" w:rsidP="00000000" w:rsidRDefault="00000000" w:rsidRPr="00000000" w14:paraId="0000001A">
      <w:pPr>
        <w:spacing w:line="360" w:lineRule="auto"/>
        <w:jc w:val="both"/>
        <w:rPr/>
      </w:pPr>
      <w:r w:rsidDel="00000000" w:rsidR="00000000" w:rsidRPr="00000000">
        <w:rPr>
          <w:rtl w:val="0"/>
        </w:rPr>
      </w:r>
    </w:p>
    <w:p w:rsidR="00000000" w:rsidDel="00000000" w:rsidP="00000000" w:rsidRDefault="00000000" w:rsidRPr="00000000" w14:paraId="0000001B">
      <w:pPr>
        <w:spacing w:line="360" w:lineRule="auto"/>
        <w:jc w:val="both"/>
        <w:rPr/>
      </w:pPr>
      <w:r w:rsidDel="00000000" w:rsidR="00000000" w:rsidRPr="00000000">
        <w:br w:type="page"/>
      </w:r>
      <w:r w:rsidDel="00000000" w:rsidR="00000000" w:rsidRPr="00000000">
        <w:rPr>
          <w:rtl w:val="0"/>
        </w:rPr>
      </w:r>
    </w:p>
    <w:p w:rsidR="00000000" w:rsidDel="00000000" w:rsidP="00000000" w:rsidRDefault="00000000" w:rsidRPr="00000000" w14:paraId="0000001C">
      <w:pPr>
        <w:spacing w:line="360" w:lineRule="auto"/>
        <w:jc w:val="both"/>
        <w:rPr/>
      </w:pPr>
      <w:r w:rsidDel="00000000" w:rsidR="00000000" w:rsidRPr="00000000">
        <w:rPr/>
        <w:drawing>
          <wp:inline distB="114300" distT="114300" distL="114300" distR="114300">
            <wp:extent cx="5943600" cy="1838325"/>
            <wp:effectExtent b="0" l="0" r="0" t="0"/>
            <wp:docPr id="15" name="image6.png"/>
            <a:graphic>
              <a:graphicData uri="http://schemas.openxmlformats.org/drawingml/2006/picture">
                <pic:pic>
                  <pic:nvPicPr>
                    <pic:cNvPr id="0" name="image6.png"/>
                    <pic:cNvPicPr preferRelativeResize="0"/>
                  </pic:nvPicPr>
                  <pic:blipFill>
                    <a:blip r:embed="rId8"/>
                    <a:srcRect b="76802" l="0" r="0" t="0"/>
                    <a:stretch>
                      <a:fillRect/>
                    </a:stretch>
                  </pic:blipFill>
                  <pic:spPr>
                    <a:xfrm>
                      <a:off x="0" y="0"/>
                      <a:ext cx="5943600" cy="1838325"/>
                    </a:xfrm>
                    <a:prstGeom prst="rect"/>
                    <a:ln/>
                  </pic:spPr>
                </pic:pic>
              </a:graphicData>
            </a:graphic>
          </wp:inline>
        </w:drawing>
      </w:r>
      <w:r w:rsidDel="00000000" w:rsidR="00000000" w:rsidRPr="00000000">
        <w:rPr>
          <w:rtl w:val="0"/>
        </w:rPr>
      </w:r>
    </w:p>
    <w:p w:rsidR="00000000" w:rsidDel="00000000" w:rsidP="00000000" w:rsidRDefault="00000000" w:rsidRPr="00000000" w14:paraId="0000001D">
      <w:pPr>
        <w:pStyle w:val="Heading4"/>
        <w:spacing w:after="0" w:before="0" w:line="360" w:lineRule="auto"/>
        <w:jc w:val="both"/>
        <w:rPr>
          <w:b w:val="1"/>
          <w:color w:val="000000"/>
          <w:sz w:val="22"/>
          <w:szCs w:val="22"/>
        </w:rPr>
      </w:pPr>
      <w:bookmarkStart w:colFirst="0" w:colLast="0" w:name="_z9b2hb2wlnsz" w:id="3"/>
      <w:bookmarkEnd w:id="3"/>
      <w:r w:rsidDel="00000000" w:rsidR="00000000" w:rsidRPr="00000000">
        <w:rPr>
          <w:b w:val="1"/>
          <w:color w:val="000000"/>
          <w:sz w:val="22"/>
          <w:szCs w:val="22"/>
          <w:rtl w:val="0"/>
        </w:rPr>
        <w:t xml:space="preserve">Figure S3: RNAseq of HOX gene expression boxplots</w:t>
      </w:r>
    </w:p>
    <w:p w:rsidR="00000000" w:rsidDel="00000000" w:rsidP="00000000" w:rsidRDefault="00000000" w:rsidRPr="00000000" w14:paraId="0000001E">
      <w:pPr>
        <w:spacing w:line="360" w:lineRule="auto"/>
        <w:jc w:val="both"/>
        <w:rPr/>
      </w:pPr>
      <w:r w:rsidDel="00000000" w:rsidR="00000000" w:rsidRPr="00000000">
        <w:rPr>
          <w:rtl w:val="0"/>
        </w:rPr>
        <w:t xml:space="preserve">RNAseq data in BOS and AML-ASXL1 compared to their respective controls demonstrates </w:t>
      </w:r>
      <w:r w:rsidDel="00000000" w:rsidR="00000000" w:rsidRPr="00000000">
        <w:rPr>
          <w:b w:val="1"/>
          <w:rtl w:val="0"/>
        </w:rPr>
        <w:t xml:space="preserve">(A) </w:t>
      </w:r>
      <w:r w:rsidDel="00000000" w:rsidR="00000000" w:rsidRPr="00000000">
        <w:rPr>
          <w:rtl w:val="0"/>
        </w:rPr>
        <w:t xml:space="preserve">significant upregulation of </w:t>
      </w:r>
      <w:r w:rsidDel="00000000" w:rsidR="00000000" w:rsidRPr="00000000">
        <w:rPr>
          <w:i w:val="1"/>
          <w:rtl w:val="0"/>
        </w:rPr>
        <w:t xml:space="preserve">HOXB3</w:t>
      </w:r>
      <w:r w:rsidDel="00000000" w:rsidR="00000000" w:rsidRPr="00000000">
        <w:rPr>
          <w:rtl w:val="0"/>
        </w:rPr>
        <w:t xml:space="preserve"> in both diseases, </w:t>
      </w:r>
      <w:r w:rsidDel="00000000" w:rsidR="00000000" w:rsidRPr="00000000">
        <w:rPr>
          <w:b w:val="1"/>
          <w:rtl w:val="0"/>
        </w:rPr>
        <w:t xml:space="preserve">(B) </w:t>
      </w:r>
      <w:r w:rsidDel="00000000" w:rsidR="00000000" w:rsidRPr="00000000">
        <w:rPr>
          <w:rtl w:val="0"/>
        </w:rPr>
        <w:t xml:space="preserve">significant upregulation of </w:t>
      </w:r>
      <w:r w:rsidDel="00000000" w:rsidR="00000000" w:rsidRPr="00000000">
        <w:rPr>
          <w:i w:val="1"/>
          <w:rtl w:val="0"/>
        </w:rPr>
        <w:t xml:space="preserve">HOXA5</w:t>
      </w:r>
      <w:r w:rsidDel="00000000" w:rsidR="00000000" w:rsidRPr="00000000">
        <w:rPr>
          <w:rtl w:val="0"/>
        </w:rPr>
        <w:t xml:space="preserve"> in AML-ASXL1 only, and </w:t>
      </w:r>
      <w:r w:rsidDel="00000000" w:rsidR="00000000" w:rsidRPr="00000000">
        <w:rPr>
          <w:b w:val="1"/>
          <w:rtl w:val="0"/>
        </w:rPr>
        <w:t xml:space="preserve">(C) </w:t>
      </w:r>
      <w:r w:rsidDel="00000000" w:rsidR="00000000" w:rsidRPr="00000000">
        <w:rPr>
          <w:rtl w:val="0"/>
        </w:rPr>
        <w:t xml:space="preserve">significant upregulation of </w:t>
      </w:r>
      <w:r w:rsidDel="00000000" w:rsidR="00000000" w:rsidRPr="00000000">
        <w:rPr>
          <w:i w:val="1"/>
          <w:rtl w:val="0"/>
        </w:rPr>
        <w:t xml:space="preserve">HOXA9</w:t>
      </w:r>
      <w:r w:rsidDel="00000000" w:rsidR="00000000" w:rsidRPr="00000000">
        <w:rPr>
          <w:rtl w:val="0"/>
        </w:rPr>
        <w:t xml:space="preserve"> in AML-ASXL1 only.</w:t>
      </w:r>
    </w:p>
    <w:p w:rsidR="00000000" w:rsidDel="00000000" w:rsidP="00000000" w:rsidRDefault="00000000" w:rsidRPr="00000000" w14:paraId="0000001F">
      <w:pPr>
        <w:spacing w:line="360" w:lineRule="auto"/>
        <w:jc w:val="both"/>
        <w:rPr/>
      </w:pPr>
      <w:r w:rsidDel="00000000" w:rsidR="00000000" w:rsidRPr="00000000">
        <w:rPr>
          <w:rtl w:val="0"/>
        </w:rPr>
      </w:r>
    </w:p>
    <w:p w:rsidR="00000000" w:rsidDel="00000000" w:rsidP="00000000" w:rsidRDefault="00000000" w:rsidRPr="00000000" w14:paraId="00000020">
      <w:pPr>
        <w:spacing w:line="360" w:lineRule="auto"/>
        <w:jc w:val="both"/>
        <w:rPr/>
      </w:pPr>
      <w:r w:rsidDel="00000000" w:rsidR="00000000" w:rsidRPr="00000000">
        <w:br w:type="page"/>
      </w:r>
      <w:r w:rsidDel="00000000" w:rsidR="00000000" w:rsidRPr="00000000">
        <w:rPr>
          <w:rtl w:val="0"/>
        </w:rPr>
      </w:r>
    </w:p>
    <w:p w:rsidR="00000000" w:rsidDel="00000000" w:rsidP="00000000" w:rsidRDefault="00000000" w:rsidRPr="00000000" w14:paraId="00000021">
      <w:pPr>
        <w:spacing w:line="360" w:lineRule="auto"/>
        <w:jc w:val="both"/>
        <w:rPr/>
      </w:pPr>
      <w:r w:rsidDel="00000000" w:rsidR="00000000" w:rsidRPr="00000000">
        <w:rPr/>
        <w:drawing>
          <wp:inline distB="114300" distT="114300" distL="114300" distR="114300">
            <wp:extent cx="4371975" cy="1847850"/>
            <wp:effectExtent b="0" l="0" r="0" t="0"/>
            <wp:docPr id="13" name="image1.png"/>
            <a:graphic>
              <a:graphicData uri="http://schemas.openxmlformats.org/drawingml/2006/picture">
                <pic:pic>
                  <pic:nvPicPr>
                    <pic:cNvPr id="0" name="image1.png"/>
                    <pic:cNvPicPr preferRelativeResize="0"/>
                  </pic:nvPicPr>
                  <pic:blipFill>
                    <a:blip r:embed="rId9"/>
                    <a:srcRect b="76682" l="0" r="26442" t="0"/>
                    <a:stretch>
                      <a:fillRect/>
                    </a:stretch>
                  </pic:blipFill>
                  <pic:spPr>
                    <a:xfrm>
                      <a:off x="0" y="0"/>
                      <a:ext cx="4371975" cy="1847850"/>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pStyle w:val="Heading4"/>
        <w:spacing w:after="0" w:before="0" w:line="360" w:lineRule="auto"/>
        <w:jc w:val="both"/>
        <w:rPr>
          <w:b w:val="1"/>
          <w:color w:val="000000"/>
          <w:sz w:val="22"/>
          <w:szCs w:val="22"/>
        </w:rPr>
      </w:pPr>
      <w:bookmarkStart w:colFirst="0" w:colLast="0" w:name="_ale9c06quv4a" w:id="4"/>
      <w:bookmarkEnd w:id="4"/>
      <w:r w:rsidDel="00000000" w:rsidR="00000000" w:rsidRPr="00000000">
        <w:rPr>
          <w:b w:val="1"/>
          <w:color w:val="000000"/>
          <w:sz w:val="22"/>
          <w:szCs w:val="22"/>
          <w:rtl w:val="0"/>
        </w:rPr>
        <w:t xml:space="preserve">Figure S4: DNAm of posterior </w:t>
      </w:r>
      <w:r w:rsidDel="00000000" w:rsidR="00000000" w:rsidRPr="00000000">
        <w:rPr>
          <w:b w:val="1"/>
          <w:i w:val="1"/>
          <w:color w:val="000000"/>
          <w:sz w:val="22"/>
          <w:szCs w:val="22"/>
          <w:rtl w:val="0"/>
        </w:rPr>
        <w:t xml:space="preserve">HOXA</w:t>
      </w:r>
      <w:r w:rsidDel="00000000" w:rsidR="00000000" w:rsidRPr="00000000">
        <w:rPr>
          <w:b w:val="1"/>
          <w:color w:val="000000"/>
          <w:sz w:val="22"/>
          <w:szCs w:val="22"/>
          <w:rtl w:val="0"/>
        </w:rPr>
        <w:t xml:space="preserve"> transcriptional start site (TSS) CpG sites </w:t>
      </w:r>
    </w:p>
    <w:p w:rsidR="00000000" w:rsidDel="00000000" w:rsidP="00000000" w:rsidRDefault="00000000" w:rsidRPr="00000000" w14:paraId="00000023">
      <w:pPr>
        <w:spacing w:line="360" w:lineRule="auto"/>
        <w:jc w:val="both"/>
        <w:rPr/>
      </w:pPr>
      <w:r w:rsidDel="00000000" w:rsidR="00000000" w:rsidRPr="00000000">
        <w:rPr>
          <w:b w:val="1"/>
          <w:rtl w:val="0"/>
        </w:rPr>
        <w:t xml:space="preserve">(A)</w:t>
      </w:r>
      <w:r w:rsidDel="00000000" w:rsidR="00000000" w:rsidRPr="00000000">
        <w:rPr>
          <w:rtl w:val="0"/>
        </w:rPr>
        <w:t xml:space="preserve"> DNAm β values for </w:t>
      </w:r>
      <w:r w:rsidDel="00000000" w:rsidR="00000000" w:rsidRPr="00000000">
        <w:rPr>
          <w:i w:val="1"/>
          <w:rtl w:val="0"/>
        </w:rPr>
        <w:t xml:space="preserve">HOXA11</w:t>
      </w:r>
      <w:r w:rsidDel="00000000" w:rsidR="00000000" w:rsidRPr="00000000">
        <w:rPr>
          <w:rtl w:val="0"/>
        </w:rPr>
        <w:t xml:space="preserve"> TSS1500 at CpG site cg16038003 highlight the hypomethylation in both BOS and AML-ASXL1 patients compared to respective controls. </w:t>
      </w:r>
      <w:r w:rsidDel="00000000" w:rsidR="00000000" w:rsidRPr="00000000">
        <w:rPr>
          <w:b w:val="1"/>
          <w:rtl w:val="0"/>
        </w:rPr>
        <w:t xml:space="preserve">(B)</w:t>
      </w:r>
      <w:r w:rsidDel="00000000" w:rsidR="00000000" w:rsidRPr="00000000">
        <w:rPr>
          <w:rtl w:val="0"/>
        </w:rPr>
        <w:t xml:space="preserve"> DNAm β values for </w:t>
      </w:r>
      <w:r w:rsidDel="00000000" w:rsidR="00000000" w:rsidRPr="00000000">
        <w:rPr>
          <w:i w:val="1"/>
          <w:rtl w:val="0"/>
        </w:rPr>
        <w:t xml:space="preserve">HOXA5</w:t>
      </w:r>
      <w:r w:rsidDel="00000000" w:rsidR="00000000" w:rsidRPr="00000000">
        <w:rPr>
          <w:rtl w:val="0"/>
        </w:rPr>
        <w:t xml:space="preserve"> TSS200 at CpG site cg0486392 highlights the hypermethylation in BOS and hypomethylation in AML-ASXL1 patients compared to respective controls. </w:t>
      </w:r>
    </w:p>
    <w:p w:rsidR="00000000" w:rsidDel="00000000" w:rsidP="00000000" w:rsidRDefault="00000000" w:rsidRPr="00000000" w14:paraId="00000024">
      <w:pPr>
        <w:spacing w:line="360" w:lineRule="auto"/>
        <w:jc w:val="both"/>
        <w:rPr/>
      </w:pPr>
      <w:r w:rsidDel="00000000" w:rsidR="00000000" w:rsidRPr="00000000">
        <w:rPr>
          <w:rtl w:val="0"/>
        </w:rPr>
      </w:r>
    </w:p>
    <w:p w:rsidR="00000000" w:rsidDel="00000000" w:rsidP="00000000" w:rsidRDefault="00000000" w:rsidRPr="00000000" w14:paraId="00000025">
      <w:pPr>
        <w:spacing w:line="360" w:lineRule="auto"/>
        <w:jc w:val="both"/>
        <w:rPr/>
      </w:pPr>
      <w:r w:rsidDel="00000000" w:rsidR="00000000" w:rsidRPr="00000000">
        <w:rPr>
          <w:rtl w:val="0"/>
        </w:rPr>
      </w:r>
    </w:p>
    <w:p w:rsidR="00000000" w:rsidDel="00000000" w:rsidP="00000000" w:rsidRDefault="00000000" w:rsidRPr="00000000" w14:paraId="00000026">
      <w:pPr>
        <w:spacing w:line="360" w:lineRule="auto"/>
        <w:jc w:val="both"/>
        <w:rPr/>
      </w:pPr>
      <w:r w:rsidDel="00000000" w:rsidR="00000000" w:rsidRPr="00000000">
        <w:br w:type="page"/>
      </w:r>
      <w:r w:rsidDel="00000000" w:rsidR="00000000" w:rsidRPr="00000000">
        <w:rPr>
          <w:rtl w:val="0"/>
        </w:rPr>
      </w:r>
    </w:p>
    <w:p w:rsidR="00000000" w:rsidDel="00000000" w:rsidP="00000000" w:rsidRDefault="00000000" w:rsidRPr="00000000" w14:paraId="00000027">
      <w:pPr>
        <w:spacing w:line="360" w:lineRule="auto"/>
        <w:jc w:val="both"/>
        <w:rPr/>
      </w:pPr>
      <w:r w:rsidDel="00000000" w:rsidR="00000000" w:rsidRPr="00000000">
        <w:rPr/>
        <w:drawing>
          <wp:inline distB="114300" distT="114300" distL="114300" distR="114300">
            <wp:extent cx="5943600" cy="2695575"/>
            <wp:effectExtent b="0" l="0" r="0" t="0"/>
            <wp:docPr id="2" name="image2.png"/>
            <a:graphic>
              <a:graphicData uri="http://schemas.openxmlformats.org/drawingml/2006/picture">
                <pic:pic>
                  <pic:nvPicPr>
                    <pic:cNvPr id="0" name="image2.png"/>
                    <pic:cNvPicPr preferRelativeResize="0"/>
                  </pic:nvPicPr>
                  <pic:blipFill>
                    <a:blip r:embed="rId10"/>
                    <a:srcRect b="65985" l="0" r="0" t="0"/>
                    <a:stretch>
                      <a:fillRect/>
                    </a:stretch>
                  </pic:blipFill>
                  <pic:spPr>
                    <a:xfrm>
                      <a:off x="0" y="0"/>
                      <a:ext cx="5943600" cy="2695575"/>
                    </a:xfrm>
                    <a:prstGeom prst="rect"/>
                    <a:ln/>
                  </pic:spPr>
                </pic:pic>
              </a:graphicData>
            </a:graphic>
          </wp:inline>
        </w:drawing>
      </w:r>
      <w:r w:rsidDel="00000000" w:rsidR="00000000" w:rsidRPr="00000000">
        <w:rPr>
          <w:rtl w:val="0"/>
        </w:rPr>
      </w:r>
    </w:p>
    <w:p w:rsidR="00000000" w:rsidDel="00000000" w:rsidP="00000000" w:rsidRDefault="00000000" w:rsidRPr="00000000" w14:paraId="00000028">
      <w:pPr>
        <w:pStyle w:val="Heading4"/>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0" w:line="360" w:lineRule="auto"/>
        <w:jc w:val="both"/>
        <w:rPr>
          <w:b w:val="1"/>
          <w:color w:val="000000"/>
          <w:sz w:val="22"/>
          <w:szCs w:val="22"/>
        </w:rPr>
      </w:pPr>
      <w:bookmarkStart w:colFirst="0" w:colLast="0" w:name="_5dbajfqodybm" w:id="5"/>
      <w:bookmarkEnd w:id="5"/>
      <w:r w:rsidDel="00000000" w:rsidR="00000000" w:rsidRPr="00000000">
        <w:rPr>
          <w:b w:val="1"/>
          <w:color w:val="000000"/>
          <w:sz w:val="22"/>
          <w:szCs w:val="22"/>
          <w:rtl w:val="0"/>
        </w:rPr>
        <w:t xml:space="preserve">Figure S5: Cell type distribution in blood samples reveals no significant differences in immune cell proportions in BOS.</w:t>
      </w:r>
    </w:p>
    <w:p w:rsidR="00000000" w:rsidDel="00000000" w:rsidP="00000000" w:rsidRDefault="00000000" w:rsidRPr="00000000" w14:paraId="00000029">
      <w:pPr>
        <w:pBdr>
          <w:top w:color="e3e3e3" w:space="0" w:sz="0" w:val="none"/>
          <w:left w:color="e3e3e3" w:space="0" w:sz="0" w:val="none"/>
          <w:bottom w:color="e3e3e3" w:space="0" w:sz="0" w:val="none"/>
          <w:right w:color="e3e3e3" w:space="0" w:sz="0" w:val="none"/>
          <w:between w:color="e3e3e3" w:space="0" w:sz="0" w:val="none"/>
        </w:pBdr>
        <w:shd w:fill="ffffff" w:val="clear"/>
        <w:spacing w:after="300" w:line="360" w:lineRule="auto"/>
        <w:jc w:val="both"/>
        <w:rPr/>
      </w:pPr>
      <w:r w:rsidDel="00000000" w:rsidR="00000000" w:rsidRPr="00000000">
        <w:rPr>
          <w:b w:val="1"/>
          <w:rtl w:val="0"/>
        </w:rPr>
        <w:t xml:space="preserve">(A)</w:t>
      </w:r>
      <w:r w:rsidDel="00000000" w:rsidR="00000000" w:rsidRPr="00000000">
        <w:rPr>
          <w:rtl w:val="0"/>
        </w:rPr>
        <w:t xml:space="preserve"> Deconvolution of DNA methylation (DNAm) blood data, comparing the proportion of immune cell types between controls (red) and BOS samples (blue). The analysis includes CD8+ T cells, CD4+ T cells, NK cells, B cells, monocytes, and neutrophils. </w:t>
      </w:r>
      <w:r w:rsidDel="00000000" w:rsidR="00000000" w:rsidRPr="00000000">
        <w:rPr>
          <w:b w:val="1"/>
          <w:rtl w:val="0"/>
        </w:rPr>
        <w:t xml:space="preserve">(B)</w:t>
      </w:r>
      <w:r w:rsidDel="00000000" w:rsidR="00000000" w:rsidRPr="00000000">
        <w:rPr>
          <w:rtl w:val="0"/>
        </w:rPr>
        <w:t xml:space="preserve"> Deconvolution of RNAseq blood data using </w:t>
      </w:r>
      <w:r w:rsidDel="00000000" w:rsidR="00000000" w:rsidRPr="00000000">
        <w:rPr>
          <w:i w:val="1"/>
          <w:rtl w:val="0"/>
        </w:rPr>
        <w:t xml:space="preserve">CIBERSORTx</w:t>
      </w:r>
      <w:r w:rsidDel="00000000" w:rsidR="00000000" w:rsidRPr="00000000">
        <w:rPr>
          <w:rtl w:val="0"/>
        </w:rPr>
        <w:t xml:space="preserve">, comparing the proportion of immune cell types between controls (red) and BOS samples (blue). The analysis includes CD8+ T cells, CD4+ T cells, NK cells, B cells, monocytes, and neutrophils. </w:t>
      </w:r>
    </w:p>
    <w:p w:rsidR="00000000" w:rsidDel="00000000" w:rsidP="00000000" w:rsidRDefault="00000000" w:rsidRPr="00000000" w14:paraId="0000002A">
      <w:pPr>
        <w:pStyle w:val="Heading4"/>
        <w:spacing w:after="0" w:before="0" w:line="360" w:lineRule="auto"/>
        <w:jc w:val="both"/>
        <w:rPr>
          <w:b w:val="1"/>
          <w:color w:val="000000"/>
          <w:sz w:val="22"/>
          <w:szCs w:val="22"/>
        </w:rPr>
      </w:pPr>
      <w:bookmarkStart w:colFirst="0" w:colLast="0" w:name="_hgbipmotq0u8" w:id="6"/>
      <w:bookmarkEnd w:id="6"/>
      <w:r w:rsidDel="00000000" w:rsidR="00000000" w:rsidRPr="00000000">
        <w:rPr>
          <w:b w:val="1"/>
          <w:color w:val="000000"/>
          <w:sz w:val="22"/>
          <w:szCs w:val="22"/>
        </w:rPr>
        <w:drawing>
          <wp:inline distB="114300" distT="114300" distL="114300" distR="114300">
            <wp:extent cx="5943600" cy="5016500"/>
            <wp:effectExtent b="0" l="0" r="0" t="0"/>
            <wp:docPr id="16" name="image15.png"/>
            <a:graphic>
              <a:graphicData uri="http://schemas.openxmlformats.org/drawingml/2006/picture">
                <pic:pic>
                  <pic:nvPicPr>
                    <pic:cNvPr id="0" name="image15.png"/>
                    <pic:cNvPicPr preferRelativeResize="0"/>
                  </pic:nvPicPr>
                  <pic:blipFill>
                    <a:blip r:embed="rId11"/>
                    <a:srcRect b="0" l="0" r="0" t="0"/>
                    <a:stretch>
                      <a:fillRect/>
                    </a:stretch>
                  </pic:blipFill>
                  <pic:spPr>
                    <a:xfrm>
                      <a:off x="0" y="0"/>
                      <a:ext cx="5943600" cy="5016500"/>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pStyle w:val="Heading4"/>
        <w:spacing w:after="0" w:before="0" w:line="360" w:lineRule="auto"/>
        <w:jc w:val="both"/>
        <w:rPr>
          <w:color w:val="000000"/>
          <w:sz w:val="22"/>
          <w:szCs w:val="22"/>
        </w:rPr>
      </w:pPr>
      <w:bookmarkStart w:colFirst="0" w:colLast="0" w:name="_6vz5hxcno7tz" w:id="7"/>
      <w:bookmarkEnd w:id="7"/>
      <w:r w:rsidDel="00000000" w:rsidR="00000000" w:rsidRPr="00000000">
        <w:rPr>
          <w:b w:val="1"/>
          <w:color w:val="000000"/>
          <w:sz w:val="22"/>
          <w:szCs w:val="22"/>
          <w:rtl w:val="0"/>
        </w:rPr>
        <w:t xml:space="preserve">Figure S6: DEXSeq quality control analysis</w:t>
      </w:r>
      <w:r w:rsidDel="00000000" w:rsidR="00000000" w:rsidRPr="00000000">
        <w:rPr>
          <w:color w:val="000000"/>
          <w:sz w:val="22"/>
          <w:szCs w:val="22"/>
          <w:rtl w:val="0"/>
        </w:rPr>
        <w:t xml:space="preserve">  </w:t>
      </w:r>
    </w:p>
    <w:p w:rsidR="00000000" w:rsidDel="00000000" w:rsidP="00000000" w:rsidRDefault="00000000" w:rsidRPr="00000000" w14:paraId="0000002C">
      <w:pPr>
        <w:spacing w:line="360" w:lineRule="auto"/>
        <w:rPr/>
      </w:pPr>
      <w:r w:rsidDel="00000000" w:rsidR="00000000" w:rsidRPr="00000000">
        <w:rPr>
          <w:rtl w:val="0"/>
        </w:rPr>
        <w:t xml:space="preserve">A-B) Dispersion (per-exon dispersion estimates compared to mean normalized count) plot for (A) BOS blood and (B) AML-ASXL1 blood. Initial per-exon dispersion estimates are shown in black, fitted mean-dispersion function in red, and shrinked values in blue.  C-D) MA plot (logarithm of fold change compared to mean normalized expression per exon) with significant hits at an FDR=0.05 shown in red for (C) BOS blood and (D) AML-ASXL1 blood.</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b w:val="1"/>
          <w:color w:val="000000"/>
          <w:sz w:val="22"/>
          <w:szCs w:val="22"/>
        </w:rPr>
      </w:pPr>
      <w:r w:rsidDel="00000000" w:rsidR="00000000" w:rsidRPr="00000000">
        <w:rPr>
          <w:b w:val="1"/>
          <w:color w:val="000000"/>
          <w:sz w:val="22"/>
          <w:szCs w:val="22"/>
        </w:rPr>
        <w:drawing>
          <wp:inline distB="114300" distT="114300" distL="114300" distR="114300">
            <wp:extent cx="5162550" cy="6181725"/>
            <wp:effectExtent b="0" l="0" r="0" t="0"/>
            <wp:docPr id="1" name="image5.png"/>
            <a:graphic>
              <a:graphicData uri="http://schemas.openxmlformats.org/drawingml/2006/picture">
                <pic:pic>
                  <pic:nvPicPr>
                    <pic:cNvPr id="0" name="image5.png"/>
                    <pic:cNvPicPr preferRelativeResize="0"/>
                  </pic:nvPicPr>
                  <pic:blipFill>
                    <a:blip r:embed="rId12"/>
                    <a:srcRect b="21995" l="0" r="13141" t="0"/>
                    <a:stretch>
                      <a:fillRect/>
                    </a:stretch>
                  </pic:blipFill>
                  <pic:spPr>
                    <a:xfrm>
                      <a:off x="0" y="0"/>
                      <a:ext cx="5162550" cy="6181725"/>
                    </a:xfrm>
                    <a:prstGeom prst="rect"/>
                    <a:ln/>
                  </pic:spPr>
                </pic:pic>
              </a:graphicData>
            </a:graphic>
          </wp:inline>
        </w:drawing>
      </w:r>
      <w:r w:rsidDel="00000000" w:rsidR="00000000" w:rsidRPr="00000000">
        <w:rPr>
          <w:rtl w:val="0"/>
        </w:rPr>
      </w:r>
    </w:p>
    <w:p w:rsidR="00000000" w:rsidDel="00000000" w:rsidP="00000000" w:rsidRDefault="00000000" w:rsidRPr="00000000" w14:paraId="0000002F">
      <w:pPr>
        <w:pStyle w:val="Heading4"/>
        <w:spacing w:after="0" w:before="0" w:line="360" w:lineRule="auto"/>
        <w:jc w:val="both"/>
        <w:rPr>
          <w:color w:val="000000"/>
          <w:sz w:val="22"/>
          <w:szCs w:val="22"/>
        </w:rPr>
      </w:pPr>
      <w:bookmarkStart w:colFirst="0" w:colLast="0" w:name="_a43ymd20zjcm" w:id="8"/>
      <w:bookmarkEnd w:id="8"/>
      <w:r w:rsidDel="00000000" w:rsidR="00000000" w:rsidRPr="00000000">
        <w:rPr>
          <w:b w:val="1"/>
          <w:color w:val="000000"/>
          <w:sz w:val="22"/>
          <w:szCs w:val="22"/>
          <w:rtl w:val="0"/>
        </w:rPr>
        <w:t xml:space="preserve">Figure S7: </w:t>
      </w:r>
      <w:r w:rsidDel="00000000" w:rsidR="00000000" w:rsidRPr="00000000">
        <w:rPr>
          <w:b w:val="1"/>
          <w:i w:val="1"/>
          <w:color w:val="000000"/>
          <w:sz w:val="22"/>
          <w:szCs w:val="22"/>
          <w:rtl w:val="0"/>
        </w:rPr>
        <w:t xml:space="preserve">RUNX3</w:t>
      </w:r>
      <w:r w:rsidDel="00000000" w:rsidR="00000000" w:rsidRPr="00000000">
        <w:rPr>
          <w:b w:val="1"/>
          <w:color w:val="000000"/>
          <w:sz w:val="22"/>
          <w:szCs w:val="22"/>
          <w:rtl w:val="0"/>
        </w:rPr>
        <w:t xml:space="preserve"> exon usage and gene expression</w:t>
      </w:r>
      <w:r w:rsidDel="00000000" w:rsidR="00000000" w:rsidRPr="00000000">
        <w:rPr>
          <w:color w:val="000000"/>
          <w:sz w:val="22"/>
          <w:szCs w:val="22"/>
          <w:rtl w:val="0"/>
        </w:rPr>
        <w:t xml:space="preserve">  </w:t>
      </w:r>
    </w:p>
    <w:p w:rsidR="00000000" w:rsidDel="00000000" w:rsidP="00000000" w:rsidRDefault="00000000" w:rsidRPr="00000000" w14:paraId="00000030">
      <w:pPr>
        <w:spacing w:line="360" w:lineRule="auto"/>
        <w:rPr/>
      </w:pPr>
      <w:r w:rsidDel="00000000" w:rsidR="00000000" w:rsidRPr="00000000">
        <w:rPr>
          <w:rtl w:val="0"/>
        </w:rPr>
        <w:t xml:space="preserve">A-B) Unsupervised hierarchical cluster heatmap of </w:t>
      </w:r>
      <w:r w:rsidDel="00000000" w:rsidR="00000000" w:rsidRPr="00000000">
        <w:rPr>
          <w:i w:val="1"/>
          <w:rtl w:val="0"/>
        </w:rPr>
        <w:t xml:space="preserve">RUNX3</w:t>
      </w:r>
      <w:r w:rsidDel="00000000" w:rsidR="00000000" w:rsidRPr="00000000">
        <w:rPr>
          <w:rtl w:val="0"/>
        </w:rPr>
        <w:t xml:space="preserve"> exon bin usage in (A) BOS blood and (B) AML-ASXL1 blood. Cases are shown in green and controls in pink.  C) Boxplot comparing mean exon usage of </w:t>
      </w:r>
      <w:r w:rsidDel="00000000" w:rsidR="00000000" w:rsidRPr="00000000">
        <w:rPr>
          <w:i w:val="1"/>
          <w:rtl w:val="0"/>
        </w:rPr>
        <w:t xml:space="preserve">RUNX3</w:t>
      </w:r>
      <w:r w:rsidDel="00000000" w:rsidR="00000000" w:rsidRPr="00000000">
        <w:rPr>
          <w:rtl w:val="0"/>
        </w:rPr>
        <w:t xml:space="preserve"> in Controls, BOS, AML, and AML-ASXL1 (blood samples).  D) Boxplot comparing normalized </w:t>
      </w:r>
      <w:r w:rsidDel="00000000" w:rsidR="00000000" w:rsidRPr="00000000">
        <w:rPr>
          <w:i w:val="1"/>
          <w:rtl w:val="0"/>
        </w:rPr>
        <w:t xml:space="preserve">RUNX3</w:t>
      </w:r>
      <w:r w:rsidDel="00000000" w:rsidR="00000000" w:rsidRPr="00000000">
        <w:rPr>
          <w:rtl w:val="0"/>
        </w:rPr>
        <w:t xml:space="preserve"> gene expression in control blood, BOS blood, AML blood and bone marrow, and AML-ASXL1 blood and bone marrow.  E) Boxplot comparing mean exon usage of </w:t>
      </w:r>
      <w:r w:rsidDel="00000000" w:rsidR="00000000" w:rsidRPr="00000000">
        <w:rPr>
          <w:i w:val="1"/>
          <w:rtl w:val="0"/>
        </w:rPr>
        <w:t xml:space="preserve">RUNX3</w:t>
      </w:r>
      <w:r w:rsidDel="00000000" w:rsidR="00000000" w:rsidRPr="00000000">
        <w:rPr>
          <w:rtl w:val="0"/>
        </w:rPr>
        <w:t xml:space="preserve"> exon bins shows </w:t>
      </w:r>
      <w:r w:rsidDel="00000000" w:rsidR="00000000" w:rsidRPr="00000000">
        <w:rPr>
          <w:i w:val="1"/>
          <w:rtl w:val="0"/>
        </w:rPr>
        <w:t xml:space="preserve">RUNX3</w:t>
      </w:r>
      <w:r w:rsidDel="00000000" w:rsidR="00000000" w:rsidRPr="00000000">
        <w:rPr>
          <w:rtl w:val="0"/>
        </w:rPr>
        <w:t xml:space="preserve"> is more highly expressed in BOS blood than fibroblast.</w:t>
      </w:r>
    </w:p>
    <w:p w:rsidR="00000000" w:rsidDel="00000000" w:rsidP="00000000" w:rsidRDefault="00000000" w:rsidRPr="00000000" w14:paraId="00000031">
      <w:pPr>
        <w:pStyle w:val="Heading4"/>
        <w:spacing w:after="0" w:before="0" w:line="360" w:lineRule="auto"/>
        <w:jc w:val="both"/>
        <w:rPr>
          <w:b w:val="1"/>
          <w:sz w:val="22"/>
          <w:szCs w:val="22"/>
        </w:rPr>
      </w:pPr>
      <w:bookmarkStart w:colFirst="0" w:colLast="0" w:name="_8dpl2yxvu69d" w:id="9"/>
      <w:bookmarkEnd w:id="9"/>
      <w:r w:rsidDel="00000000" w:rsidR="00000000" w:rsidRPr="00000000">
        <w:rPr>
          <w:b w:val="1"/>
          <w:color w:val="000000"/>
          <w:sz w:val="22"/>
          <w:szCs w:val="22"/>
        </w:rPr>
        <w:drawing>
          <wp:inline distB="114300" distT="114300" distL="114300" distR="114300">
            <wp:extent cx="5767388" cy="5299761"/>
            <wp:effectExtent b="0" l="0" r="0" t="0"/>
            <wp:docPr id="9" name="image8.png"/>
            <a:graphic>
              <a:graphicData uri="http://schemas.openxmlformats.org/drawingml/2006/picture">
                <pic:pic>
                  <pic:nvPicPr>
                    <pic:cNvPr id="0" name="image8.png"/>
                    <pic:cNvPicPr preferRelativeResize="0"/>
                  </pic:nvPicPr>
                  <pic:blipFill>
                    <a:blip r:embed="rId13"/>
                    <a:srcRect b="46875" l="0" r="22916" t="0"/>
                    <a:stretch>
                      <a:fillRect/>
                    </a:stretch>
                  </pic:blipFill>
                  <pic:spPr>
                    <a:xfrm>
                      <a:off x="0" y="0"/>
                      <a:ext cx="5767388" cy="5299761"/>
                    </a:xfrm>
                    <a:prstGeom prst="rect"/>
                    <a:ln/>
                  </pic:spPr>
                </pic:pic>
              </a:graphicData>
            </a:graphic>
          </wp:inline>
        </w:drawing>
      </w:r>
      <w:r w:rsidDel="00000000" w:rsidR="00000000" w:rsidRPr="00000000">
        <w:rPr>
          <w:rtl w:val="0"/>
        </w:rPr>
      </w:r>
    </w:p>
    <w:p w:rsidR="00000000" w:rsidDel="00000000" w:rsidP="00000000" w:rsidRDefault="00000000" w:rsidRPr="00000000" w14:paraId="00000032">
      <w:pPr>
        <w:pStyle w:val="Heading4"/>
        <w:spacing w:after="0" w:before="0" w:line="360" w:lineRule="auto"/>
        <w:jc w:val="both"/>
        <w:rPr>
          <w:color w:val="000000"/>
          <w:sz w:val="22"/>
          <w:szCs w:val="22"/>
        </w:rPr>
      </w:pPr>
      <w:bookmarkStart w:colFirst="0" w:colLast="0" w:name="_ci6gp69olvdd" w:id="10"/>
      <w:bookmarkEnd w:id="10"/>
      <w:r w:rsidDel="00000000" w:rsidR="00000000" w:rsidRPr="00000000">
        <w:rPr>
          <w:b w:val="1"/>
          <w:color w:val="000000"/>
          <w:sz w:val="22"/>
          <w:szCs w:val="22"/>
          <w:rtl w:val="0"/>
        </w:rPr>
        <w:t xml:space="preserve">Figure S8: </w:t>
      </w:r>
      <w:r w:rsidDel="00000000" w:rsidR="00000000" w:rsidRPr="00000000">
        <w:rPr>
          <w:b w:val="1"/>
          <w:i w:val="1"/>
          <w:color w:val="000000"/>
          <w:sz w:val="22"/>
          <w:szCs w:val="22"/>
          <w:rtl w:val="0"/>
        </w:rPr>
        <w:t xml:space="preserve">ASXL1</w:t>
      </w:r>
      <w:r w:rsidDel="00000000" w:rsidR="00000000" w:rsidRPr="00000000">
        <w:rPr>
          <w:b w:val="1"/>
          <w:color w:val="000000"/>
          <w:sz w:val="22"/>
          <w:szCs w:val="22"/>
          <w:rtl w:val="0"/>
        </w:rPr>
        <w:t xml:space="preserve"> exon usage</w:t>
      </w:r>
      <w:r w:rsidDel="00000000" w:rsidR="00000000" w:rsidRPr="00000000">
        <w:rPr>
          <w:color w:val="000000"/>
          <w:sz w:val="22"/>
          <w:szCs w:val="22"/>
          <w:rtl w:val="0"/>
        </w:rPr>
        <w:t xml:space="preserve">  </w:t>
      </w:r>
    </w:p>
    <w:p w:rsidR="00000000" w:rsidDel="00000000" w:rsidP="00000000" w:rsidRDefault="00000000" w:rsidRPr="00000000" w14:paraId="00000033">
      <w:pPr>
        <w:spacing w:line="360" w:lineRule="auto"/>
        <w:rPr/>
      </w:pPr>
      <w:r w:rsidDel="00000000" w:rsidR="00000000" w:rsidRPr="00000000">
        <w:rPr>
          <w:rtl w:val="0"/>
        </w:rPr>
        <w:t xml:space="preserve">A-C) </w:t>
      </w:r>
      <w:r w:rsidDel="00000000" w:rsidR="00000000" w:rsidRPr="00000000">
        <w:rPr>
          <w:i w:val="1"/>
          <w:rtl w:val="0"/>
        </w:rPr>
        <w:t xml:space="preserve">ASXL1 </w:t>
      </w:r>
      <w:r w:rsidDel="00000000" w:rsidR="00000000" w:rsidRPr="00000000">
        <w:rPr>
          <w:rtl w:val="0"/>
        </w:rPr>
        <w:t xml:space="preserve">fitted expression exon usage plots for (A) BOS blood, (B) BOS fibroblast, and (C) AML-ASXL1 blood.  D) Unsupervised hierarchical cluster heatmap of </w:t>
      </w:r>
      <w:r w:rsidDel="00000000" w:rsidR="00000000" w:rsidRPr="00000000">
        <w:rPr>
          <w:i w:val="1"/>
          <w:rtl w:val="0"/>
        </w:rPr>
        <w:t xml:space="preserve">ASXL1</w:t>
      </w:r>
      <w:r w:rsidDel="00000000" w:rsidR="00000000" w:rsidRPr="00000000">
        <w:rPr>
          <w:rtl w:val="0"/>
        </w:rPr>
        <w:t xml:space="preserve"> exon bin usage in BOS blood and fibroblast samples shows clustering by tissue type and not disease status (blue = blood, purple = fibroblast, green = case, pink = control).</w:t>
      </w:r>
    </w:p>
    <w:p w:rsidR="00000000" w:rsidDel="00000000" w:rsidP="00000000" w:rsidRDefault="00000000" w:rsidRPr="00000000" w14:paraId="00000034">
      <w:pPr>
        <w:spacing w:line="360" w:lineRule="auto"/>
        <w:rPr/>
      </w:pPr>
      <w:r w:rsidDel="00000000" w:rsidR="00000000" w:rsidRPr="00000000">
        <w:br w:type="page"/>
      </w:r>
      <w:r w:rsidDel="00000000" w:rsidR="00000000" w:rsidRPr="00000000">
        <w:rPr>
          <w:rtl w:val="0"/>
        </w:rPr>
      </w:r>
    </w:p>
    <w:p w:rsidR="00000000" w:rsidDel="00000000" w:rsidP="00000000" w:rsidRDefault="00000000" w:rsidRPr="00000000" w14:paraId="00000035">
      <w:pPr>
        <w:spacing w:line="360" w:lineRule="auto"/>
        <w:jc w:val="both"/>
        <w:rPr/>
      </w:pPr>
      <w:r w:rsidDel="00000000" w:rsidR="00000000" w:rsidRPr="00000000">
        <w:rPr/>
        <w:drawing>
          <wp:inline distB="114300" distT="114300" distL="114300" distR="114300">
            <wp:extent cx="3786188" cy="6047260"/>
            <wp:effectExtent b="0" l="0" r="0" t="0"/>
            <wp:docPr id="12" name="image10.png"/>
            <a:graphic>
              <a:graphicData uri="http://schemas.openxmlformats.org/drawingml/2006/picture">
                <pic:pic>
                  <pic:nvPicPr>
                    <pic:cNvPr id="0" name="image10.png"/>
                    <pic:cNvPicPr preferRelativeResize="0"/>
                  </pic:nvPicPr>
                  <pic:blipFill>
                    <a:blip r:embed="rId14"/>
                    <a:srcRect b="0" l="0" r="0" t="0"/>
                    <a:stretch>
                      <a:fillRect/>
                    </a:stretch>
                  </pic:blipFill>
                  <pic:spPr>
                    <a:xfrm>
                      <a:off x="0" y="0"/>
                      <a:ext cx="3786188" cy="6047260"/>
                    </a:xfrm>
                    <a:prstGeom prst="rect"/>
                    <a:ln/>
                  </pic:spPr>
                </pic:pic>
              </a:graphicData>
            </a:graphic>
          </wp:inline>
        </w:drawing>
      </w:r>
      <w:r w:rsidDel="00000000" w:rsidR="00000000" w:rsidRPr="00000000">
        <w:rPr>
          <w:rtl w:val="0"/>
        </w:rPr>
      </w:r>
    </w:p>
    <w:p w:rsidR="00000000" w:rsidDel="00000000" w:rsidP="00000000" w:rsidRDefault="00000000" w:rsidRPr="00000000" w14:paraId="00000036">
      <w:pPr>
        <w:pStyle w:val="Heading4"/>
        <w:spacing w:after="0" w:before="0" w:line="360" w:lineRule="auto"/>
        <w:jc w:val="both"/>
        <w:rPr>
          <w:b w:val="1"/>
          <w:color w:val="000000"/>
          <w:sz w:val="22"/>
          <w:szCs w:val="22"/>
        </w:rPr>
      </w:pPr>
      <w:bookmarkStart w:colFirst="0" w:colLast="0" w:name="_9ege8tc756qf" w:id="11"/>
      <w:bookmarkEnd w:id="11"/>
      <w:r w:rsidDel="00000000" w:rsidR="00000000" w:rsidRPr="00000000">
        <w:rPr>
          <w:b w:val="1"/>
          <w:color w:val="000000"/>
          <w:sz w:val="22"/>
          <w:szCs w:val="22"/>
          <w:rtl w:val="0"/>
        </w:rPr>
        <w:t xml:space="preserve">Supplemental Table 1: Control sample characteristics for AML-ASXL1 analysis</w:t>
      </w:r>
    </w:p>
    <w:p w:rsidR="00000000" w:rsidDel="00000000" w:rsidP="00000000" w:rsidRDefault="00000000" w:rsidRPr="00000000" w14:paraId="00000037">
      <w:pPr>
        <w:spacing w:line="360" w:lineRule="auto"/>
        <w:ind w:left="0" w:firstLine="0"/>
        <w:jc w:val="both"/>
        <w:rPr/>
      </w:pPr>
      <w:r w:rsidDel="00000000" w:rsidR="00000000" w:rsidRPr="00000000">
        <w:rPr>
          <w:rtl w:val="0"/>
        </w:rPr>
        <w:t xml:space="preserve">Demographic information for control samples used in the AML-ASXL1 analysis. This table includes sample ID, tissue type, and sex.</w:t>
      </w:r>
      <w:r w:rsidDel="00000000" w:rsidR="00000000" w:rsidRPr="00000000">
        <w:br w:type="page"/>
      </w:r>
      <w:r w:rsidDel="00000000" w:rsidR="00000000" w:rsidRPr="00000000">
        <w:rPr>
          <w:rtl w:val="0"/>
        </w:rPr>
      </w:r>
    </w:p>
    <w:p w:rsidR="00000000" w:rsidDel="00000000" w:rsidP="00000000" w:rsidRDefault="00000000" w:rsidRPr="00000000" w14:paraId="00000038">
      <w:pPr>
        <w:spacing w:line="360" w:lineRule="auto"/>
        <w:ind w:left="0" w:firstLine="0"/>
        <w:jc w:val="both"/>
        <w:rPr/>
      </w:pPr>
      <w:r w:rsidDel="00000000" w:rsidR="00000000" w:rsidRPr="00000000">
        <w:rPr/>
        <w:drawing>
          <wp:inline distB="114300" distT="114300" distL="114300" distR="114300">
            <wp:extent cx="5943600" cy="4635500"/>
            <wp:effectExtent b="0" l="0" r="0" t="0"/>
            <wp:docPr id="10" name="image16.png"/>
            <a:graphic>
              <a:graphicData uri="http://schemas.openxmlformats.org/drawingml/2006/picture">
                <pic:pic>
                  <pic:nvPicPr>
                    <pic:cNvPr id="0" name="image16.png"/>
                    <pic:cNvPicPr preferRelativeResize="0"/>
                  </pic:nvPicPr>
                  <pic:blipFill>
                    <a:blip r:embed="rId15"/>
                    <a:srcRect b="0" l="0" r="0" t="0"/>
                    <a:stretch>
                      <a:fillRect/>
                    </a:stretch>
                  </pic:blipFill>
                  <pic:spPr>
                    <a:xfrm>
                      <a:off x="0" y="0"/>
                      <a:ext cx="5943600" cy="4635500"/>
                    </a:xfrm>
                    <a:prstGeom prst="rect"/>
                    <a:ln/>
                  </pic:spPr>
                </pic:pic>
              </a:graphicData>
            </a:graphic>
          </wp:inline>
        </w:drawing>
      </w:r>
      <w:r w:rsidDel="00000000" w:rsidR="00000000" w:rsidRPr="00000000">
        <w:rPr>
          <w:rtl w:val="0"/>
        </w:rPr>
      </w:r>
    </w:p>
    <w:p w:rsidR="00000000" w:rsidDel="00000000" w:rsidP="00000000" w:rsidRDefault="00000000" w:rsidRPr="00000000" w14:paraId="00000039">
      <w:pPr>
        <w:pStyle w:val="Heading4"/>
        <w:spacing w:after="0" w:before="0" w:line="360" w:lineRule="auto"/>
        <w:jc w:val="both"/>
        <w:rPr>
          <w:b w:val="1"/>
          <w:color w:val="000000"/>
          <w:sz w:val="22"/>
          <w:szCs w:val="22"/>
        </w:rPr>
      </w:pPr>
      <w:bookmarkStart w:colFirst="0" w:colLast="0" w:name="_jj0afxnc0qif" w:id="12"/>
      <w:bookmarkEnd w:id="12"/>
      <w:r w:rsidDel="00000000" w:rsidR="00000000" w:rsidRPr="00000000">
        <w:rPr>
          <w:b w:val="1"/>
          <w:color w:val="000000"/>
          <w:sz w:val="22"/>
          <w:szCs w:val="22"/>
          <w:rtl w:val="0"/>
        </w:rPr>
        <w:t xml:space="preserve">Supplemental Table 2: Differential Gene Expression in AML-ASXL1 samples compared to controls (blood + bone marrow)</w:t>
      </w:r>
    </w:p>
    <w:p w:rsidR="00000000" w:rsidDel="00000000" w:rsidP="00000000" w:rsidRDefault="00000000" w:rsidRPr="00000000" w14:paraId="0000003A">
      <w:pPr>
        <w:spacing w:line="360" w:lineRule="auto"/>
        <w:jc w:val="both"/>
        <w:rPr/>
      </w:pPr>
      <w:r w:rsidDel="00000000" w:rsidR="00000000" w:rsidRPr="00000000">
        <w:rPr>
          <w:rtl w:val="0"/>
        </w:rPr>
        <w:t xml:space="preserve">This table shows the 15 most upregulated and 15 most downregulated differentially expressed genes (DEGs) with largest effect size from RNA sequencing comparing AML-ASXL1 samples and control samples from blood and bone marrow, adjusted for tissue and sex. The gene ID, log</w:t>
      </w:r>
      <w:r w:rsidDel="00000000" w:rsidR="00000000" w:rsidRPr="00000000">
        <w:rPr>
          <w:vertAlign w:val="subscript"/>
          <w:rtl w:val="0"/>
        </w:rPr>
        <w:t xml:space="preserve">2</w:t>
      </w:r>
      <w:r w:rsidDel="00000000" w:rsidR="00000000" w:rsidRPr="00000000">
        <w:rPr>
          <w:rtl w:val="0"/>
        </w:rPr>
        <w:t xml:space="preserve"> fold change (log</w:t>
      </w:r>
      <w:r w:rsidDel="00000000" w:rsidR="00000000" w:rsidRPr="00000000">
        <w:rPr>
          <w:vertAlign w:val="subscript"/>
          <w:rtl w:val="0"/>
        </w:rPr>
        <w:t xml:space="preserve">2</w:t>
      </w:r>
      <w:r w:rsidDel="00000000" w:rsidR="00000000" w:rsidRPr="00000000">
        <w:rPr>
          <w:rtl w:val="0"/>
        </w:rPr>
        <w:t xml:space="preserve">FC), p-value, adjusted p-value, and gene name are listed.</w:t>
      </w:r>
    </w:p>
    <w:p w:rsidR="00000000" w:rsidDel="00000000" w:rsidP="00000000" w:rsidRDefault="00000000" w:rsidRPr="00000000" w14:paraId="0000003B">
      <w:pPr>
        <w:pBdr>
          <w:top w:color="e3e3e3" w:space="0" w:sz="0" w:val="none"/>
          <w:left w:color="e3e3e3" w:space="0" w:sz="0" w:val="none"/>
          <w:bottom w:color="e3e3e3" w:space="0" w:sz="0" w:val="none"/>
          <w:right w:color="e3e3e3" w:space="0" w:sz="0" w:val="none"/>
          <w:between w:color="e3e3e3" w:space="0" w:sz="0" w:val="none"/>
        </w:pBdr>
        <w:shd w:fill="ffffff" w:val="clear"/>
        <w:spacing w:after="300" w:line="360" w:lineRule="auto"/>
        <w:jc w:val="both"/>
        <w:rPr/>
      </w:pPr>
      <w:r w:rsidDel="00000000" w:rsidR="00000000" w:rsidRPr="00000000">
        <w:rPr>
          <w:rtl w:val="0"/>
        </w:rPr>
      </w:r>
    </w:p>
    <w:p w:rsidR="00000000" w:rsidDel="00000000" w:rsidP="00000000" w:rsidRDefault="00000000" w:rsidRPr="00000000" w14:paraId="0000003C">
      <w:pPr>
        <w:spacing w:line="360" w:lineRule="auto"/>
        <w:jc w:val="both"/>
        <w:rPr/>
      </w:pPr>
      <w:r w:rsidDel="00000000" w:rsidR="00000000" w:rsidRPr="00000000">
        <w:rPr>
          <w:rtl w:val="0"/>
        </w:rPr>
      </w:r>
    </w:p>
    <w:p w:rsidR="00000000" w:rsidDel="00000000" w:rsidP="00000000" w:rsidRDefault="00000000" w:rsidRPr="00000000" w14:paraId="0000003D">
      <w:pPr>
        <w:spacing w:line="360" w:lineRule="auto"/>
        <w:jc w:val="both"/>
        <w:rPr/>
      </w:pPr>
      <w:r w:rsidDel="00000000" w:rsidR="00000000" w:rsidRPr="00000000">
        <w:rPr/>
        <w:drawing>
          <wp:inline distB="114300" distT="114300" distL="114300" distR="114300">
            <wp:extent cx="5943600" cy="6946900"/>
            <wp:effectExtent b="0" l="0" r="0" t="0"/>
            <wp:docPr id="3" name="image13.png"/>
            <a:graphic>
              <a:graphicData uri="http://schemas.openxmlformats.org/drawingml/2006/picture">
                <pic:pic>
                  <pic:nvPicPr>
                    <pic:cNvPr id="0" name="image13.png"/>
                    <pic:cNvPicPr preferRelativeResize="0"/>
                  </pic:nvPicPr>
                  <pic:blipFill>
                    <a:blip r:embed="rId16"/>
                    <a:srcRect b="0" l="0" r="0" t="0"/>
                    <a:stretch>
                      <a:fillRect/>
                    </a:stretch>
                  </pic:blipFill>
                  <pic:spPr>
                    <a:xfrm>
                      <a:off x="0" y="0"/>
                      <a:ext cx="5943600" cy="6946900"/>
                    </a:xfrm>
                    <a:prstGeom prst="rect"/>
                    <a:ln/>
                  </pic:spPr>
                </pic:pic>
              </a:graphicData>
            </a:graphic>
          </wp:inline>
        </w:drawing>
      </w:r>
      <w:r w:rsidDel="00000000" w:rsidR="00000000" w:rsidRPr="00000000">
        <w:rPr>
          <w:rtl w:val="0"/>
        </w:rPr>
      </w:r>
    </w:p>
    <w:p w:rsidR="00000000" w:rsidDel="00000000" w:rsidP="00000000" w:rsidRDefault="00000000" w:rsidRPr="00000000" w14:paraId="0000003E">
      <w:pPr>
        <w:pStyle w:val="Heading4"/>
        <w:spacing w:line="360" w:lineRule="auto"/>
        <w:jc w:val="both"/>
        <w:rPr>
          <w:b w:val="1"/>
        </w:rPr>
      </w:pPr>
      <w:bookmarkStart w:colFirst="0" w:colLast="0" w:name="_lfusol8e3h1p" w:id="13"/>
      <w:bookmarkEnd w:id="13"/>
      <w:r w:rsidDel="00000000" w:rsidR="00000000" w:rsidRPr="00000000">
        <w:rPr/>
        <w:drawing>
          <wp:inline distB="114300" distT="114300" distL="114300" distR="114300">
            <wp:extent cx="5943600" cy="6019800"/>
            <wp:effectExtent b="0" l="0" r="0" t="0"/>
            <wp:docPr id="4" name="image12.png"/>
            <a:graphic>
              <a:graphicData uri="http://schemas.openxmlformats.org/drawingml/2006/picture">
                <pic:pic>
                  <pic:nvPicPr>
                    <pic:cNvPr id="0" name="image12.png"/>
                    <pic:cNvPicPr preferRelativeResize="0"/>
                  </pic:nvPicPr>
                  <pic:blipFill>
                    <a:blip r:embed="rId17"/>
                    <a:srcRect b="0" l="0" r="0" t="0"/>
                    <a:stretch>
                      <a:fillRect/>
                    </a:stretch>
                  </pic:blipFill>
                  <pic:spPr>
                    <a:xfrm>
                      <a:off x="0" y="0"/>
                      <a:ext cx="5943600" cy="6019800"/>
                    </a:xfrm>
                    <a:prstGeom prst="rect"/>
                    <a:ln/>
                  </pic:spPr>
                </pic:pic>
              </a:graphicData>
            </a:graphic>
          </wp:inline>
        </w:drawing>
      </w:r>
      <w:r w:rsidDel="00000000" w:rsidR="00000000" w:rsidRPr="00000000">
        <w:rPr>
          <w:b w:val="1"/>
          <w:rtl w:val="0"/>
        </w:rPr>
        <w:t xml:space="preserve">Supplemental Table 3: DNA methylation at Transcriptional Start Sites (TSS).  </w:t>
      </w:r>
    </w:p>
    <w:p w:rsidR="00000000" w:rsidDel="00000000" w:rsidP="00000000" w:rsidRDefault="00000000" w:rsidRPr="00000000" w14:paraId="0000003F">
      <w:pPr>
        <w:spacing w:line="360" w:lineRule="auto"/>
        <w:jc w:val="both"/>
        <w:rPr/>
      </w:pPr>
      <w:r w:rsidDel="00000000" w:rsidR="00000000" w:rsidRPr="00000000">
        <w:rPr>
          <w:color w:val="000000"/>
          <w:rtl w:val="0"/>
        </w:rPr>
        <w:t xml:space="preserve">DNA methylation (DNAm) average mean DNAm beta (β) values at transcriptional start site (TSS) CpG sites, both 200bp upstream (TSS200) and 1500bp upstream (TSS1500), are shown. Samples analyzed are from patients with AML with non-ASXL1 mutations (AML-other, n=3), AML with </w:t>
      </w:r>
      <w:r w:rsidDel="00000000" w:rsidR="00000000" w:rsidRPr="00000000">
        <w:rPr>
          <w:i w:val="1"/>
          <w:color w:val="000000"/>
          <w:rtl w:val="0"/>
        </w:rPr>
        <w:t xml:space="preserve">ASXL1</w:t>
      </w:r>
      <w:r w:rsidDel="00000000" w:rsidR="00000000" w:rsidRPr="00000000">
        <w:rPr>
          <w:color w:val="000000"/>
          <w:rtl w:val="0"/>
        </w:rPr>
        <w:t xml:space="preserve"> mutations (AML-</w:t>
      </w:r>
      <w:r w:rsidDel="00000000" w:rsidR="00000000" w:rsidRPr="00000000">
        <w:rPr>
          <w:i w:val="1"/>
          <w:color w:val="000000"/>
          <w:rtl w:val="0"/>
        </w:rPr>
        <w:t xml:space="preserve">ASXL1</w:t>
      </w:r>
      <w:r w:rsidDel="00000000" w:rsidR="00000000" w:rsidRPr="00000000">
        <w:rPr>
          <w:color w:val="000000"/>
          <w:rtl w:val="0"/>
        </w:rPr>
        <w:t xml:space="preserve">, n=3), Bohring-Opitz syndrome (BOS, n=8), and controls (n=26). The corresponding gene, CpG site, chromosome, and position for each CpG site are provided.</w:t>
      </w:r>
      <w:r w:rsidDel="00000000" w:rsidR="00000000" w:rsidRPr="00000000">
        <w:rPr>
          <w:rtl w:val="0"/>
        </w:rPr>
      </w:r>
    </w:p>
    <w:p w:rsidR="00000000" w:rsidDel="00000000" w:rsidP="00000000" w:rsidRDefault="00000000" w:rsidRPr="00000000" w14:paraId="00000040">
      <w:pPr>
        <w:pBdr>
          <w:top w:color="e3e3e3" w:space="0" w:sz="0" w:val="none"/>
          <w:left w:color="e3e3e3" w:space="0" w:sz="0" w:val="none"/>
          <w:bottom w:color="e3e3e3" w:space="0" w:sz="0" w:val="none"/>
          <w:right w:color="e3e3e3" w:space="0" w:sz="0" w:val="none"/>
          <w:between w:color="e3e3e3" w:space="0" w:sz="0" w:val="none"/>
        </w:pBdr>
        <w:shd w:fill="ffffff" w:val="clear"/>
        <w:spacing w:after="0" w:line="360" w:lineRule="auto"/>
        <w:jc w:val="both"/>
        <w:rPr/>
      </w:pPr>
      <w:r w:rsidDel="00000000" w:rsidR="00000000" w:rsidRPr="00000000">
        <w:rPr/>
        <w:drawing>
          <wp:inline distB="114300" distT="114300" distL="114300" distR="114300">
            <wp:extent cx="5943600" cy="1435100"/>
            <wp:effectExtent b="0" l="0" r="0" t="0"/>
            <wp:docPr id="5" name="image9.png"/>
            <a:graphic>
              <a:graphicData uri="http://schemas.openxmlformats.org/drawingml/2006/picture">
                <pic:pic>
                  <pic:nvPicPr>
                    <pic:cNvPr id="0" name="image9.png"/>
                    <pic:cNvPicPr preferRelativeResize="0"/>
                  </pic:nvPicPr>
                  <pic:blipFill>
                    <a:blip r:embed="rId18"/>
                    <a:srcRect b="0" l="0" r="0" t="0"/>
                    <a:stretch>
                      <a:fillRect/>
                    </a:stretch>
                  </pic:blipFill>
                  <pic:spPr>
                    <a:xfrm>
                      <a:off x="0" y="0"/>
                      <a:ext cx="5943600" cy="1435100"/>
                    </a:xfrm>
                    <a:prstGeom prst="rect"/>
                    <a:ln/>
                  </pic:spPr>
                </pic:pic>
              </a:graphicData>
            </a:graphic>
          </wp:inline>
        </w:drawing>
      </w:r>
      <w:r w:rsidDel="00000000" w:rsidR="00000000" w:rsidRPr="00000000">
        <w:rPr>
          <w:rtl w:val="0"/>
        </w:rPr>
      </w:r>
    </w:p>
    <w:p w:rsidR="00000000" w:rsidDel="00000000" w:rsidP="00000000" w:rsidRDefault="00000000" w:rsidRPr="00000000" w14:paraId="00000041">
      <w:pPr>
        <w:pStyle w:val="Heading4"/>
        <w:rPr>
          <w:b w:val="1"/>
          <w:color w:val="000000"/>
          <w:sz w:val="22"/>
          <w:szCs w:val="22"/>
        </w:rPr>
      </w:pPr>
      <w:bookmarkStart w:colFirst="0" w:colLast="0" w:name="_edwxmj2e41lp" w:id="14"/>
      <w:bookmarkEnd w:id="14"/>
      <w:r w:rsidDel="00000000" w:rsidR="00000000" w:rsidRPr="00000000">
        <w:rPr>
          <w:b w:val="1"/>
          <w:color w:val="000000"/>
          <w:sz w:val="22"/>
          <w:szCs w:val="22"/>
          <w:rtl w:val="0"/>
        </w:rPr>
        <w:t xml:space="preserve">Supplemental</w:t>
      </w:r>
      <w:r w:rsidDel="00000000" w:rsidR="00000000" w:rsidRPr="00000000">
        <w:rPr>
          <w:rtl w:val="0"/>
        </w:rPr>
        <w:t xml:space="preserve"> Table 4:</w:t>
      </w:r>
      <w:r w:rsidDel="00000000" w:rsidR="00000000" w:rsidRPr="00000000">
        <w:rPr>
          <w:b w:val="1"/>
          <w:color w:val="000000"/>
          <w:sz w:val="22"/>
          <w:szCs w:val="22"/>
          <w:rtl w:val="0"/>
        </w:rPr>
        <w:t xml:space="preserve"> CIBERSORTx cell type deconvolution in blood sample RNA sequencing</w:t>
      </w:r>
    </w:p>
    <w:p w:rsidR="00000000" w:rsidDel="00000000" w:rsidP="00000000" w:rsidRDefault="00000000" w:rsidRPr="00000000" w14:paraId="00000042">
      <w:pPr>
        <w:spacing w:line="360" w:lineRule="auto"/>
        <w:jc w:val="both"/>
        <w:rPr/>
      </w:pPr>
      <w:r w:rsidDel="00000000" w:rsidR="00000000" w:rsidRPr="00000000">
        <w:rPr>
          <w:rtl w:val="0"/>
        </w:rPr>
        <w:t xml:space="preserve">This table summarizes the results from CIBERSORTx cell type deconvolution applied to RNA sequencing data from BOS and control blood samples. </w:t>
      </w:r>
    </w:p>
    <w:p w:rsidR="00000000" w:rsidDel="00000000" w:rsidP="00000000" w:rsidRDefault="00000000" w:rsidRPr="00000000" w14:paraId="00000043">
      <w:pPr>
        <w:spacing w:line="360" w:lineRule="auto"/>
        <w:jc w:val="both"/>
        <w:rPr/>
      </w:pPr>
      <w:r w:rsidDel="00000000" w:rsidR="00000000" w:rsidRPr="00000000">
        <w:rPr>
          <w:rtl w:val="0"/>
        </w:rPr>
      </w:r>
    </w:p>
    <w:p w:rsidR="00000000" w:rsidDel="00000000" w:rsidP="00000000" w:rsidRDefault="00000000" w:rsidRPr="00000000" w14:paraId="00000044">
      <w:pPr>
        <w:spacing w:line="360" w:lineRule="auto"/>
        <w:jc w:val="both"/>
        <w:rPr/>
      </w:pPr>
      <w:r w:rsidDel="00000000" w:rsidR="00000000" w:rsidRPr="00000000">
        <w:rPr>
          <w:rtl w:val="0"/>
        </w:rPr>
      </w:r>
    </w:p>
    <w:p w:rsidR="00000000" w:rsidDel="00000000" w:rsidP="00000000" w:rsidRDefault="00000000" w:rsidRPr="00000000" w14:paraId="00000045">
      <w:pPr>
        <w:spacing w:line="360" w:lineRule="auto"/>
        <w:jc w:val="both"/>
        <w:rPr/>
      </w:pPr>
      <w:r w:rsidDel="00000000" w:rsidR="00000000" w:rsidRPr="00000000">
        <w:br w:type="page"/>
      </w:r>
      <w:r w:rsidDel="00000000" w:rsidR="00000000" w:rsidRPr="00000000">
        <w:rPr>
          <w:rtl w:val="0"/>
        </w:rPr>
      </w:r>
    </w:p>
    <w:p w:rsidR="00000000" w:rsidDel="00000000" w:rsidP="00000000" w:rsidRDefault="00000000" w:rsidRPr="00000000" w14:paraId="00000046">
      <w:pPr>
        <w:spacing w:line="360" w:lineRule="auto"/>
        <w:jc w:val="both"/>
        <w:rPr/>
      </w:pPr>
      <w:r w:rsidDel="00000000" w:rsidR="00000000" w:rsidRPr="00000000">
        <w:rPr/>
        <w:drawing>
          <wp:inline distB="114300" distT="114300" distL="114300" distR="114300">
            <wp:extent cx="5943600" cy="4394200"/>
            <wp:effectExtent b="0" l="0" r="0" t="0"/>
            <wp:docPr id="7" name="image14.png"/>
            <a:graphic>
              <a:graphicData uri="http://schemas.openxmlformats.org/drawingml/2006/picture">
                <pic:pic>
                  <pic:nvPicPr>
                    <pic:cNvPr id="0" name="image14.png"/>
                    <pic:cNvPicPr preferRelativeResize="0"/>
                  </pic:nvPicPr>
                  <pic:blipFill>
                    <a:blip r:embed="rId19"/>
                    <a:srcRect b="0" l="0" r="0" t="0"/>
                    <a:stretch>
                      <a:fillRect/>
                    </a:stretch>
                  </pic:blipFill>
                  <pic:spPr>
                    <a:xfrm>
                      <a:off x="0" y="0"/>
                      <a:ext cx="5943600" cy="4394200"/>
                    </a:xfrm>
                    <a:prstGeom prst="rect"/>
                    <a:ln/>
                  </pic:spPr>
                </pic:pic>
              </a:graphicData>
            </a:graphic>
          </wp:inline>
        </w:drawing>
      </w:r>
      <w:r w:rsidDel="00000000" w:rsidR="00000000" w:rsidRPr="00000000">
        <w:rPr>
          <w:rtl w:val="0"/>
        </w:rPr>
      </w:r>
    </w:p>
    <w:p w:rsidR="00000000" w:rsidDel="00000000" w:rsidP="00000000" w:rsidRDefault="00000000" w:rsidRPr="00000000" w14:paraId="00000047">
      <w:pPr>
        <w:pStyle w:val="Heading4"/>
        <w:spacing w:after="0" w:before="0" w:line="360" w:lineRule="auto"/>
        <w:rPr>
          <w:b w:val="1"/>
          <w:color w:val="000000"/>
          <w:sz w:val="22"/>
          <w:szCs w:val="22"/>
        </w:rPr>
      </w:pPr>
      <w:bookmarkStart w:colFirst="0" w:colLast="0" w:name="_su5w1l3g2olk" w:id="15"/>
      <w:bookmarkEnd w:id="15"/>
      <w:r w:rsidDel="00000000" w:rsidR="00000000" w:rsidRPr="00000000">
        <w:rPr>
          <w:b w:val="1"/>
          <w:color w:val="000000"/>
          <w:sz w:val="22"/>
          <w:szCs w:val="22"/>
          <w:rtl w:val="0"/>
        </w:rPr>
        <w:t xml:space="preserve">Supplemental Table 5: Significant differential exon usage (DEU) exon bins in Bohring-Opitz syndrome blood samples.</w:t>
      </w:r>
    </w:p>
    <w:p w:rsidR="00000000" w:rsidDel="00000000" w:rsidP="00000000" w:rsidRDefault="00000000" w:rsidRPr="00000000" w14:paraId="00000048">
      <w:pPr>
        <w:pBdr>
          <w:top w:color="e3e3e3" w:space="0" w:sz="0" w:val="none"/>
          <w:left w:color="e3e3e3" w:space="0" w:sz="0" w:val="none"/>
          <w:bottom w:color="e3e3e3" w:space="0" w:sz="0" w:val="none"/>
          <w:right w:color="e3e3e3" w:space="0" w:sz="0" w:val="none"/>
          <w:between w:color="e3e3e3" w:space="0" w:sz="0" w:val="none"/>
        </w:pBdr>
        <w:shd w:fill="ffffff" w:val="clear"/>
        <w:spacing w:after="300" w:line="360" w:lineRule="auto"/>
        <w:jc w:val="both"/>
        <w:rPr/>
      </w:pPr>
      <w:r w:rsidDel="00000000" w:rsidR="00000000" w:rsidRPr="00000000">
        <w:rPr>
          <w:rtl w:val="0"/>
        </w:rPr>
        <w:t xml:space="preserve">This table lists the most significant DEU exon bins identified in the comparison between Bohring-Opitz syndrome (BOS) samples and control samples. Each row represents an exon bin with detailed information on its statistical significance, including adjusted p-values and fold changes, highlighting the key exonic regions differentially used in BOS.</w:t>
      </w:r>
    </w:p>
    <w:p w:rsidR="00000000" w:rsidDel="00000000" w:rsidP="00000000" w:rsidRDefault="00000000" w:rsidRPr="00000000" w14:paraId="00000049">
      <w:pPr>
        <w:pStyle w:val="Heading4"/>
        <w:spacing w:after="0" w:before="0" w:line="360" w:lineRule="auto"/>
        <w:jc w:val="both"/>
        <w:rPr>
          <w:b w:val="1"/>
          <w:color w:val="000000"/>
          <w:sz w:val="22"/>
          <w:szCs w:val="22"/>
        </w:rPr>
      </w:pPr>
      <w:bookmarkStart w:colFirst="0" w:colLast="0" w:name="_7ht9f2mm4k1z" w:id="16"/>
      <w:bookmarkEnd w:id="16"/>
      <w:r w:rsidDel="00000000" w:rsidR="00000000" w:rsidRPr="00000000">
        <w:rPr>
          <w:rtl w:val="0"/>
        </w:rPr>
      </w:r>
    </w:p>
    <w:p w:rsidR="00000000" w:rsidDel="00000000" w:rsidP="00000000" w:rsidRDefault="00000000" w:rsidRPr="00000000" w14:paraId="0000004A">
      <w:pPr>
        <w:spacing w:line="360" w:lineRule="auto"/>
        <w:jc w:val="both"/>
        <w:rPr/>
      </w:pPr>
      <w:r w:rsidDel="00000000" w:rsidR="00000000" w:rsidRPr="00000000">
        <w:rPr>
          <w:rtl w:val="0"/>
        </w:rPr>
      </w:r>
    </w:p>
    <w:p w:rsidR="00000000" w:rsidDel="00000000" w:rsidP="00000000" w:rsidRDefault="00000000" w:rsidRPr="00000000" w14:paraId="0000004B">
      <w:pPr>
        <w:spacing w:line="360" w:lineRule="auto"/>
        <w:jc w:val="both"/>
        <w:rPr/>
      </w:pPr>
      <w:r w:rsidDel="00000000" w:rsidR="00000000" w:rsidRPr="00000000">
        <w:rPr/>
        <w:drawing>
          <wp:inline distB="114300" distT="114300" distL="114300" distR="114300">
            <wp:extent cx="5943600" cy="4140200"/>
            <wp:effectExtent b="0" l="0" r="0" t="0"/>
            <wp:docPr id="6" name="image11.png"/>
            <a:graphic>
              <a:graphicData uri="http://schemas.openxmlformats.org/drawingml/2006/picture">
                <pic:pic>
                  <pic:nvPicPr>
                    <pic:cNvPr id="0" name="image11.png"/>
                    <pic:cNvPicPr preferRelativeResize="0"/>
                  </pic:nvPicPr>
                  <pic:blipFill>
                    <a:blip r:embed="rId20"/>
                    <a:srcRect b="0" l="0" r="0" t="0"/>
                    <a:stretch>
                      <a:fillRect/>
                    </a:stretch>
                  </pic:blipFill>
                  <pic:spPr>
                    <a:xfrm>
                      <a:off x="0" y="0"/>
                      <a:ext cx="5943600" cy="4140200"/>
                    </a:xfrm>
                    <a:prstGeom prst="rect"/>
                    <a:ln/>
                  </pic:spPr>
                </pic:pic>
              </a:graphicData>
            </a:graphic>
          </wp:inline>
        </w:drawing>
      </w:r>
      <w:r w:rsidDel="00000000" w:rsidR="00000000" w:rsidRPr="00000000">
        <w:rPr>
          <w:rtl w:val="0"/>
        </w:rPr>
      </w:r>
    </w:p>
    <w:p w:rsidR="00000000" w:rsidDel="00000000" w:rsidP="00000000" w:rsidRDefault="00000000" w:rsidRPr="00000000" w14:paraId="0000004C">
      <w:pPr>
        <w:pStyle w:val="Heading4"/>
        <w:spacing w:after="0" w:before="0" w:line="360" w:lineRule="auto"/>
        <w:rPr>
          <w:b w:val="1"/>
          <w:color w:val="000000"/>
          <w:sz w:val="22"/>
          <w:szCs w:val="22"/>
        </w:rPr>
      </w:pPr>
      <w:bookmarkStart w:colFirst="0" w:colLast="0" w:name="_46dh8wwll09r" w:id="17"/>
      <w:bookmarkEnd w:id="17"/>
      <w:r w:rsidDel="00000000" w:rsidR="00000000" w:rsidRPr="00000000">
        <w:rPr>
          <w:b w:val="1"/>
          <w:color w:val="000000"/>
          <w:sz w:val="22"/>
          <w:szCs w:val="22"/>
          <w:rtl w:val="0"/>
        </w:rPr>
        <w:t xml:space="preserve">Supplemental Table 6: Significant differential exon usage (DEU) exon bins in AML-</w:t>
      </w:r>
      <w:r w:rsidDel="00000000" w:rsidR="00000000" w:rsidRPr="00000000">
        <w:rPr>
          <w:b w:val="1"/>
          <w:i w:val="1"/>
          <w:color w:val="000000"/>
          <w:sz w:val="22"/>
          <w:szCs w:val="22"/>
          <w:rtl w:val="0"/>
        </w:rPr>
        <w:t xml:space="preserve">ASXL1</w:t>
      </w:r>
      <w:r w:rsidDel="00000000" w:rsidR="00000000" w:rsidRPr="00000000">
        <w:rPr>
          <w:b w:val="1"/>
          <w:color w:val="000000"/>
          <w:sz w:val="22"/>
          <w:szCs w:val="22"/>
          <w:rtl w:val="0"/>
        </w:rPr>
        <w:t xml:space="preserve"> blood samples.</w:t>
      </w:r>
    </w:p>
    <w:p w:rsidR="00000000" w:rsidDel="00000000" w:rsidP="00000000" w:rsidRDefault="00000000" w:rsidRPr="00000000" w14:paraId="0000004D">
      <w:pPr>
        <w:pBdr>
          <w:top w:color="e3e3e3" w:space="0" w:sz="0" w:val="none"/>
          <w:left w:color="e3e3e3" w:space="0" w:sz="0" w:val="none"/>
          <w:bottom w:color="e3e3e3" w:space="0" w:sz="0" w:val="none"/>
          <w:right w:color="e3e3e3" w:space="0" w:sz="0" w:val="none"/>
          <w:between w:color="e3e3e3" w:space="0" w:sz="0" w:val="none"/>
        </w:pBdr>
        <w:shd w:fill="ffffff" w:val="clear"/>
        <w:spacing w:after="300" w:line="360" w:lineRule="auto"/>
        <w:jc w:val="both"/>
        <w:rPr/>
      </w:pPr>
      <w:r w:rsidDel="00000000" w:rsidR="00000000" w:rsidRPr="00000000">
        <w:rPr>
          <w:rtl w:val="0"/>
        </w:rPr>
        <w:t xml:space="preserve">This table presents the most significant DEU exon bins identified in the comparison between AML-</w:t>
      </w:r>
      <w:r w:rsidDel="00000000" w:rsidR="00000000" w:rsidRPr="00000000">
        <w:rPr>
          <w:i w:val="1"/>
          <w:rtl w:val="0"/>
        </w:rPr>
        <w:t xml:space="preserve">ASXL1</w:t>
      </w:r>
      <w:r w:rsidDel="00000000" w:rsidR="00000000" w:rsidRPr="00000000">
        <w:rPr>
          <w:rtl w:val="0"/>
        </w:rPr>
        <w:t xml:space="preserve"> samples and control samples. The table provides comprehensive details on the differential usage of exon bins, including statistical significance metrics, which underscore the exonic regions with altered usage in AML-</w:t>
      </w:r>
      <w:r w:rsidDel="00000000" w:rsidR="00000000" w:rsidRPr="00000000">
        <w:rPr>
          <w:i w:val="1"/>
          <w:rtl w:val="0"/>
        </w:rPr>
        <w:t xml:space="preserve">ASXL1</w:t>
      </w:r>
      <w:r w:rsidDel="00000000" w:rsidR="00000000" w:rsidRPr="00000000">
        <w:rPr>
          <w:rtl w:val="0"/>
        </w:rPr>
        <w:t xml:space="preserve">.</w:t>
      </w:r>
    </w:p>
    <w:p w:rsidR="00000000" w:rsidDel="00000000" w:rsidP="00000000" w:rsidRDefault="00000000" w:rsidRPr="00000000" w14:paraId="0000004E">
      <w:pPr>
        <w:pBdr>
          <w:top w:color="e3e3e3" w:space="0" w:sz="0" w:val="none"/>
          <w:left w:color="e3e3e3" w:space="0" w:sz="0" w:val="none"/>
          <w:bottom w:color="e3e3e3" w:space="0" w:sz="0" w:val="none"/>
          <w:right w:color="e3e3e3" w:space="0" w:sz="0" w:val="none"/>
          <w:between w:color="e3e3e3" w:space="0" w:sz="0" w:val="none"/>
        </w:pBdr>
        <w:shd w:fill="ffffff" w:val="clear"/>
        <w:spacing w:after="300" w:line="360" w:lineRule="auto"/>
        <w:jc w:val="both"/>
        <w:rPr/>
      </w:pPr>
      <w:r w:rsidDel="00000000" w:rsidR="00000000" w:rsidRPr="00000000">
        <w:rPr>
          <w:rtl w:val="0"/>
        </w:rPr>
      </w:r>
    </w:p>
    <w:p w:rsidR="00000000" w:rsidDel="00000000" w:rsidP="00000000" w:rsidRDefault="00000000" w:rsidRPr="00000000" w14:paraId="0000004F">
      <w:pPr>
        <w:pBdr>
          <w:top w:color="e3e3e3" w:space="0" w:sz="0" w:val="none"/>
          <w:left w:color="e3e3e3" w:space="0" w:sz="0" w:val="none"/>
          <w:bottom w:color="e3e3e3" w:space="0" w:sz="0" w:val="none"/>
          <w:right w:color="e3e3e3" w:space="0" w:sz="0" w:val="none"/>
          <w:between w:color="e3e3e3" w:space="0" w:sz="0" w:val="none"/>
        </w:pBdr>
        <w:shd w:fill="ffffff" w:val="clear"/>
        <w:spacing w:after="300" w:line="360" w:lineRule="auto"/>
        <w:jc w:val="both"/>
        <w:rPr/>
      </w:pPr>
      <w:r w:rsidDel="00000000" w:rsidR="00000000" w:rsidRPr="00000000">
        <w:rPr>
          <w:rtl w:val="0"/>
        </w:rPr>
      </w:r>
    </w:p>
    <w:p w:rsidR="00000000" w:rsidDel="00000000" w:rsidP="00000000" w:rsidRDefault="00000000" w:rsidRPr="00000000" w14:paraId="00000050">
      <w:pPr>
        <w:pBdr>
          <w:top w:color="e3e3e3" w:space="0" w:sz="0" w:val="none"/>
          <w:left w:color="e3e3e3" w:space="0" w:sz="0" w:val="none"/>
          <w:bottom w:color="e3e3e3" w:space="0" w:sz="0" w:val="none"/>
          <w:right w:color="e3e3e3" w:space="0" w:sz="0" w:val="none"/>
          <w:between w:color="e3e3e3" w:space="0" w:sz="0" w:val="none"/>
        </w:pBdr>
        <w:shd w:fill="ffffff" w:val="clear"/>
        <w:spacing w:after="300" w:line="360" w:lineRule="auto"/>
        <w:jc w:val="both"/>
        <w:rPr/>
      </w:pPr>
      <w:r w:rsidDel="00000000" w:rsidR="00000000" w:rsidRPr="00000000">
        <w:rPr>
          <w:rtl w:val="0"/>
        </w:rPr>
      </w:r>
    </w:p>
    <w:p w:rsidR="00000000" w:rsidDel="00000000" w:rsidP="00000000" w:rsidRDefault="00000000" w:rsidRPr="00000000" w14:paraId="00000051">
      <w:pPr>
        <w:pBdr>
          <w:top w:color="e3e3e3" w:space="0" w:sz="0" w:val="none"/>
          <w:left w:color="e3e3e3" w:space="0" w:sz="0" w:val="none"/>
          <w:bottom w:color="e3e3e3" w:space="0" w:sz="0" w:val="none"/>
          <w:right w:color="e3e3e3" w:space="0" w:sz="0" w:val="none"/>
          <w:between w:color="e3e3e3" w:space="0" w:sz="0" w:val="none"/>
        </w:pBdr>
        <w:shd w:fill="ffffff" w:val="clear"/>
        <w:spacing w:after="300" w:line="360" w:lineRule="auto"/>
        <w:jc w:val="both"/>
        <w:rPr/>
      </w:pPr>
      <w:r w:rsidDel="00000000" w:rsidR="00000000" w:rsidRPr="00000000">
        <w:rPr>
          <w:rtl w:val="0"/>
        </w:rPr>
      </w:r>
    </w:p>
    <w:p w:rsidR="00000000" w:rsidDel="00000000" w:rsidP="00000000" w:rsidRDefault="00000000" w:rsidRPr="00000000" w14:paraId="00000052">
      <w:pPr>
        <w:pBdr>
          <w:top w:color="e3e3e3" w:space="0" w:sz="0" w:val="none"/>
          <w:left w:color="e3e3e3" w:space="0" w:sz="0" w:val="none"/>
          <w:bottom w:color="e3e3e3" w:space="0" w:sz="0" w:val="none"/>
          <w:right w:color="e3e3e3" w:space="0" w:sz="0" w:val="none"/>
          <w:between w:color="e3e3e3" w:space="0" w:sz="0" w:val="none"/>
        </w:pBdr>
        <w:shd w:fill="ffffff" w:val="clear"/>
        <w:spacing w:after="300" w:line="360" w:lineRule="auto"/>
        <w:jc w:val="both"/>
        <w:rPr/>
      </w:pPr>
      <w:r w:rsidDel="00000000" w:rsidR="00000000" w:rsidRPr="00000000">
        <w:rPr>
          <w:rtl w:val="0"/>
        </w:rPr>
      </w:r>
    </w:p>
    <w:p w:rsidR="00000000" w:rsidDel="00000000" w:rsidP="00000000" w:rsidRDefault="00000000" w:rsidRPr="00000000" w14:paraId="00000053">
      <w:pPr>
        <w:pBdr>
          <w:top w:color="e3e3e3" w:space="0" w:sz="0" w:val="none"/>
          <w:left w:color="e3e3e3" w:space="0" w:sz="0" w:val="none"/>
          <w:bottom w:color="e3e3e3" w:space="0" w:sz="0" w:val="none"/>
          <w:right w:color="e3e3e3" w:space="0" w:sz="0" w:val="none"/>
          <w:between w:color="e3e3e3" w:space="0" w:sz="0" w:val="none"/>
        </w:pBdr>
        <w:shd w:fill="ffffff" w:val="clear"/>
        <w:spacing w:after="300" w:line="360" w:lineRule="auto"/>
        <w:jc w:val="both"/>
        <w:rPr/>
      </w:pPr>
      <w:r w:rsidDel="00000000" w:rsidR="00000000" w:rsidRPr="00000000">
        <w:rPr>
          <w:rtl w:val="0"/>
        </w:rPr>
      </w:r>
    </w:p>
    <w:p w:rsidR="00000000" w:rsidDel="00000000" w:rsidP="00000000" w:rsidRDefault="00000000" w:rsidRPr="00000000" w14:paraId="00000054">
      <w:pPr>
        <w:pStyle w:val="Heading4"/>
        <w:spacing w:line="480" w:lineRule="auto"/>
        <w:rPr/>
      </w:pPr>
      <w:bookmarkStart w:colFirst="0" w:colLast="0" w:name="_5961qgbg3oxd" w:id="18"/>
      <w:bookmarkEnd w:id="18"/>
      <w:r w:rsidDel="00000000" w:rsidR="00000000" w:rsidRPr="00000000">
        <w:rPr/>
        <w:drawing>
          <wp:inline distB="114300" distT="114300" distL="114300" distR="114300">
            <wp:extent cx="5943600" cy="2247900"/>
            <wp:effectExtent b="0" l="0" r="0" t="0"/>
            <wp:docPr id="8" name="image4.png"/>
            <a:graphic>
              <a:graphicData uri="http://schemas.openxmlformats.org/drawingml/2006/picture">
                <pic:pic>
                  <pic:nvPicPr>
                    <pic:cNvPr id="0" name="image4.png"/>
                    <pic:cNvPicPr preferRelativeResize="0"/>
                  </pic:nvPicPr>
                  <pic:blipFill>
                    <a:blip r:embed="rId21"/>
                    <a:srcRect b="0" l="0" r="0" t="0"/>
                    <a:stretch>
                      <a:fillRect/>
                    </a:stretch>
                  </pic:blipFill>
                  <pic:spPr>
                    <a:xfrm>
                      <a:off x="0" y="0"/>
                      <a:ext cx="5943600" cy="2247900"/>
                    </a:xfrm>
                    <a:prstGeom prst="rect"/>
                    <a:ln/>
                  </pic:spPr>
                </pic:pic>
              </a:graphicData>
            </a:graphic>
          </wp:inline>
        </w:drawing>
      </w:r>
      <w:r w:rsidDel="00000000" w:rsidR="00000000" w:rsidRPr="00000000">
        <w:rPr>
          <w:rtl w:val="0"/>
        </w:rPr>
      </w:r>
    </w:p>
    <w:p w:rsidR="00000000" w:rsidDel="00000000" w:rsidP="00000000" w:rsidRDefault="00000000" w:rsidRPr="00000000" w14:paraId="00000055">
      <w:pPr>
        <w:pStyle w:val="Heading4"/>
        <w:spacing w:line="480" w:lineRule="auto"/>
        <w:jc w:val="left"/>
        <w:rPr/>
      </w:pPr>
      <w:bookmarkStart w:colFirst="0" w:colLast="0" w:name="_735ytpnrngj5" w:id="19"/>
      <w:bookmarkEnd w:id="19"/>
      <w:r w:rsidDel="00000000" w:rsidR="00000000" w:rsidRPr="00000000">
        <w:rPr>
          <w:rtl w:val="0"/>
        </w:rPr>
        <w:t xml:space="preserve">Supplemental Table 7: Differential exon usage in </w:t>
      </w:r>
      <w:r w:rsidDel="00000000" w:rsidR="00000000" w:rsidRPr="00000000">
        <w:rPr>
          <w:i w:val="1"/>
          <w:rtl w:val="0"/>
        </w:rPr>
        <w:t xml:space="preserve">RUNX3</w:t>
      </w:r>
      <w:r w:rsidDel="00000000" w:rsidR="00000000" w:rsidRPr="00000000">
        <w:rPr>
          <w:rtl w:val="0"/>
        </w:rPr>
        <w:t xml:space="preserve"> across BOS and AML-</w:t>
      </w:r>
      <w:r w:rsidDel="00000000" w:rsidR="00000000" w:rsidRPr="00000000">
        <w:rPr>
          <w:i w:val="1"/>
          <w:rtl w:val="0"/>
        </w:rPr>
        <w:t xml:space="preserve">ASXL1</w:t>
      </w:r>
      <w:r w:rsidDel="00000000" w:rsidR="00000000" w:rsidRPr="00000000">
        <w:rPr>
          <w:rtl w:val="0"/>
        </w:rPr>
        <w:t xml:space="preserve">. </w:t>
      </w:r>
      <w:r w:rsidDel="00000000" w:rsidR="00000000" w:rsidRPr="00000000">
        <w:rPr>
          <w:b w:val="0"/>
          <w:rtl w:val="0"/>
        </w:rPr>
        <w:t xml:space="preserve">The base means and log</w:t>
      </w:r>
      <w:r w:rsidDel="00000000" w:rsidR="00000000" w:rsidRPr="00000000">
        <w:rPr>
          <w:b w:val="0"/>
          <w:vertAlign w:val="subscript"/>
          <w:rtl w:val="0"/>
        </w:rPr>
        <w:t xml:space="preserve">2</w:t>
      </w:r>
      <w:r w:rsidDel="00000000" w:rsidR="00000000" w:rsidRPr="00000000">
        <w:rPr>
          <w:b w:val="0"/>
          <w:rtl w:val="0"/>
        </w:rPr>
        <w:t xml:space="preserve"> fold changes (log</w:t>
      </w:r>
      <w:r w:rsidDel="00000000" w:rsidR="00000000" w:rsidRPr="00000000">
        <w:rPr>
          <w:b w:val="0"/>
          <w:vertAlign w:val="subscript"/>
          <w:rtl w:val="0"/>
        </w:rPr>
        <w:t xml:space="preserve">2</w:t>
      </w:r>
      <w:r w:rsidDel="00000000" w:rsidR="00000000" w:rsidRPr="00000000">
        <w:rPr>
          <w:b w:val="0"/>
          <w:rtl w:val="0"/>
        </w:rPr>
        <w:t xml:space="preserve">FC) from differential exon usage analysis for each </w:t>
      </w:r>
      <w:r w:rsidDel="00000000" w:rsidR="00000000" w:rsidRPr="00000000">
        <w:rPr>
          <w:b w:val="0"/>
          <w:i w:val="1"/>
          <w:rtl w:val="0"/>
        </w:rPr>
        <w:t xml:space="preserve">RUNX3 </w:t>
      </w:r>
      <w:r w:rsidDel="00000000" w:rsidR="00000000" w:rsidRPr="00000000">
        <w:rPr>
          <w:b w:val="0"/>
          <w:rtl w:val="0"/>
        </w:rPr>
        <w:t xml:space="preserve">exon bin are shown comparing BOS to controls and AML-</w:t>
      </w:r>
      <w:r w:rsidDel="00000000" w:rsidR="00000000" w:rsidRPr="00000000">
        <w:rPr>
          <w:b w:val="0"/>
          <w:i w:val="1"/>
          <w:rtl w:val="0"/>
        </w:rPr>
        <w:t xml:space="preserve">ASXL1</w:t>
      </w:r>
      <w:r w:rsidDel="00000000" w:rsidR="00000000" w:rsidRPr="00000000">
        <w:rPr>
          <w:b w:val="0"/>
          <w:rtl w:val="0"/>
        </w:rPr>
        <w:t xml:space="preserve"> to controls.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spacing w:line="360" w:lineRule="auto"/>
      <w:jc w:val="both"/>
    </w:pPr>
    <w:rPr>
      <w:b w:val="1"/>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image" Target="media/image11.png"/><Relationship Id="rId11" Type="http://schemas.openxmlformats.org/officeDocument/2006/relationships/image" Target="media/image15.png"/><Relationship Id="rId10" Type="http://schemas.openxmlformats.org/officeDocument/2006/relationships/image" Target="media/image2.png"/><Relationship Id="rId21" Type="http://schemas.openxmlformats.org/officeDocument/2006/relationships/image" Target="media/image4.png"/><Relationship Id="rId13" Type="http://schemas.openxmlformats.org/officeDocument/2006/relationships/image" Target="media/image8.png"/><Relationship Id="rId12"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image" Target="media/image16.png"/><Relationship Id="rId14" Type="http://schemas.openxmlformats.org/officeDocument/2006/relationships/image" Target="media/image10.png"/><Relationship Id="rId17" Type="http://schemas.openxmlformats.org/officeDocument/2006/relationships/image" Target="media/image12.png"/><Relationship Id="rId16" Type="http://schemas.openxmlformats.org/officeDocument/2006/relationships/image" Target="media/image13.png"/><Relationship Id="rId5" Type="http://schemas.openxmlformats.org/officeDocument/2006/relationships/styles" Target="styles.xml"/><Relationship Id="rId19" Type="http://schemas.openxmlformats.org/officeDocument/2006/relationships/image" Target="media/image14.png"/><Relationship Id="rId6" Type="http://schemas.openxmlformats.org/officeDocument/2006/relationships/image" Target="media/image3.png"/><Relationship Id="rId18" Type="http://schemas.openxmlformats.org/officeDocument/2006/relationships/image" Target="media/image9.png"/><Relationship Id="rId7" Type="http://schemas.openxmlformats.org/officeDocument/2006/relationships/image" Target="media/image7.png"/><Relationship Id="rId8"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