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8421" w14:textId="7B844854" w:rsidR="004A65B5" w:rsidRDefault="00751AA4" w:rsidP="00751AA4">
      <w:pPr>
        <w:ind w:left="-567"/>
        <w:jc w:val="both"/>
      </w:pPr>
      <w:r w:rsidRPr="00225EB3">
        <w:rPr>
          <w:b/>
          <w:bCs/>
        </w:rPr>
        <w:t>Supplementary</w:t>
      </w:r>
      <w:r>
        <w:rPr>
          <w:b/>
          <w:bCs/>
        </w:rPr>
        <w:t xml:space="preserve"> M</w:t>
      </w:r>
      <w:r w:rsidR="00AD5122">
        <w:rPr>
          <w:b/>
          <w:bCs/>
        </w:rPr>
        <w:t>ethodology 1</w:t>
      </w:r>
    </w:p>
    <w:p w14:paraId="2452819D" w14:textId="77777777" w:rsidR="00751AA4" w:rsidRDefault="00751AA4" w:rsidP="00751AA4">
      <w:pPr>
        <w:ind w:left="-567"/>
        <w:jc w:val="both"/>
      </w:pPr>
    </w:p>
    <w:p w14:paraId="5F42D7F4" w14:textId="77777777" w:rsidR="00751AA4" w:rsidRPr="00781128" w:rsidRDefault="00751AA4" w:rsidP="00751AA4">
      <w:pPr>
        <w:ind w:left="-567"/>
        <w:rPr>
          <w:b/>
          <w:bCs/>
        </w:rPr>
      </w:pPr>
      <w:r w:rsidRPr="00781128">
        <w:rPr>
          <w:b/>
          <w:bCs/>
        </w:rPr>
        <w:t>DNA extraction</w:t>
      </w:r>
    </w:p>
    <w:p w14:paraId="226382B6" w14:textId="77777777" w:rsidR="00751AA4" w:rsidRDefault="00751AA4" w:rsidP="00751AA4">
      <w:pPr>
        <w:ind w:left="-567"/>
        <w:jc w:val="both"/>
      </w:pPr>
      <w:r w:rsidRPr="00781128">
        <w:t xml:space="preserve">The deoxyribonucleic acid (DNA) contained in the buffy coat samples was extracted using the </w:t>
      </w:r>
      <w:proofErr w:type="spellStart"/>
      <w:r w:rsidRPr="00781128">
        <w:t>Gentra</w:t>
      </w:r>
      <w:proofErr w:type="spellEnd"/>
      <w:r w:rsidRPr="00781128">
        <w:t xml:space="preserve"> PureGene Blood kit (Qiagen), following optimization of the extraction protocol. The optimization involved using half the volume of the reagents prescribed by the kit (500μl buffy coat, 750μl RBC lysis solution, 1.5ml cell lysis solution, 7.5μl RNase A, 500μl protein precipitation solution, 1.5ml isopropanol, 1.5ml 70% ethanol and 100μl DNA hydration solution) (De Buys, 2019). DNA quality was assessed using a Nanodrop 2000c spectrophotometer, and samples with concentrations above 20ng/</w:t>
      </w:r>
      <w:proofErr w:type="spellStart"/>
      <w:r w:rsidRPr="00781128">
        <w:t>uL</w:t>
      </w:r>
      <w:proofErr w:type="spellEnd"/>
      <w:r w:rsidRPr="00781128">
        <w:t xml:space="preserve"> and optical density ratio 260/280 between 1.8 and 2.2 were deemed appropriate for SNP genotyping. </w:t>
      </w:r>
    </w:p>
    <w:p w14:paraId="5E9A3624" w14:textId="77777777" w:rsidR="00751AA4" w:rsidRPr="00781128" w:rsidRDefault="00751AA4" w:rsidP="00751AA4">
      <w:pPr>
        <w:ind w:left="-567"/>
        <w:jc w:val="both"/>
      </w:pPr>
    </w:p>
    <w:p w14:paraId="5D1BDB7E" w14:textId="77777777" w:rsidR="00751AA4" w:rsidRPr="00781128" w:rsidRDefault="00751AA4" w:rsidP="00751AA4">
      <w:pPr>
        <w:ind w:left="-567"/>
        <w:jc w:val="both"/>
        <w:rPr>
          <w:b/>
          <w:bCs/>
        </w:rPr>
      </w:pPr>
      <w:r w:rsidRPr="00781128">
        <w:rPr>
          <w:b/>
          <w:bCs/>
        </w:rPr>
        <w:t xml:space="preserve">SNPs genotyping </w:t>
      </w:r>
    </w:p>
    <w:p w14:paraId="10C05781" w14:textId="77777777" w:rsidR="00751AA4" w:rsidRDefault="00751AA4" w:rsidP="00751AA4">
      <w:pPr>
        <w:ind w:left="-567"/>
        <w:jc w:val="both"/>
      </w:pPr>
      <w:r w:rsidRPr="00781128">
        <w:t xml:space="preserve">The following SNPs were chosen for investigation based on a thorough review of the available literature, replication in African populations, minor allele frequencies in African populations, and SNP functionality. rs4646994 of the </w:t>
      </w:r>
      <w:r w:rsidRPr="00781128">
        <w:rPr>
          <w:i/>
          <w:iCs/>
        </w:rPr>
        <w:t>ACE</w:t>
      </w:r>
      <w:r w:rsidRPr="00781128">
        <w:t xml:space="preserve"> gene, rs699 of the </w:t>
      </w:r>
      <w:r w:rsidRPr="00781128">
        <w:rPr>
          <w:i/>
          <w:iCs/>
        </w:rPr>
        <w:t xml:space="preserve">AGT </w:t>
      </w:r>
      <w:r w:rsidRPr="00781128">
        <w:t xml:space="preserve">gene, rs5186 of the </w:t>
      </w:r>
      <w:r w:rsidRPr="00781128">
        <w:rPr>
          <w:i/>
          <w:iCs/>
        </w:rPr>
        <w:t>AT1R</w:t>
      </w:r>
      <w:r w:rsidRPr="00781128">
        <w:t xml:space="preserve"> gene, rs17782313, rs12970134 and rs229616 of the </w:t>
      </w:r>
      <w:r w:rsidRPr="00781128">
        <w:rPr>
          <w:i/>
          <w:iCs/>
        </w:rPr>
        <w:t>MC4R</w:t>
      </w:r>
      <w:r w:rsidRPr="00781128">
        <w:t xml:space="preserve"> gene, rs17817499 of the </w:t>
      </w:r>
      <w:r w:rsidRPr="00781128">
        <w:rPr>
          <w:i/>
          <w:iCs/>
        </w:rPr>
        <w:t>FTO</w:t>
      </w:r>
      <w:r w:rsidRPr="00781128">
        <w:t xml:space="preserve"> gene, and rs7903146 of the </w:t>
      </w:r>
      <w:r w:rsidRPr="00781128">
        <w:rPr>
          <w:i/>
          <w:iCs/>
        </w:rPr>
        <w:t xml:space="preserve">TCF7L2 </w:t>
      </w:r>
      <w:r w:rsidRPr="00781128">
        <w:t xml:space="preserve">gene. </w:t>
      </w:r>
    </w:p>
    <w:p w14:paraId="3DE9A477" w14:textId="77777777" w:rsidR="00751AA4" w:rsidRPr="00781128" w:rsidRDefault="00751AA4" w:rsidP="00751AA4">
      <w:pPr>
        <w:ind w:left="-567"/>
        <w:jc w:val="both"/>
      </w:pPr>
    </w:p>
    <w:p w14:paraId="47573056" w14:textId="77777777" w:rsidR="00751AA4" w:rsidRPr="00781128" w:rsidRDefault="00751AA4" w:rsidP="00751AA4">
      <w:pPr>
        <w:ind w:left="-567"/>
        <w:jc w:val="both"/>
      </w:pPr>
      <w:r w:rsidRPr="00781128">
        <w:t>Genotyping using conventional polymerase chain reaction and agarose gel electrophoresis</w:t>
      </w:r>
    </w:p>
    <w:p w14:paraId="76E63B8A" w14:textId="77777777" w:rsidR="00751AA4" w:rsidRDefault="00751AA4" w:rsidP="00751AA4">
      <w:pPr>
        <w:ind w:left="-567"/>
        <w:jc w:val="both"/>
      </w:pPr>
      <w:r w:rsidRPr="00781128">
        <w:t>The rs4646994 SNP was genotyped by conventional polymerase chain reaction (PCR) using previously described primers (</w:t>
      </w:r>
      <w:proofErr w:type="spellStart"/>
      <w:r w:rsidRPr="00781128">
        <w:t>Rigat</w:t>
      </w:r>
      <w:proofErr w:type="spellEnd"/>
      <w:r w:rsidRPr="00781128">
        <w:t xml:space="preserve"> et al., 1992), and the amplicons were resolved by agarose gel electrophoresis. The PCR reaction was carried out using the 2X PCR Master Mix (Catalogue Number: K0172) from ThermoFisher Scientific as follows: The reagent mix (15μL per reaction) was prepared by mixing 12.5μL of the 2X PCR Master Mix, 0.25μL of forward primer (100uM), 0.25μL of reverse primer (100μM) and 2μL of double distilled water. The mixture was vortexed, briefly centrifuged and 15μL pipetted into the wells of the 96-well PCR plate. The DNA samples were diluted to 10ng/μL with ddH20 and briefly centrifuged. 10μL of DNA samples were added into their respective wells, while 10μL of ddH20 was added into the non-template control (NTC) well. The plate was sealed, briefly vortexed, centrifuged and placed in the QuantStudio 7 Flex for amplification under the following conditions: initial denaturation at 95°C for 5 minutes, 35 cycles of denaturation at 95°C for 30 seconds, annealing at 60°C for 30 seconds and extension at 72°C for 45 seconds, followed by a final extension at 72°C for 7 minutes and cooling. All PCR products were electrophoresed on a 1.5% agarose gel prepared with 1X tris borate EDTA (TBE) buffer containing 0.5μg/mL EDTA. Alongside the PCR products, the </w:t>
      </w:r>
      <w:proofErr w:type="spellStart"/>
      <w:r w:rsidRPr="00781128">
        <w:t>GeneRuler</w:t>
      </w:r>
      <w:proofErr w:type="spellEnd"/>
      <w:r w:rsidRPr="00781128">
        <w:t xml:space="preserve"> 100bp DNA ladder (ThermoFisher Scientific, South Africa) was loaded to determine the size of the PCR products. The gel was run at 150V for </w:t>
      </w:r>
      <w:r>
        <w:t>one</w:t>
      </w:r>
      <w:r w:rsidRPr="00781128">
        <w:t xml:space="preserve"> hour and the bands were visualized using the G box (</w:t>
      </w:r>
      <w:proofErr w:type="spellStart"/>
      <w:r w:rsidRPr="00781128">
        <w:t>Syngene</w:t>
      </w:r>
      <w:proofErr w:type="spellEnd"/>
      <w:r w:rsidRPr="00781128">
        <w:t xml:space="preserve">) with </w:t>
      </w:r>
      <w:proofErr w:type="spellStart"/>
      <w:r w:rsidRPr="00781128">
        <w:t>GeneSnap</w:t>
      </w:r>
      <w:proofErr w:type="spellEnd"/>
      <w:r w:rsidRPr="00781128">
        <w:t xml:space="preserve"> </w:t>
      </w:r>
      <w:proofErr w:type="spellStart"/>
      <w:r w:rsidRPr="00781128">
        <w:t>Syngene</w:t>
      </w:r>
      <w:proofErr w:type="spellEnd"/>
      <w:r w:rsidRPr="00781128">
        <w:t xml:space="preserve"> software (version 7.12.06). The different genotypes w</w:t>
      </w:r>
      <w:r>
        <w:t xml:space="preserve">ere </w:t>
      </w:r>
      <w:r w:rsidRPr="00781128">
        <w:t>discriminated by the number and position of the bands visualized on the gel (Supplementary Figure 1).</w:t>
      </w:r>
    </w:p>
    <w:p w14:paraId="79871756" w14:textId="77777777" w:rsidR="00751AA4" w:rsidRPr="00781128" w:rsidRDefault="00751AA4" w:rsidP="00751AA4">
      <w:pPr>
        <w:ind w:left="-567"/>
        <w:jc w:val="both"/>
      </w:pPr>
    </w:p>
    <w:p w14:paraId="4E974856" w14:textId="77777777" w:rsidR="00751AA4" w:rsidRPr="00781128" w:rsidRDefault="00751AA4" w:rsidP="00751AA4">
      <w:pPr>
        <w:ind w:left="-567"/>
        <w:jc w:val="both"/>
        <w:rPr>
          <w:b/>
          <w:bCs/>
        </w:rPr>
      </w:pPr>
      <w:r w:rsidRPr="00781128">
        <w:rPr>
          <w:b/>
          <w:bCs/>
        </w:rPr>
        <w:t xml:space="preserve">Genotyping using the </w:t>
      </w:r>
      <w:proofErr w:type="spellStart"/>
      <w:r w:rsidRPr="00781128">
        <w:rPr>
          <w:b/>
          <w:bCs/>
        </w:rPr>
        <w:t>Kompetitive</w:t>
      </w:r>
      <w:proofErr w:type="spellEnd"/>
      <w:r w:rsidRPr="00781128">
        <w:rPr>
          <w:b/>
          <w:bCs/>
        </w:rPr>
        <w:t xml:space="preserve"> allele-specific PCR</w:t>
      </w:r>
    </w:p>
    <w:p w14:paraId="0653FDF8" w14:textId="1CBEDC18" w:rsidR="00751AA4" w:rsidRDefault="00751AA4" w:rsidP="00751AA4">
      <w:pPr>
        <w:ind w:left="-567"/>
        <w:jc w:val="both"/>
      </w:pPr>
      <w:proofErr w:type="spellStart"/>
      <w:r w:rsidRPr="00781128">
        <w:t>Kompetitive</w:t>
      </w:r>
      <w:proofErr w:type="spellEnd"/>
      <w:r w:rsidRPr="00781128">
        <w:t xml:space="preserve"> allele-specific PCR (KASP) was used to genotype </w:t>
      </w:r>
      <w:r w:rsidRPr="00781128">
        <w:rPr>
          <w:i/>
          <w:iCs/>
        </w:rPr>
        <w:t>AGT</w:t>
      </w:r>
      <w:r w:rsidRPr="00781128">
        <w:t xml:space="preserve">-rs699, </w:t>
      </w:r>
      <w:r w:rsidRPr="00781128">
        <w:rPr>
          <w:i/>
          <w:iCs/>
        </w:rPr>
        <w:t>AT1R</w:t>
      </w:r>
      <w:r w:rsidRPr="00781128">
        <w:t xml:space="preserve">-rs5186, </w:t>
      </w:r>
      <w:r w:rsidRPr="00781128">
        <w:rPr>
          <w:i/>
          <w:iCs/>
        </w:rPr>
        <w:t>MC4R</w:t>
      </w:r>
      <w:r w:rsidRPr="00781128">
        <w:t xml:space="preserve">-rs17782313, </w:t>
      </w:r>
      <w:r w:rsidRPr="00781128">
        <w:rPr>
          <w:i/>
          <w:iCs/>
        </w:rPr>
        <w:t>MC4R</w:t>
      </w:r>
      <w:r w:rsidRPr="00781128">
        <w:t xml:space="preserve">-rs1297034, </w:t>
      </w:r>
      <w:r w:rsidRPr="00781128">
        <w:rPr>
          <w:i/>
          <w:iCs/>
        </w:rPr>
        <w:t>MC4R</w:t>
      </w:r>
      <w:r w:rsidRPr="00781128">
        <w:t xml:space="preserve">-rs229616, </w:t>
      </w:r>
      <w:r w:rsidRPr="00781128">
        <w:rPr>
          <w:i/>
          <w:iCs/>
        </w:rPr>
        <w:t>FTO</w:t>
      </w:r>
      <w:r w:rsidRPr="00781128">
        <w:t xml:space="preserve">-rs17817499, and </w:t>
      </w:r>
      <w:r w:rsidRPr="00781128">
        <w:rPr>
          <w:i/>
          <w:iCs/>
        </w:rPr>
        <w:t>TCF7L2</w:t>
      </w:r>
      <w:r w:rsidRPr="00781128">
        <w:t>-rs790314 using DNA samples diluted to concentrations between 5 – 20ng/μL (He et al., 2014). The genotyping was performed at LGC Genomics (Hertfordshire) using in-house primer sequences designed from DNA sequences flanking the SNP of interest</w:t>
      </w:r>
      <w:r>
        <w:t>.</w:t>
      </w:r>
    </w:p>
    <w:sectPr w:rsidR="00751AA4" w:rsidSect="00EB539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A4"/>
    <w:rsid w:val="000C1A96"/>
    <w:rsid w:val="00163E5F"/>
    <w:rsid w:val="001871D9"/>
    <w:rsid w:val="003035ED"/>
    <w:rsid w:val="00474F83"/>
    <w:rsid w:val="004A65B5"/>
    <w:rsid w:val="00751AA4"/>
    <w:rsid w:val="00796813"/>
    <w:rsid w:val="007C537A"/>
    <w:rsid w:val="00877662"/>
    <w:rsid w:val="009E079D"/>
    <w:rsid w:val="00AD5122"/>
    <w:rsid w:val="00B00D2C"/>
    <w:rsid w:val="00D62C7D"/>
    <w:rsid w:val="00E336DE"/>
    <w:rsid w:val="00EB53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33C9CF01"/>
  <w15:chartTrackingRefBased/>
  <w15:docId w15:val="{BCAEE324-FA49-7E4E-8345-9D8A4F97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AA4"/>
    <w:rPr>
      <w:lang w:val="en-GB"/>
    </w:rPr>
  </w:style>
  <w:style w:type="paragraph" w:styleId="Heading1">
    <w:name w:val="heading 1"/>
    <w:basedOn w:val="Normal"/>
    <w:next w:val="Normal"/>
    <w:link w:val="Heading1Char"/>
    <w:uiPriority w:val="9"/>
    <w:qFormat/>
    <w:rsid w:val="00751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A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A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A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A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A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A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A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AA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751AA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51AA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51AA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51AA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51AA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51AA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51AA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51AA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51A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AA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51A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AA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51A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1AA4"/>
    <w:rPr>
      <w:i/>
      <w:iCs/>
      <w:color w:val="404040" w:themeColor="text1" w:themeTint="BF"/>
      <w:lang w:val="en-GB"/>
    </w:rPr>
  </w:style>
  <w:style w:type="paragraph" w:styleId="ListParagraph">
    <w:name w:val="List Paragraph"/>
    <w:basedOn w:val="Normal"/>
    <w:uiPriority w:val="34"/>
    <w:qFormat/>
    <w:rsid w:val="00751AA4"/>
    <w:pPr>
      <w:ind w:left="720"/>
      <w:contextualSpacing/>
    </w:pPr>
  </w:style>
  <w:style w:type="character" w:styleId="IntenseEmphasis">
    <w:name w:val="Intense Emphasis"/>
    <w:basedOn w:val="DefaultParagraphFont"/>
    <w:uiPriority w:val="21"/>
    <w:qFormat/>
    <w:rsid w:val="00751AA4"/>
    <w:rPr>
      <w:i/>
      <w:iCs/>
      <w:color w:val="0F4761" w:themeColor="accent1" w:themeShade="BF"/>
    </w:rPr>
  </w:style>
  <w:style w:type="paragraph" w:styleId="IntenseQuote">
    <w:name w:val="Intense Quote"/>
    <w:basedOn w:val="Normal"/>
    <w:next w:val="Normal"/>
    <w:link w:val="IntenseQuoteChar"/>
    <w:uiPriority w:val="30"/>
    <w:qFormat/>
    <w:rsid w:val="00751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AA4"/>
    <w:rPr>
      <w:i/>
      <w:iCs/>
      <w:color w:val="0F4761" w:themeColor="accent1" w:themeShade="BF"/>
      <w:lang w:val="en-GB"/>
    </w:rPr>
  </w:style>
  <w:style w:type="character" w:styleId="IntenseReference">
    <w:name w:val="Intense Reference"/>
    <w:basedOn w:val="DefaultParagraphFont"/>
    <w:uiPriority w:val="32"/>
    <w:qFormat/>
    <w:rsid w:val="00751A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Matshazi</dc:creator>
  <cp:keywords/>
  <dc:description/>
  <cp:lastModifiedBy>Don Matshazi</cp:lastModifiedBy>
  <cp:revision>3</cp:revision>
  <dcterms:created xsi:type="dcterms:W3CDTF">2024-06-10T09:08:00Z</dcterms:created>
  <dcterms:modified xsi:type="dcterms:W3CDTF">2025-06-23T08:28:00Z</dcterms:modified>
</cp:coreProperties>
</file>