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481A0" w14:textId="638CF7DA" w:rsidR="00CD297F" w:rsidRPr="00EC0CC8" w:rsidRDefault="00A23ACF" w:rsidP="00EC0CC8">
      <w:pPr>
        <w:spacing w:line="480" w:lineRule="auto"/>
        <w:jc w:val="center"/>
        <w:rPr>
          <w:rFonts w:ascii="Times New Roman" w:eastAsia="Times New Roman" w:hAnsi="Times New Roman" w:cs="Times New Roman"/>
          <w:b/>
          <w:bCs/>
          <w:color w:val="000000" w:themeColor="text1"/>
          <w:sz w:val="20"/>
          <w:szCs w:val="20"/>
        </w:rPr>
      </w:pPr>
      <w:r w:rsidRPr="00D578DF">
        <w:rPr>
          <w:rFonts w:ascii="Times New Roman" w:eastAsia="Times New Roman" w:hAnsi="Times New Roman" w:cs="Times New Roman"/>
          <w:b/>
          <w:bCs/>
          <w:color w:val="000000" w:themeColor="text1"/>
          <w:sz w:val="20"/>
          <w:szCs w:val="20"/>
        </w:rPr>
        <w:t>Multi-Omics Signatures of Endometrial Receptivity in Recurrent Implantation Failure: A Systematic Review</w:t>
      </w:r>
    </w:p>
    <w:p w14:paraId="53CDB6BC" w14:textId="77777777" w:rsidR="00CD297F" w:rsidRPr="00D578DF" w:rsidRDefault="00CD297F" w:rsidP="124E78AD">
      <w:pPr>
        <w:rPr>
          <w:rFonts w:ascii="Times New Roman" w:hAnsi="Times New Roman" w:cs="Times New Roman"/>
          <w:b/>
          <w:bCs/>
          <w:sz w:val="20"/>
          <w:szCs w:val="20"/>
        </w:rPr>
      </w:pPr>
    </w:p>
    <w:p w14:paraId="0471B364" w14:textId="5A32A32A" w:rsidR="00750508" w:rsidRPr="00D578DF" w:rsidRDefault="00C73A23">
      <w:pPr>
        <w:rPr>
          <w:rFonts w:ascii="Times New Roman" w:hAnsi="Times New Roman" w:cs="Times New Roman"/>
          <w:b/>
          <w:bCs/>
          <w:sz w:val="20"/>
          <w:szCs w:val="20"/>
        </w:rPr>
      </w:pPr>
      <w:r w:rsidRPr="00D578DF">
        <w:rPr>
          <w:rFonts w:ascii="Times New Roman" w:hAnsi="Times New Roman" w:cs="Times New Roman"/>
          <w:b/>
          <w:bCs/>
          <w:sz w:val="20"/>
          <w:szCs w:val="20"/>
        </w:rPr>
        <w:t xml:space="preserve">Table S1: </w:t>
      </w:r>
      <w:r w:rsidR="001258D5" w:rsidRPr="00D578DF">
        <w:rPr>
          <w:rFonts w:ascii="Times New Roman" w:hAnsi="Times New Roman" w:cs="Times New Roman"/>
          <w:b/>
          <w:bCs/>
          <w:sz w:val="20"/>
          <w:szCs w:val="20"/>
        </w:rPr>
        <w:t>Detailed database search strategy</w:t>
      </w:r>
    </w:p>
    <w:tbl>
      <w:tblPr>
        <w:tblW w:w="13178" w:type="dxa"/>
        <w:jc w:val="center"/>
        <w:tblBorders>
          <w:top w:val="nil"/>
          <w:left w:val="nil"/>
          <w:bottom w:val="nil"/>
          <w:right w:val="nil"/>
          <w:insideH w:val="nil"/>
          <w:insideV w:val="nil"/>
        </w:tblBorders>
        <w:tblLook w:val="0000" w:firstRow="0" w:lastRow="0" w:firstColumn="0" w:lastColumn="0" w:noHBand="0" w:noVBand="0"/>
      </w:tblPr>
      <w:tblGrid>
        <w:gridCol w:w="593"/>
        <w:gridCol w:w="1391"/>
        <w:gridCol w:w="8217"/>
        <w:gridCol w:w="2977"/>
      </w:tblGrid>
      <w:tr w:rsidR="00040129" w:rsidRPr="00D578DF" w14:paraId="51A2EDBF" w14:textId="77777777" w:rsidTr="00040129">
        <w:trPr>
          <w:tblHeader/>
          <w:jc w:val="center"/>
        </w:trPr>
        <w:tc>
          <w:tcPr>
            <w:tcW w:w="0" w:type="auto"/>
            <w:tcBorders>
              <w:top w:val="single" w:sz="8" w:space="0" w:color="000000"/>
              <w:left w:val="nil"/>
              <w:bottom w:val="single" w:sz="8" w:space="0" w:color="000000"/>
              <w:right w:val="nil"/>
            </w:tcBorders>
            <w:tcMar>
              <w:top w:w="45" w:type="dxa"/>
              <w:left w:w="45" w:type="dxa"/>
              <w:bottom w:w="45" w:type="dxa"/>
              <w:right w:w="45" w:type="dxa"/>
            </w:tcMar>
            <w:vAlign w:val="center"/>
          </w:tcPr>
          <w:p w14:paraId="18FBC80A" w14:textId="77777777" w:rsidR="00040129" w:rsidRPr="00D578DF" w:rsidRDefault="00040129" w:rsidP="00040129">
            <w:pPr>
              <w:jc w:val="center"/>
              <w:rPr>
                <w:rFonts w:ascii="Times New Roman" w:hAnsi="Times New Roman" w:cs="Times New Roman"/>
                <w:sz w:val="20"/>
                <w:szCs w:val="20"/>
              </w:rPr>
            </w:pPr>
            <w:r w:rsidRPr="00D578DF">
              <w:rPr>
                <w:rFonts w:ascii="Times New Roman" w:hAnsi="Times New Roman" w:cs="Times New Roman"/>
                <w:b/>
                <w:sz w:val="20"/>
                <w:szCs w:val="20"/>
              </w:rPr>
              <w:t>No.</w:t>
            </w:r>
          </w:p>
        </w:tc>
        <w:tc>
          <w:tcPr>
            <w:tcW w:w="0" w:type="auto"/>
            <w:tcBorders>
              <w:top w:val="single" w:sz="8" w:space="0" w:color="000000"/>
              <w:left w:val="nil"/>
              <w:bottom w:val="single" w:sz="8" w:space="0" w:color="000000"/>
              <w:right w:val="nil"/>
            </w:tcBorders>
            <w:tcMar>
              <w:top w:w="45" w:type="dxa"/>
              <w:left w:w="45" w:type="dxa"/>
              <w:bottom w:w="45" w:type="dxa"/>
              <w:right w:w="45" w:type="dxa"/>
            </w:tcMar>
            <w:vAlign w:val="center"/>
          </w:tcPr>
          <w:p w14:paraId="0E35F0C4"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b/>
                <w:sz w:val="20"/>
                <w:szCs w:val="20"/>
              </w:rPr>
              <w:t>Database</w:t>
            </w:r>
          </w:p>
        </w:tc>
        <w:tc>
          <w:tcPr>
            <w:tcW w:w="8217"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46624D78"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b/>
                <w:sz w:val="20"/>
                <w:szCs w:val="20"/>
              </w:rPr>
              <w:t>Search String</w:t>
            </w:r>
          </w:p>
        </w:tc>
        <w:tc>
          <w:tcPr>
            <w:tcW w:w="2977"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4442CC43"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b/>
                <w:sz w:val="20"/>
                <w:szCs w:val="20"/>
              </w:rPr>
              <w:t>Records (n)</w:t>
            </w:r>
          </w:p>
        </w:tc>
      </w:tr>
      <w:tr w:rsidR="00040129" w:rsidRPr="00D578DF" w14:paraId="4EAB067F" w14:textId="77777777" w:rsidTr="00040129">
        <w:trPr>
          <w:jc w:val="center"/>
        </w:trPr>
        <w:tc>
          <w:tcPr>
            <w:tcW w:w="593" w:type="dxa"/>
            <w:tcBorders>
              <w:top w:val="nil"/>
              <w:left w:val="nil"/>
              <w:bottom w:val="nil"/>
              <w:right w:val="nil"/>
            </w:tcBorders>
            <w:tcMar>
              <w:top w:w="45" w:type="dxa"/>
              <w:left w:w="45" w:type="dxa"/>
              <w:bottom w:w="45" w:type="dxa"/>
              <w:right w:w="45" w:type="dxa"/>
            </w:tcMar>
            <w:vAlign w:val="center"/>
          </w:tcPr>
          <w:p w14:paraId="72879632"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1</w:t>
            </w:r>
          </w:p>
        </w:tc>
        <w:tc>
          <w:tcPr>
            <w:tcW w:w="1391" w:type="dxa"/>
            <w:tcBorders>
              <w:top w:val="nil"/>
              <w:left w:val="nil"/>
              <w:bottom w:val="nil"/>
              <w:right w:val="nil"/>
            </w:tcBorders>
            <w:tcMar>
              <w:top w:w="45" w:type="dxa"/>
              <w:left w:w="45" w:type="dxa"/>
              <w:bottom w:w="45" w:type="dxa"/>
              <w:right w:w="45" w:type="dxa"/>
            </w:tcMar>
            <w:vAlign w:val="center"/>
          </w:tcPr>
          <w:p w14:paraId="5699E5E3"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 xml:space="preserve">PubMed </w:t>
            </w:r>
          </w:p>
        </w:tc>
        <w:tc>
          <w:tcPr>
            <w:tcW w:w="8217" w:type="dxa"/>
            <w:tcBorders>
              <w:top w:val="nil"/>
              <w:left w:val="nil"/>
              <w:bottom w:val="nil"/>
              <w:right w:val="nil"/>
            </w:tcBorders>
            <w:tcMar>
              <w:top w:w="45" w:type="dxa"/>
              <w:left w:w="45" w:type="dxa"/>
              <w:bottom w:w="45" w:type="dxa"/>
              <w:right w:w="45" w:type="dxa"/>
            </w:tcMar>
            <w:vAlign w:val="center"/>
          </w:tcPr>
          <w:p w14:paraId="69151AB1"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("recurrent implantation failure" OR "repeated implantation failure" OR "RIF") AND ("endometrial receptivity" OR "endometrium" OR "uterine receptivity") AND ("genomics" OR "transcriptomics" OR "proteomics" OR "epigenomics" OR "lipidomic" OR "metabolomics" OR "microbiome" OR "multi-omics" OR "single-cell" OR "RNA-seq" OR "methylation" OR "miRNA" OR "lncRNA" OR "</w:t>
            </w:r>
            <w:proofErr w:type="spellStart"/>
            <w:r w:rsidRPr="00D578DF">
              <w:rPr>
                <w:rFonts w:ascii="Times New Roman" w:hAnsi="Times New Roman" w:cs="Times New Roman"/>
                <w:sz w:val="20"/>
                <w:szCs w:val="20"/>
              </w:rPr>
              <w:t>circRNA</w:t>
            </w:r>
            <w:proofErr w:type="spellEnd"/>
            <w:r w:rsidRPr="00D578DF">
              <w:rPr>
                <w:rFonts w:ascii="Times New Roman" w:hAnsi="Times New Roman" w:cs="Times New Roman"/>
                <w:sz w:val="20"/>
                <w:szCs w:val="20"/>
              </w:rPr>
              <w:t>" OR "extracellular vesicle" OR "omics") AND ("2017/01/01"[PDAT</w:t>
            </w:r>
            <w:proofErr w:type="gramStart"/>
            <w:r w:rsidRPr="00D578DF">
              <w:rPr>
                <w:rFonts w:ascii="Times New Roman" w:hAnsi="Times New Roman" w:cs="Times New Roman"/>
                <w:sz w:val="20"/>
                <w:szCs w:val="20"/>
              </w:rPr>
              <w:t>] :</w:t>
            </w:r>
            <w:proofErr w:type="gramEnd"/>
            <w:r w:rsidRPr="00D578DF">
              <w:rPr>
                <w:rFonts w:ascii="Times New Roman" w:hAnsi="Times New Roman" w:cs="Times New Roman"/>
                <w:sz w:val="20"/>
                <w:szCs w:val="20"/>
              </w:rPr>
              <w:t xml:space="preserve"> "2026/03/31"[PDAT])</w:t>
            </w:r>
          </w:p>
        </w:tc>
        <w:tc>
          <w:tcPr>
            <w:tcW w:w="2977" w:type="dxa"/>
            <w:tcBorders>
              <w:top w:val="nil"/>
              <w:left w:val="nil"/>
              <w:bottom w:val="nil"/>
              <w:right w:val="nil"/>
            </w:tcBorders>
            <w:tcMar>
              <w:top w:w="45" w:type="dxa"/>
              <w:left w:w="45" w:type="dxa"/>
              <w:bottom w:w="45" w:type="dxa"/>
              <w:right w:w="45" w:type="dxa"/>
            </w:tcMar>
            <w:vAlign w:val="center"/>
          </w:tcPr>
          <w:p w14:paraId="69ADE159"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157</w:t>
            </w:r>
          </w:p>
        </w:tc>
      </w:tr>
      <w:tr w:rsidR="00040129" w:rsidRPr="00D578DF" w14:paraId="2EB22D1E" w14:textId="77777777" w:rsidTr="00040129">
        <w:trPr>
          <w:jc w:val="center"/>
        </w:trPr>
        <w:tc>
          <w:tcPr>
            <w:tcW w:w="593" w:type="dxa"/>
            <w:tcBorders>
              <w:top w:val="nil"/>
              <w:left w:val="nil"/>
              <w:bottom w:val="nil"/>
              <w:right w:val="nil"/>
            </w:tcBorders>
            <w:tcMar>
              <w:top w:w="45" w:type="dxa"/>
              <w:left w:w="45" w:type="dxa"/>
              <w:bottom w:w="45" w:type="dxa"/>
              <w:right w:w="45" w:type="dxa"/>
            </w:tcMar>
            <w:vAlign w:val="center"/>
          </w:tcPr>
          <w:p w14:paraId="122516F2"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2</w:t>
            </w:r>
          </w:p>
        </w:tc>
        <w:tc>
          <w:tcPr>
            <w:tcW w:w="1391" w:type="dxa"/>
            <w:tcBorders>
              <w:top w:val="nil"/>
              <w:left w:val="nil"/>
              <w:bottom w:val="nil"/>
              <w:right w:val="nil"/>
            </w:tcBorders>
            <w:tcMar>
              <w:top w:w="45" w:type="dxa"/>
              <w:left w:w="45" w:type="dxa"/>
              <w:bottom w:w="45" w:type="dxa"/>
              <w:right w:w="45" w:type="dxa"/>
            </w:tcMar>
            <w:vAlign w:val="center"/>
          </w:tcPr>
          <w:p w14:paraId="33EE0F77"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Scopus</w:t>
            </w:r>
          </w:p>
        </w:tc>
        <w:tc>
          <w:tcPr>
            <w:tcW w:w="8217" w:type="dxa"/>
            <w:tcBorders>
              <w:top w:val="nil"/>
              <w:left w:val="nil"/>
              <w:bottom w:val="nil"/>
              <w:right w:val="nil"/>
            </w:tcBorders>
            <w:tcMar>
              <w:top w:w="45" w:type="dxa"/>
              <w:left w:w="45" w:type="dxa"/>
              <w:bottom w:w="45" w:type="dxa"/>
              <w:right w:w="45" w:type="dxa"/>
            </w:tcMar>
            <w:vAlign w:val="center"/>
          </w:tcPr>
          <w:p w14:paraId="4ED421FE"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 TITLE-ABS-KEY ( "recurrent implantation failure" OR "repeated implantation failure" OR "RIF" ) AND TITLE-ABS-KEY ( "endometrial receptivity" OR "endometrium" OR "uterine receptivity" ) AND TITLE-ABS-KEY ( "genomics" OR "transcriptomics" OR "proteomics" OR "epigenomics" OR "</w:t>
            </w:r>
            <w:proofErr w:type="spellStart"/>
            <w:r w:rsidRPr="00D578DF">
              <w:rPr>
                <w:rFonts w:ascii="Times New Roman" w:hAnsi="Times New Roman" w:cs="Times New Roman"/>
                <w:sz w:val="20"/>
                <w:szCs w:val="20"/>
              </w:rPr>
              <w:t>lipidomics</w:t>
            </w:r>
            <w:proofErr w:type="spellEnd"/>
            <w:r w:rsidRPr="00D578DF">
              <w:rPr>
                <w:rFonts w:ascii="Times New Roman" w:hAnsi="Times New Roman" w:cs="Times New Roman"/>
                <w:sz w:val="20"/>
                <w:szCs w:val="20"/>
              </w:rPr>
              <w:t>" OR "metabolomics" OR "microbiome" OR "multi-omics" OR "single-cell" OR "RNA-seq" OR "methylation" OR "miRNA" OR "lncRNA" OR "</w:t>
            </w:r>
            <w:proofErr w:type="spellStart"/>
            <w:r w:rsidRPr="00D578DF">
              <w:rPr>
                <w:rFonts w:ascii="Times New Roman" w:hAnsi="Times New Roman" w:cs="Times New Roman"/>
                <w:sz w:val="20"/>
                <w:szCs w:val="20"/>
              </w:rPr>
              <w:t>circRNA</w:t>
            </w:r>
            <w:proofErr w:type="spellEnd"/>
            <w:r w:rsidRPr="00D578DF">
              <w:rPr>
                <w:rFonts w:ascii="Times New Roman" w:hAnsi="Times New Roman" w:cs="Times New Roman"/>
                <w:sz w:val="20"/>
                <w:szCs w:val="20"/>
              </w:rPr>
              <w:t>" OR "extracellular vesicle" OR "omics" ) ) AND PUBYEAR &gt; 2016 AND PUBYEAR &lt; 2027</w:t>
            </w:r>
          </w:p>
        </w:tc>
        <w:tc>
          <w:tcPr>
            <w:tcW w:w="2977" w:type="dxa"/>
            <w:tcBorders>
              <w:top w:val="nil"/>
              <w:left w:val="nil"/>
              <w:bottom w:val="nil"/>
              <w:right w:val="nil"/>
            </w:tcBorders>
            <w:tcMar>
              <w:top w:w="45" w:type="dxa"/>
              <w:left w:w="45" w:type="dxa"/>
              <w:bottom w:w="45" w:type="dxa"/>
              <w:right w:w="45" w:type="dxa"/>
            </w:tcMar>
            <w:vAlign w:val="center"/>
          </w:tcPr>
          <w:p w14:paraId="3B28FE57"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177</w:t>
            </w:r>
          </w:p>
        </w:tc>
      </w:tr>
      <w:tr w:rsidR="00040129" w:rsidRPr="00D578DF" w14:paraId="67CAD9F5" w14:textId="77777777" w:rsidTr="00040129">
        <w:trPr>
          <w:jc w:val="center"/>
        </w:trPr>
        <w:tc>
          <w:tcPr>
            <w:tcW w:w="593" w:type="dxa"/>
            <w:tcBorders>
              <w:top w:val="nil"/>
              <w:left w:val="nil"/>
              <w:bottom w:val="nil"/>
              <w:right w:val="nil"/>
            </w:tcBorders>
            <w:tcMar>
              <w:top w:w="45" w:type="dxa"/>
              <w:left w:w="45" w:type="dxa"/>
              <w:bottom w:w="45" w:type="dxa"/>
              <w:right w:w="45" w:type="dxa"/>
            </w:tcMar>
            <w:vAlign w:val="center"/>
          </w:tcPr>
          <w:p w14:paraId="0479A5C1"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3</w:t>
            </w:r>
          </w:p>
        </w:tc>
        <w:tc>
          <w:tcPr>
            <w:tcW w:w="1391" w:type="dxa"/>
            <w:tcBorders>
              <w:top w:val="nil"/>
              <w:left w:val="nil"/>
              <w:bottom w:val="nil"/>
              <w:right w:val="nil"/>
            </w:tcBorders>
            <w:tcMar>
              <w:top w:w="45" w:type="dxa"/>
              <w:left w:w="45" w:type="dxa"/>
              <w:bottom w:w="45" w:type="dxa"/>
              <w:right w:w="45" w:type="dxa"/>
            </w:tcMar>
            <w:vAlign w:val="center"/>
          </w:tcPr>
          <w:p w14:paraId="49D88606"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 xml:space="preserve">Web of Science </w:t>
            </w:r>
          </w:p>
        </w:tc>
        <w:tc>
          <w:tcPr>
            <w:tcW w:w="8217" w:type="dxa"/>
            <w:tcBorders>
              <w:top w:val="nil"/>
              <w:left w:val="nil"/>
              <w:bottom w:val="nil"/>
              <w:right w:val="nil"/>
            </w:tcBorders>
            <w:tcMar>
              <w:top w:w="45" w:type="dxa"/>
              <w:left w:w="45" w:type="dxa"/>
              <w:bottom w:w="45" w:type="dxa"/>
              <w:right w:w="45" w:type="dxa"/>
            </w:tcMar>
            <w:vAlign w:val="center"/>
          </w:tcPr>
          <w:p w14:paraId="129A74C4"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TS</w:t>
            </w:r>
            <w:proofErr w:type="gramStart"/>
            <w:r w:rsidRPr="00D578DF">
              <w:rPr>
                <w:rFonts w:ascii="Times New Roman" w:hAnsi="Times New Roman" w:cs="Times New Roman"/>
                <w:sz w:val="20"/>
                <w:szCs w:val="20"/>
              </w:rPr>
              <w:t>=(</w:t>
            </w:r>
            <w:proofErr w:type="gramEnd"/>
            <w:r w:rsidRPr="00D578DF">
              <w:rPr>
                <w:rFonts w:ascii="Times New Roman" w:hAnsi="Times New Roman" w:cs="Times New Roman"/>
                <w:sz w:val="20"/>
                <w:szCs w:val="20"/>
              </w:rPr>
              <w:t>"recurrent implantation failure" OR "repeated implantation failure" OR "RIF") AND TS</w:t>
            </w:r>
            <w:proofErr w:type="gramStart"/>
            <w:r w:rsidRPr="00D578DF">
              <w:rPr>
                <w:rFonts w:ascii="Times New Roman" w:hAnsi="Times New Roman" w:cs="Times New Roman"/>
                <w:sz w:val="20"/>
                <w:szCs w:val="20"/>
              </w:rPr>
              <w:t>=(</w:t>
            </w:r>
            <w:proofErr w:type="gramEnd"/>
            <w:r w:rsidRPr="00D578DF">
              <w:rPr>
                <w:rFonts w:ascii="Times New Roman" w:hAnsi="Times New Roman" w:cs="Times New Roman"/>
                <w:sz w:val="20"/>
                <w:szCs w:val="20"/>
              </w:rPr>
              <w:t>"endometrial receptivity" OR "endometrium" OR "uterine receptivity") AND TS</w:t>
            </w:r>
            <w:proofErr w:type="gramStart"/>
            <w:r w:rsidRPr="00D578DF">
              <w:rPr>
                <w:rFonts w:ascii="Times New Roman" w:hAnsi="Times New Roman" w:cs="Times New Roman"/>
                <w:sz w:val="20"/>
                <w:szCs w:val="20"/>
              </w:rPr>
              <w:t>=(</w:t>
            </w:r>
            <w:proofErr w:type="gramEnd"/>
            <w:r w:rsidRPr="00D578DF">
              <w:rPr>
                <w:rFonts w:ascii="Times New Roman" w:hAnsi="Times New Roman" w:cs="Times New Roman"/>
                <w:sz w:val="20"/>
                <w:szCs w:val="20"/>
              </w:rPr>
              <w:t>"genomics" OR "transcriptomics" OR "proteomics" OR "epigenomics" OR "</w:t>
            </w:r>
            <w:proofErr w:type="spellStart"/>
            <w:r w:rsidRPr="00D578DF">
              <w:rPr>
                <w:rFonts w:ascii="Times New Roman" w:hAnsi="Times New Roman" w:cs="Times New Roman"/>
                <w:sz w:val="20"/>
                <w:szCs w:val="20"/>
              </w:rPr>
              <w:t>lipidomics</w:t>
            </w:r>
            <w:proofErr w:type="spellEnd"/>
            <w:r w:rsidRPr="00D578DF">
              <w:rPr>
                <w:rFonts w:ascii="Times New Roman" w:hAnsi="Times New Roman" w:cs="Times New Roman"/>
                <w:sz w:val="20"/>
                <w:szCs w:val="20"/>
              </w:rPr>
              <w:t>" OR "metabolomics" OR "microbiome" OR "multi-omics" OR "single-cell" OR "RNA-seq" OR "methylation" OR "miRNA" OR "lncRNA" OR "</w:t>
            </w:r>
            <w:proofErr w:type="spellStart"/>
            <w:r w:rsidRPr="00D578DF">
              <w:rPr>
                <w:rFonts w:ascii="Times New Roman" w:hAnsi="Times New Roman" w:cs="Times New Roman"/>
                <w:sz w:val="20"/>
                <w:szCs w:val="20"/>
              </w:rPr>
              <w:t>circRNA</w:t>
            </w:r>
            <w:proofErr w:type="spellEnd"/>
            <w:r w:rsidRPr="00D578DF">
              <w:rPr>
                <w:rFonts w:ascii="Times New Roman" w:hAnsi="Times New Roman" w:cs="Times New Roman"/>
                <w:sz w:val="20"/>
                <w:szCs w:val="20"/>
              </w:rPr>
              <w:t>" OR "extracellular vesicle" OR "omics") AND PY</w:t>
            </w:r>
            <w:proofErr w:type="gramStart"/>
            <w:r w:rsidRPr="00D578DF">
              <w:rPr>
                <w:rFonts w:ascii="Times New Roman" w:hAnsi="Times New Roman" w:cs="Times New Roman"/>
                <w:sz w:val="20"/>
                <w:szCs w:val="20"/>
              </w:rPr>
              <w:t>=(</w:t>
            </w:r>
            <w:proofErr w:type="gramEnd"/>
            <w:r w:rsidRPr="00D578DF">
              <w:rPr>
                <w:rFonts w:ascii="Times New Roman" w:hAnsi="Times New Roman" w:cs="Times New Roman"/>
                <w:sz w:val="20"/>
                <w:szCs w:val="20"/>
              </w:rPr>
              <w:t>2017-2026)</w:t>
            </w:r>
          </w:p>
        </w:tc>
        <w:tc>
          <w:tcPr>
            <w:tcW w:w="2977" w:type="dxa"/>
            <w:tcBorders>
              <w:top w:val="nil"/>
              <w:left w:val="nil"/>
              <w:bottom w:val="nil"/>
              <w:right w:val="nil"/>
            </w:tcBorders>
            <w:tcMar>
              <w:top w:w="45" w:type="dxa"/>
              <w:left w:w="45" w:type="dxa"/>
              <w:bottom w:w="45" w:type="dxa"/>
              <w:right w:w="45" w:type="dxa"/>
            </w:tcMar>
            <w:vAlign w:val="center"/>
          </w:tcPr>
          <w:p w14:paraId="4A7E3BD9" w14:textId="77777777" w:rsidR="00040129" w:rsidRPr="00D578DF" w:rsidRDefault="00040129" w:rsidP="00040129">
            <w:pPr>
              <w:rPr>
                <w:rFonts w:ascii="Times New Roman" w:hAnsi="Times New Roman" w:cs="Times New Roman"/>
                <w:sz w:val="20"/>
                <w:szCs w:val="20"/>
              </w:rPr>
            </w:pPr>
            <w:r w:rsidRPr="00D578DF">
              <w:rPr>
                <w:rFonts w:ascii="Times New Roman" w:hAnsi="Times New Roman" w:cs="Times New Roman"/>
                <w:sz w:val="20"/>
                <w:szCs w:val="20"/>
              </w:rPr>
              <w:t>234</w:t>
            </w:r>
          </w:p>
        </w:tc>
      </w:tr>
      <w:tr w:rsidR="00040129" w:rsidRPr="00D578DF" w14:paraId="29D80ADE" w14:textId="77777777" w:rsidTr="00040129">
        <w:trPr>
          <w:jc w:val="center"/>
        </w:trPr>
        <w:tc>
          <w:tcPr>
            <w:tcW w:w="593" w:type="dxa"/>
            <w:tcBorders>
              <w:top w:val="nil"/>
              <w:left w:val="nil"/>
              <w:bottom w:val="nil"/>
              <w:right w:val="nil"/>
            </w:tcBorders>
            <w:tcMar>
              <w:top w:w="45" w:type="dxa"/>
              <w:left w:w="45" w:type="dxa"/>
              <w:bottom w:w="45" w:type="dxa"/>
              <w:right w:w="45" w:type="dxa"/>
            </w:tcMar>
            <w:vAlign w:val="center"/>
          </w:tcPr>
          <w:p w14:paraId="6C187BF2" w14:textId="77777777" w:rsidR="005367AA" w:rsidRPr="00D578DF" w:rsidRDefault="00000000">
            <w:pPr>
              <w:rPr>
                <w:rFonts w:ascii="Times New Roman" w:hAnsi="Times New Roman" w:cs="Times New Roman"/>
                <w:color w:val="EE0000"/>
                <w:sz w:val="20"/>
                <w:szCs w:val="20"/>
              </w:rPr>
            </w:pPr>
            <w:r w:rsidRPr="00D578DF">
              <w:rPr>
                <w:rFonts w:ascii="Times New Roman" w:hAnsi="Times New Roman" w:cs="Times New Roman"/>
                <w:color w:val="EE0000"/>
                <w:sz w:val="20"/>
                <w:szCs w:val="20"/>
              </w:rPr>
              <w:t>4</w:t>
            </w:r>
          </w:p>
        </w:tc>
        <w:tc>
          <w:tcPr>
            <w:tcW w:w="1391" w:type="dxa"/>
            <w:tcBorders>
              <w:top w:val="nil"/>
              <w:left w:val="nil"/>
              <w:bottom w:val="nil"/>
              <w:right w:val="nil"/>
            </w:tcBorders>
            <w:tcMar>
              <w:top w:w="45" w:type="dxa"/>
              <w:left w:w="45" w:type="dxa"/>
              <w:bottom w:w="45" w:type="dxa"/>
              <w:right w:w="45" w:type="dxa"/>
            </w:tcMar>
            <w:vAlign w:val="center"/>
          </w:tcPr>
          <w:p w14:paraId="0257DAFE" w14:textId="70C66CCA" w:rsidR="005367AA" w:rsidRPr="00D578DF" w:rsidRDefault="00D578DF">
            <w:pPr>
              <w:rPr>
                <w:rFonts w:ascii="Times New Roman" w:hAnsi="Times New Roman" w:cs="Times New Roman"/>
                <w:color w:val="EE0000"/>
                <w:sz w:val="20"/>
                <w:szCs w:val="20"/>
              </w:rPr>
            </w:pPr>
            <w:r w:rsidRPr="00D578DF">
              <w:rPr>
                <w:rFonts w:ascii="Times New Roman" w:hAnsi="Times New Roman" w:cs="Times New Roman"/>
                <w:color w:val="EE0000"/>
                <w:sz w:val="20"/>
                <w:szCs w:val="20"/>
              </w:rPr>
              <w:t>Google scholar</w:t>
            </w:r>
          </w:p>
        </w:tc>
        <w:tc>
          <w:tcPr>
            <w:tcW w:w="8217" w:type="dxa"/>
            <w:tcBorders>
              <w:top w:val="nil"/>
              <w:left w:val="nil"/>
              <w:bottom w:val="nil"/>
              <w:right w:val="nil"/>
            </w:tcBorders>
            <w:tcMar>
              <w:top w:w="45" w:type="dxa"/>
              <w:left w:w="45" w:type="dxa"/>
              <w:bottom w:w="45" w:type="dxa"/>
              <w:right w:w="45" w:type="dxa"/>
            </w:tcMar>
            <w:vAlign w:val="center"/>
          </w:tcPr>
          <w:p w14:paraId="7F790149" w14:textId="7A4DF9A5" w:rsidR="005367AA" w:rsidRPr="00D578DF" w:rsidRDefault="00D578DF">
            <w:pPr>
              <w:rPr>
                <w:rFonts w:ascii="Times New Roman" w:hAnsi="Times New Roman" w:cs="Times New Roman"/>
                <w:color w:val="EE0000"/>
                <w:sz w:val="20"/>
                <w:szCs w:val="20"/>
              </w:rPr>
            </w:pPr>
            <w:r w:rsidRPr="00D578DF">
              <w:rPr>
                <w:rFonts w:ascii="Times New Roman" w:hAnsi="Times New Roman" w:cs="Times New Roman"/>
                <w:color w:val="EE0000"/>
                <w:sz w:val="20"/>
                <w:szCs w:val="20"/>
              </w:rPr>
              <w:t xml:space="preserve">("recurrent implantation failure" OR "repeated implantation failure" OR RIF) AND ("endometrial receptivity" OR endometrium OR "uterine receptivity") AND (genomics OR transcriptomics OR proteomics OR epigenomics OR lipidomic OR metabolomics OR microbiome OR multi-omics OR single-cell OR RNA-seq OR methylation OR miRNA OR lncRNA OR </w:t>
            </w:r>
            <w:proofErr w:type="spellStart"/>
            <w:r w:rsidRPr="00D578DF">
              <w:rPr>
                <w:rFonts w:ascii="Times New Roman" w:hAnsi="Times New Roman" w:cs="Times New Roman"/>
                <w:color w:val="EE0000"/>
                <w:sz w:val="20"/>
                <w:szCs w:val="20"/>
              </w:rPr>
              <w:t>circRNA</w:t>
            </w:r>
            <w:proofErr w:type="spellEnd"/>
            <w:r w:rsidRPr="00D578DF">
              <w:rPr>
                <w:rFonts w:ascii="Times New Roman" w:hAnsi="Times New Roman" w:cs="Times New Roman"/>
                <w:color w:val="EE0000"/>
                <w:sz w:val="20"/>
                <w:szCs w:val="20"/>
              </w:rPr>
              <w:t xml:space="preserve"> OR "extracellular vesicle" OR omics)</w:t>
            </w:r>
          </w:p>
        </w:tc>
        <w:tc>
          <w:tcPr>
            <w:tcW w:w="2977" w:type="dxa"/>
            <w:tcBorders>
              <w:top w:val="nil"/>
              <w:left w:val="nil"/>
              <w:bottom w:val="nil"/>
              <w:right w:val="nil"/>
            </w:tcBorders>
            <w:tcMar>
              <w:top w:w="45" w:type="dxa"/>
              <w:left w:w="45" w:type="dxa"/>
              <w:bottom w:w="45" w:type="dxa"/>
              <w:right w:w="45" w:type="dxa"/>
            </w:tcMar>
            <w:vAlign w:val="center"/>
          </w:tcPr>
          <w:p w14:paraId="60334482" w14:textId="77777777" w:rsidR="005367AA" w:rsidRPr="00D578DF" w:rsidRDefault="00000000">
            <w:pPr>
              <w:rPr>
                <w:rFonts w:ascii="Times New Roman" w:hAnsi="Times New Roman" w:cs="Times New Roman"/>
                <w:color w:val="EE0000"/>
                <w:sz w:val="20"/>
                <w:szCs w:val="20"/>
              </w:rPr>
            </w:pPr>
            <w:r w:rsidRPr="00D578DF">
              <w:rPr>
                <w:rFonts w:ascii="Times New Roman" w:hAnsi="Times New Roman" w:cs="Times New Roman"/>
                <w:color w:val="EE0000"/>
                <w:sz w:val="20"/>
                <w:szCs w:val="20"/>
              </w:rPr>
              <w:t>60</w:t>
            </w:r>
          </w:p>
        </w:tc>
      </w:tr>
      <w:tr w:rsidR="00750508" w:rsidRPr="00D578DF" w14:paraId="05291B81" w14:textId="77777777">
        <w:trPr>
          <w:jc w:val="center"/>
        </w:trPr>
        <w:tc>
          <w:tcPr>
            <w:tcW w:w="593" w:type="dxa"/>
            <w:tcBorders>
              <w:top w:val="nil"/>
              <w:left w:val="nil"/>
              <w:bottom w:val="single" w:sz="8" w:space="0" w:color="000000"/>
              <w:right w:val="nil"/>
            </w:tcBorders>
            <w:tcMar>
              <w:top w:w="45" w:type="dxa"/>
              <w:left w:w="45" w:type="dxa"/>
              <w:bottom w:w="45" w:type="dxa"/>
              <w:right w:w="45" w:type="dxa"/>
            </w:tcMar>
            <w:vAlign w:val="center"/>
          </w:tcPr>
          <w:p w14:paraId="60259FBE" w14:textId="77777777" w:rsidR="00750508" w:rsidRPr="00D578DF" w:rsidRDefault="00750508">
            <w:pPr>
              <w:rPr>
                <w:rFonts w:ascii="Times New Roman" w:hAnsi="Times New Roman" w:cs="Times New Roman"/>
                <w:sz w:val="20"/>
                <w:szCs w:val="20"/>
              </w:rPr>
            </w:pPr>
          </w:p>
        </w:tc>
        <w:tc>
          <w:tcPr>
            <w:tcW w:w="1391" w:type="dxa"/>
            <w:tcBorders>
              <w:top w:val="nil"/>
              <w:left w:val="nil"/>
              <w:bottom w:val="single" w:sz="8" w:space="0" w:color="000000"/>
              <w:right w:val="nil"/>
            </w:tcBorders>
            <w:tcMar>
              <w:top w:w="45" w:type="dxa"/>
              <w:left w:w="45" w:type="dxa"/>
              <w:bottom w:w="45" w:type="dxa"/>
              <w:right w:w="45" w:type="dxa"/>
            </w:tcMar>
            <w:vAlign w:val="center"/>
          </w:tcPr>
          <w:p w14:paraId="1E6E259A" w14:textId="77777777" w:rsidR="00750508" w:rsidRPr="00D578DF" w:rsidRDefault="00750508">
            <w:pPr>
              <w:rPr>
                <w:rFonts w:ascii="Times New Roman" w:hAnsi="Times New Roman" w:cs="Times New Roman"/>
                <w:sz w:val="20"/>
                <w:szCs w:val="20"/>
              </w:rPr>
            </w:pPr>
          </w:p>
        </w:tc>
        <w:tc>
          <w:tcPr>
            <w:tcW w:w="8217" w:type="dxa"/>
            <w:tcBorders>
              <w:top w:val="nil"/>
              <w:left w:val="nil"/>
              <w:bottom w:val="single" w:sz="8" w:space="0" w:color="000000"/>
              <w:right w:val="nil"/>
            </w:tcBorders>
            <w:tcMar>
              <w:top w:w="45" w:type="dxa"/>
              <w:left w:w="45" w:type="dxa"/>
              <w:bottom w:w="45" w:type="dxa"/>
              <w:right w:w="45" w:type="dxa"/>
            </w:tcMar>
            <w:vAlign w:val="center"/>
          </w:tcPr>
          <w:p w14:paraId="02A535C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Total</w:t>
            </w:r>
          </w:p>
        </w:tc>
        <w:tc>
          <w:tcPr>
            <w:tcW w:w="2977" w:type="dxa"/>
            <w:tcBorders>
              <w:top w:val="nil"/>
              <w:left w:val="nil"/>
              <w:bottom w:val="single" w:sz="8" w:space="0" w:color="000000"/>
              <w:right w:val="nil"/>
            </w:tcBorders>
            <w:tcMar>
              <w:top w:w="45" w:type="dxa"/>
              <w:left w:w="45" w:type="dxa"/>
              <w:bottom w:w="45" w:type="dxa"/>
              <w:right w:w="45" w:type="dxa"/>
            </w:tcMar>
            <w:vAlign w:val="center"/>
          </w:tcPr>
          <w:p w14:paraId="170DBD6F"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628</w:t>
            </w:r>
          </w:p>
        </w:tc>
      </w:tr>
    </w:tbl>
    <w:p w14:paraId="1510D59E" w14:textId="5B55F8F4" w:rsidR="00040129" w:rsidRPr="00BC284D" w:rsidRDefault="00D578DF">
      <w:pPr>
        <w:rPr>
          <w:rFonts w:ascii="Times New Roman" w:hAnsi="Times New Roman" w:cs="Times New Roman"/>
          <w:color w:val="EE0000"/>
          <w:sz w:val="20"/>
          <w:szCs w:val="20"/>
        </w:rPr>
      </w:pPr>
      <w:r w:rsidRPr="00BC284D">
        <w:rPr>
          <w:rFonts w:ascii="Times New Roman" w:hAnsi="Times New Roman" w:cs="Times New Roman"/>
          <w:color w:val="EE0000"/>
          <w:sz w:val="20"/>
          <w:szCs w:val="20"/>
          <w:vertAlign w:val="superscript"/>
        </w:rPr>
        <w:t>*</w:t>
      </w:r>
      <w:r w:rsidRPr="00BC284D">
        <w:rPr>
          <w:rFonts w:ascii="Times New Roman" w:hAnsi="Times New Roman" w:cs="Times New Roman"/>
          <w:color w:val="EE0000"/>
          <w:sz w:val="20"/>
          <w:szCs w:val="20"/>
        </w:rPr>
        <w:t xml:space="preserve">The available search documentation records 568 indexed-database records (157 PubMed + 177 Scopus + 234 Web of Science) and a combined 60 records from google scholar, giving the reported total of 628. </w:t>
      </w:r>
      <w:r w:rsidR="00040129" w:rsidRPr="00BC284D">
        <w:rPr>
          <w:rFonts w:ascii="Times New Roman" w:hAnsi="Times New Roman" w:cs="Times New Roman"/>
          <w:color w:val="EE0000"/>
          <w:sz w:val="20"/>
          <w:szCs w:val="20"/>
        </w:rPr>
        <w:br w:type="page"/>
      </w:r>
    </w:p>
    <w:p w14:paraId="439E57B3" w14:textId="369DED30" w:rsidR="00750508" w:rsidRPr="00D578DF" w:rsidRDefault="080C5C18" w:rsidP="00D578DF">
      <w:pPr>
        <w:tabs>
          <w:tab w:val="left" w:pos="8868"/>
        </w:tabs>
        <w:rPr>
          <w:rFonts w:ascii="Times New Roman" w:hAnsi="Times New Roman" w:cs="Times New Roman"/>
          <w:b/>
          <w:bCs/>
          <w:sz w:val="20"/>
          <w:szCs w:val="20"/>
        </w:rPr>
      </w:pPr>
      <w:r w:rsidRPr="00D578DF">
        <w:rPr>
          <w:rFonts w:ascii="Times New Roman" w:hAnsi="Times New Roman" w:cs="Times New Roman"/>
          <w:b/>
          <w:bCs/>
          <w:sz w:val="20"/>
          <w:szCs w:val="20"/>
        </w:rPr>
        <w:lastRenderedPageBreak/>
        <w:t xml:space="preserve">Table S2. Characteristics of </w:t>
      </w:r>
      <w:r w:rsidR="00D578DF" w:rsidRPr="00D578DF">
        <w:rPr>
          <w:rFonts w:ascii="Times New Roman" w:hAnsi="Times New Roman" w:cs="Times New Roman"/>
          <w:b/>
          <w:bCs/>
          <w:sz w:val="20"/>
          <w:szCs w:val="20"/>
        </w:rPr>
        <w:t xml:space="preserve">Including Studies </w:t>
      </w:r>
    </w:p>
    <w:tbl>
      <w:tblPr>
        <w:tblW w:w="0" w:type="auto"/>
        <w:jc w:val="center"/>
        <w:tblBorders>
          <w:top w:val="nil"/>
          <w:left w:val="nil"/>
          <w:bottom w:val="nil"/>
          <w:right w:val="nil"/>
          <w:insideH w:val="nil"/>
          <w:insideV w:val="nil"/>
        </w:tblBorders>
        <w:tblLook w:val="06A0" w:firstRow="1" w:lastRow="0" w:firstColumn="1" w:lastColumn="0" w:noHBand="1" w:noVBand="1"/>
      </w:tblPr>
      <w:tblGrid>
        <w:gridCol w:w="922"/>
        <w:gridCol w:w="1114"/>
        <w:gridCol w:w="1189"/>
        <w:gridCol w:w="1055"/>
        <w:gridCol w:w="1787"/>
        <w:gridCol w:w="2411"/>
        <w:gridCol w:w="1738"/>
        <w:gridCol w:w="1364"/>
        <w:gridCol w:w="1380"/>
      </w:tblGrid>
      <w:tr w:rsidR="00D7116D" w:rsidRPr="00D578DF" w14:paraId="5FE093B6" w14:textId="77777777" w:rsidTr="00D578DF">
        <w:trPr>
          <w:trHeight w:val="795"/>
          <w:tblHeader/>
          <w:jc w:val="center"/>
        </w:trPr>
        <w:tc>
          <w:tcPr>
            <w:tcW w:w="922"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2C9733A3" w14:textId="77777777" w:rsidR="00D7116D" w:rsidRPr="00D578DF" w:rsidRDefault="00D7116D" w:rsidP="00D7116D">
            <w:pPr>
              <w:jc w:val="center"/>
              <w:rPr>
                <w:rFonts w:ascii="Times New Roman" w:hAnsi="Times New Roman" w:cs="Times New Roman"/>
                <w:sz w:val="20"/>
                <w:szCs w:val="20"/>
              </w:rPr>
            </w:pPr>
            <w:r w:rsidRPr="00D578DF">
              <w:rPr>
                <w:rFonts w:ascii="Times New Roman" w:hAnsi="Times New Roman" w:cs="Times New Roman"/>
                <w:b/>
                <w:bCs/>
                <w:color w:val="000000"/>
                <w:sz w:val="20"/>
                <w:szCs w:val="20"/>
              </w:rPr>
              <w:t>First Author et al., Year</w:t>
            </w:r>
          </w:p>
        </w:tc>
        <w:tc>
          <w:tcPr>
            <w:tcW w:w="1114"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3FA4C43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b/>
                <w:bCs/>
                <w:color w:val="000000" w:themeColor="text1"/>
                <w:sz w:val="20"/>
                <w:szCs w:val="20"/>
              </w:rPr>
              <w:t>Journal</w:t>
            </w:r>
          </w:p>
        </w:tc>
        <w:tc>
          <w:tcPr>
            <w:tcW w:w="1189"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2F0931B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b/>
                <w:bCs/>
                <w:color w:val="000000" w:themeColor="text1"/>
                <w:sz w:val="20"/>
                <w:szCs w:val="20"/>
              </w:rPr>
              <w:t>Study Design</w:t>
            </w:r>
          </w:p>
        </w:tc>
        <w:tc>
          <w:tcPr>
            <w:tcW w:w="1055"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0EC47C3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b/>
                <w:bCs/>
                <w:color w:val="000000" w:themeColor="text1"/>
                <w:sz w:val="20"/>
                <w:szCs w:val="20"/>
              </w:rPr>
              <w:t>Sample Size / Type</w:t>
            </w:r>
          </w:p>
        </w:tc>
        <w:tc>
          <w:tcPr>
            <w:tcW w:w="1787"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22DD275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b/>
                <w:bCs/>
                <w:color w:val="000000" w:themeColor="text1"/>
                <w:sz w:val="20"/>
                <w:szCs w:val="20"/>
              </w:rPr>
              <w:t>Key Finding / Biomarkers</w:t>
            </w:r>
          </w:p>
        </w:tc>
        <w:tc>
          <w:tcPr>
            <w:tcW w:w="2411"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1939F4C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b/>
                <w:bCs/>
                <w:color w:val="000000" w:themeColor="text1"/>
                <w:sz w:val="20"/>
                <w:szCs w:val="20"/>
              </w:rPr>
              <w:t>Clinical Implication</w:t>
            </w:r>
          </w:p>
        </w:tc>
        <w:tc>
          <w:tcPr>
            <w:tcW w:w="1738"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5F70C33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b/>
                <w:bCs/>
                <w:color w:val="000000" w:themeColor="text1"/>
                <w:sz w:val="20"/>
                <w:szCs w:val="20"/>
              </w:rPr>
              <w:t>Key Platform / Method</w:t>
            </w:r>
          </w:p>
        </w:tc>
        <w:tc>
          <w:tcPr>
            <w:tcW w:w="1364"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03FE336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b/>
                <w:bCs/>
                <w:color w:val="000000" w:themeColor="text1"/>
                <w:sz w:val="20"/>
                <w:szCs w:val="20"/>
              </w:rPr>
              <w:t>Major Strengths</w:t>
            </w:r>
          </w:p>
        </w:tc>
        <w:tc>
          <w:tcPr>
            <w:tcW w:w="1380" w:type="dxa"/>
            <w:tcBorders>
              <w:top w:val="single" w:sz="8" w:space="0" w:color="000000"/>
              <w:left w:val="nil"/>
              <w:bottom w:val="single" w:sz="8" w:space="0" w:color="000000"/>
              <w:right w:val="nil"/>
            </w:tcBorders>
            <w:tcMar>
              <w:top w:w="45" w:type="dxa"/>
              <w:left w:w="45" w:type="dxa"/>
              <w:bottom w:w="45" w:type="dxa"/>
              <w:right w:w="45" w:type="dxa"/>
            </w:tcMar>
            <w:vAlign w:val="center"/>
          </w:tcPr>
          <w:p w14:paraId="4A05E9A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b/>
                <w:bCs/>
                <w:color w:val="000000" w:themeColor="text1"/>
                <w:sz w:val="20"/>
                <w:szCs w:val="20"/>
              </w:rPr>
              <w:t>Major Limitations</w:t>
            </w:r>
          </w:p>
        </w:tc>
      </w:tr>
      <w:tr w:rsidR="00D7116D" w:rsidRPr="00D578DF" w14:paraId="50CA7C56" w14:textId="77777777" w:rsidTr="00D578DF">
        <w:trPr>
          <w:trHeight w:val="615"/>
          <w:jc w:val="center"/>
        </w:trPr>
        <w:tc>
          <w:tcPr>
            <w:tcW w:w="922" w:type="dxa"/>
            <w:tcBorders>
              <w:top w:val="nil"/>
              <w:left w:val="nil"/>
              <w:bottom w:val="nil"/>
              <w:right w:val="nil"/>
            </w:tcBorders>
            <w:tcMar>
              <w:top w:w="45" w:type="dxa"/>
              <w:left w:w="45" w:type="dxa"/>
              <w:bottom w:w="45" w:type="dxa"/>
              <w:right w:w="45" w:type="dxa"/>
            </w:tcMar>
            <w:vAlign w:val="center"/>
          </w:tcPr>
          <w:p w14:paraId="458F9F3C"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t>Mrozikiewicz</w:t>
            </w:r>
            <w:proofErr w:type="spellEnd"/>
            <w:r w:rsidRPr="00D578DF">
              <w:rPr>
                <w:rFonts w:ascii="Times New Roman" w:hAnsi="Times New Roman" w:cs="Times New Roman"/>
                <w:color w:val="000000"/>
                <w:sz w:val="20"/>
                <w:szCs w:val="20"/>
              </w:rPr>
              <w:t xml:space="preserve"> et al., 2021 [35]</w:t>
            </w:r>
          </w:p>
        </w:tc>
        <w:tc>
          <w:tcPr>
            <w:tcW w:w="1114" w:type="dxa"/>
            <w:tcBorders>
              <w:top w:val="nil"/>
              <w:left w:val="nil"/>
              <w:bottom w:val="nil"/>
              <w:right w:val="nil"/>
            </w:tcBorders>
            <w:tcMar>
              <w:top w:w="45" w:type="dxa"/>
              <w:left w:w="45" w:type="dxa"/>
              <w:bottom w:w="45" w:type="dxa"/>
              <w:right w:w="45" w:type="dxa"/>
            </w:tcMar>
            <w:vAlign w:val="center"/>
          </w:tcPr>
          <w:p w14:paraId="31DC8CC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International Journal of Molecular Sciences</w:t>
            </w:r>
          </w:p>
        </w:tc>
        <w:tc>
          <w:tcPr>
            <w:tcW w:w="1189" w:type="dxa"/>
            <w:tcBorders>
              <w:top w:val="nil"/>
              <w:left w:val="nil"/>
              <w:bottom w:val="nil"/>
              <w:right w:val="nil"/>
            </w:tcBorders>
            <w:tcMar>
              <w:top w:w="45" w:type="dxa"/>
              <w:left w:w="45" w:type="dxa"/>
              <w:bottom w:w="45" w:type="dxa"/>
              <w:right w:w="45" w:type="dxa"/>
            </w:tcMar>
            <w:vAlign w:val="center"/>
          </w:tcPr>
          <w:p w14:paraId="751168C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Review</w:t>
            </w:r>
          </w:p>
        </w:tc>
        <w:tc>
          <w:tcPr>
            <w:tcW w:w="1055" w:type="dxa"/>
            <w:tcBorders>
              <w:top w:val="nil"/>
              <w:left w:val="nil"/>
              <w:bottom w:val="nil"/>
              <w:right w:val="nil"/>
            </w:tcBorders>
            <w:tcMar>
              <w:top w:w="45" w:type="dxa"/>
              <w:left w:w="45" w:type="dxa"/>
              <w:bottom w:w="45" w:type="dxa"/>
              <w:right w:w="45" w:type="dxa"/>
            </w:tcMar>
            <w:vAlign w:val="center"/>
          </w:tcPr>
          <w:p w14:paraId="37EEC81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 — literature</w:t>
            </w:r>
          </w:p>
        </w:tc>
        <w:tc>
          <w:tcPr>
            <w:tcW w:w="1787" w:type="dxa"/>
            <w:tcBorders>
              <w:top w:val="nil"/>
              <w:left w:val="nil"/>
              <w:bottom w:val="nil"/>
              <w:right w:val="nil"/>
            </w:tcBorders>
            <w:tcMar>
              <w:top w:w="45" w:type="dxa"/>
              <w:left w:w="45" w:type="dxa"/>
              <w:bottom w:w="45" w:type="dxa"/>
              <w:right w:w="45" w:type="dxa"/>
            </w:tcMar>
            <w:vAlign w:val="center"/>
          </w:tcPr>
          <w:p w14:paraId="5E7EA34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Classification of genomic, proteomic, and immunological RIF biomarkers; HOXA, integrin, cytokine panels</w:t>
            </w:r>
          </w:p>
        </w:tc>
        <w:tc>
          <w:tcPr>
            <w:tcW w:w="2411" w:type="dxa"/>
            <w:tcBorders>
              <w:top w:val="nil"/>
              <w:left w:val="nil"/>
              <w:bottom w:val="nil"/>
              <w:right w:val="nil"/>
            </w:tcBorders>
            <w:tcMar>
              <w:top w:w="45" w:type="dxa"/>
              <w:left w:w="45" w:type="dxa"/>
              <w:bottom w:w="45" w:type="dxa"/>
              <w:right w:w="45" w:type="dxa"/>
            </w:tcMar>
            <w:vAlign w:val="center"/>
          </w:tcPr>
          <w:p w14:paraId="3B4A7F8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Framework for multi-biomarker stratification in RIF diagnosis</w:t>
            </w:r>
          </w:p>
        </w:tc>
        <w:tc>
          <w:tcPr>
            <w:tcW w:w="1738" w:type="dxa"/>
            <w:tcBorders>
              <w:top w:val="nil"/>
              <w:left w:val="nil"/>
              <w:bottom w:val="nil"/>
              <w:right w:val="nil"/>
            </w:tcBorders>
            <w:tcMar>
              <w:top w:w="45" w:type="dxa"/>
              <w:left w:w="45" w:type="dxa"/>
              <w:bottom w:w="45" w:type="dxa"/>
              <w:right w:w="45" w:type="dxa"/>
            </w:tcMar>
            <w:vAlign w:val="center"/>
          </w:tcPr>
          <w:p w14:paraId="340A783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Literature synthesis</w:t>
            </w:r>
          </w:p>
        </w:tc>
        <w:tc>
          <w:tcPr>
            <w:tcW w:w="1364" w:type="dxa"/>
            <w:tcBorders>
              <w:top w:val="nil"/>
              <w:left w:val="nil"/>
              <w:bottom w:val="nil"/>
              <w:right w:val="nil"/>
            </w:tcBorders>
            <w:tcMar>
              <w:top w:w="45" w:type="dxa"/>
              <w:left w:w="45" w:type="dxa"/>
              <w:bottom w:w="45" w:type="dxa"/>
              <w:right w:w="45" w:type="dxa"/>
            </w:tcMar>
            <w:vAlign w:val="center"/>
          </w:tcPr>
          <w:p w14:paraId="10B2B59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Broad coverage; well-structured mechanistic framework</w:t>
            </w:r>
          </w:p>
        </w:tc>
        <w:tc>
          <w:tcPr>
            <w:tcW w:w="1380" w:type="dxa"/>
            <w:tcBorders>
              <w:top w:val="nil"/>
              <w:left w:val="nil"/>
              <w:bottom w:val="nil"/>
              <w:right w:val="nil"/>
            </w:tcBorders>
            <w:tcMar>
              <w:top w:w="45" w:type="dxa"/>
              <w:left w:w="45" w:type="dxa"/>
              <w:bottom w:w="45" w:type="dxa"/>
              <w:right w:w="45" w:type="dxa"/>
            </w:tcMar>
            <w:vAlign w:val="center"/>
          </w:tcPr>
          <w:p w14:paraId="32ED330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 PRISMA adherence; no quantitative synthesis</w:t>
            </w:r>
          </w:p>
        </w:tc>
      </w:tr>
      <w:tr w:rsidR="00D7116D" w:rsidRPr="00D578DF" w14:paraId="1A0470E6"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0310DA52"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Eker et al., 2021 [18]</w:t>
            </w:r>
          </w:p>
        </w:tc>
        <w:tc>
          <w:tcPr>
            <w:tcW w:w="1114" w:type="dxa"/>
            <w:tcBorders>
              <w:top w:val="nil"/>
              <w:left w:val="nil"/>
              <w:bottom w:val="nil"/>
              <w:right w:val="nil"/>
            </w:tcBorders>
            <w:tcMar>
              <w:top w:w="45" w:type="dxa"/>
              <w:left w:w="45" w:type="dxa"/>
              <w:bottom w:w="45" w:type="dxa"/>
              <w:right w:w="45" w:type="dxa"/>
            </w:tcMar>
            <w:vAlign w:val="center"/>
          </w:tcPr>
          <w:p w14:paraId="38941E8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Gynecology Obstetrics and Human Reproduction</w:t>
            </w:r>
          </w:p>
        </w:tc>
        <w:tc>
          <w:tcPr>
            <w:tcW w:w="1189" w:type="dxa"/>
            <w:tcBorders>
              <w:top w:val="nil"/>
              <w:left w:val="nil"/>
              <w:bottom w:val="nil"/>
              <w:right w:val="nil"/>
            </w:tcBorders>
            <w:tcMar>
              <w:top w:w="45" w:type="dxa"/>
              <w:left w:w="45" w:type="dxa"/>
              <w:bottom w:w="45" w:type="dxa"/>
              <w:right w:w="45" w:type="dxa"/>
            </w:tcMar>
            <w:vAlign w:val="center"/>
          </w:tcPr>
          <w:p w14:paraId="25651238"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Case-control</w:t>
            </w:r>
          </w:p>
        </w:tc>
        <w:tc>
          <w:tcPr>
            <w:tcW w:w="1055" w:type="dxa"/>
            <w:tcBorders>
              <w:top w:val="nil"/>
              <w:left w:val="nil"/>
              <w:bottom w:val="nil"/>
              <w:right w:val="nil"/>
            </w:tcBorders>
            <w:tcMar>
              <w:top w:w="45" w:type="dxa"/>
              <w:left w:w="45" w:type="dxa"/>
              <w:bottom w:w="45" w:type="dxa"/>
              <w:right w:w="45" w:type="dxa"/>
            </w:tcMar>
            <w:vAlign w:val="center"/>
          </w:tcPr>
          <w:p w14:paraId="3178B6A7"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25 RIF vs. 25 fertile controls</w:t>
            </w:r>
          </w:p>
        </w:tc>
        <w:tc>
          <w:tcPr>
            <w:tcW w:w="1787" w:type="dxa"/>
            <w:tcBorders>
              <w:top w:val="nil"/>
              <w:left w:val="nil"/>
              <w:bottom w:val="nil"/>
              <w:right w:val="nil"/>
            </w:tcBorders>
            <w:tcMar>
              <w:top w:w="45" w:type="dxa"/>
              <w:left w:w="45" w:type="dxa"/>
              <w:bottom w:w="45" w:type="dxa"/>
              <w:right w:w="45" w:type="dxa"/>
            </w:tcMar>
            <w:vAlign w:val="center"/>
          </w:tcPr>
          <w:p w14:paraId="7F03E301"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Higher endometrial mtDNA copy number (MT-ND1 and MT-CO2) in RIF; authors linked the increase to oxidative stress and impaired receptivity.</w:t>
            </w:r>
          </w:p>
        </w:tc>
        <w:tc>
          <w:tcPr>
            <w:tcW w:w="2411" w:type="dxa"/>
            <w:tcBorders>
              <w:top w:val="nil"/>
              <w:left w:val="nil"/>
              <w:bottom w:val="nil"/>
              <w:right w:val="nil"/>
            </w:tcBorders>
            <w:tcMar>
              <w:top w:w="45" w:type="dxa"/>
              <w:left w:w="45" w:type="dxa"/>
              <w:bottom w:w="45" w:type="dxa"/>
              <w:right w:w="45" w:type="dxa"/>
            </w:tcMar>
            <w:vAlign w:val="center"/>
          </w:tcPr>
          <w:p w14:paraId="5328A25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Potential mtDNA copy-number marker of endometrial receptivity; requires independent replication before clinical use.</w:t>
            </w:r>
          </w:p>
        </w:tc>
        <w:tc>
          <w:tcPr>
            <w:tcW w:w="1738" w:type="dxa"/>
            <w:tcBorders>
              <w:top w:val="nil"/>
              <w:left w:val="nil"/>
              <w:bottom w:val="nil"/>
              <w:right w:val="nil"/>
            </w:tcBorders>
            <w:tcMar>
              <w:top w:w="45" w:type="dxa"/>
              <w:left w:w="45" w:type="dxa"/>
              <w:bottom w:w="45" w:type="dxa"/>
              <w:right w:w="45" w:type="dxa"/>
            </w:tcMar>
            <w:vAlign w:val="center"/>
          </w:tcPr>
          <w:p w14:paraId="58E98D25"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Droplet digital PCR (</w:t>
            </w:r>
            <w:proofErr w:type="spellStart"/>
            <w:r w:rsidRPr="00D578DF">
              <w:rPr>
                <w:rFonts w:ascii="Times New Roman" w:hAnsi="Times New Roman" w:cs="Times New Roman"/>
                <w:sz w:val="20"/>
                <w:szCs w:val="20"/>
              </w:rPr>
              <w:t>ddPCR</w:t>
            </w:r>
            <w:proofErr w:type="spellEnd"/>
            <w:r w:rsidRPr="00D578DF">
              <w:rPr>
                <w:rFonts w:ascii="Times New Roman" w:hAnsi="Times New Roman" w:cs="Times New Roman"/>
                <w:sz w:val="20"/>
                <w:szCs w:val="20"/>
              </w:rPr>
              <w:t>) with GAPDH normalization</w:t>
            </w:r>
          </w:p>
        </w:tc>
        <w:tc>
          <w:tcPr>
            <w:tcW w:w="1364" w:type="dxa"/>
            <w:tcBorders>
              <w:top w:val="nil"/>
              <w:left w:val="nil"/>
              <w:bottom w:val="nil"/>
              <w:right w:val="nil"/>
            </w:tcBorders>
            <w:tcMar>
              <w:top w:w="45" w:type="dxa"/>
              <w:left w:w="45" w:type="dxa"/>
              <w:bottom w:w="45" w:type="dxa"/>
              <w:right w:w="45" w:type="dxa"/>
            </w:tcMar>
            <w:vAlign w:val="center"/>
          </w:tcPr>
          <w:p w14:paraId="12D8A999"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Direct endometrial DNA measurement in a defined RIF case-control cohort.</w:t>
            </w:r>
          </w:p>
        </w:tc>
        <w:tc>
          <w:tcPr>
            <w:tcW w:w="1380" w:type="dxa"/>
            <w:tcBorders>
              <w:top w:val="nil"/>
              <w:left w:val="nil"/>
              <w:bottom w:val="nil"/>
              <w:right w:val="nil"/>
            </w:tcBorders>
            <w:tcMar>
              <w:top w:w="45" w:type="dxa"/>
              <w:left w:w="45" w:type="dxa"/>
              <w:bottom w:w="45" w:type="dxa"/>
              <w:right w:w="45" w:type="dxa"/>
            </w:tcMar>
            <w:vAlign w:val="center"/>
          </w:tcPr>
          <w:p w14:paraId="1CEF0E4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Single-</w:t>
            </w:r>
            <w:proofErr w:type="spellStart"/>
            <w:r w:rsidRPr="00D578DF">
              <w:rPr>
                <w:rFonts w:ascii="Times New Roman" w:hAnsi="Times New Roman" w:cs="Times New Roman"/>
                <w:sz w:val="20"/>
                <w:szCs w:val="20"/>
              </w:rPr>
              <w:t>centre</w:t>
            </w:r>
            <w:proofErr w:type="spellEnd"/>
            <w:r w:rsidRPr="00D578DF">
              <w:rPr>
                <w:rFonts w:ascii="Times New Roman" w:hAnsi="Times New Roman" w:cs="Times New Roman"/>
                <w:sz w:val="20"/>
                <w:szCs w:val="20"/>
              </w:rPr>
              <w:t>; n=50 total; observational association; no independent replication.</w:t>
            </w:r>
          </w:p>
        </w:tc>
      </w:tr>
      <w:tr w:rsidR="00D7116D" w:rsidRPr="00D578DF" w14:paraId="12BB516C"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76BE1A0"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Zhang et al., 2021 [34]</w:t>
            </w:r>
          </w:p>
        </w:tc>
        <w:tc>
          <w:tcPr>
            <w:tcW w:w="1114" w:type="dxa"/>
            <w:tcBorders>
              <w:top w:val="nil"/>
              <w:left w:val="nil"/>
              <w:bottom w:val="nil"/>
              <w:right w:val="nil"/>
            </w:tcBorders>
            <w:tcMar>
              <w:top w:w="45" w:type="dxa"/>
              <w:left w:w="45" w:type="dxa"/>
              <w:bottom w:w="45" w:type="dxa"/>
              <w:right w:w="45" w:type="dxa"/>
            </w:tcMar>
            <w:vAlign w:val="center"/>
          </w:tcPr>
          <w:p w14:paraId="40BB883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Fertility and Sterility</w:t>
            </w:r>
          </w:p>
        </w:tc>
        <w:tc>
          <w:tcPr>
            <w:tcW w:w="1189" w:type="dxa"/>
            <w:tcBorders>
              <w:top w:val="nil"/>
              <w:left w:val="nil"/>
              <w:bottom w:val="nil"/>
              <w:right w:val="nil"/>
            </w:tcBorders>
            <w:tcMar>
              <w:top w:w="45" w:type="dxa"/>
              <w:left w:w="45" w:type="dxa"/>
              <w:bottom w:w="45" w:type="dxa"/>
              <w:right w:w="45" w:type="dxa"/>
            </w:tcMar>
            <w:vAlign w:val="center"/>
          </w:tcPr>
          <w:p w14:paraId="7564D488"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Transcriptomic diagnostic-model development (contextual)</w:t>
            </w:r>
          </w:p>
        </w:tc>
        <w:tc>
          <w:tcPr>
            <w:tcW w:w="1055" w:type="dxa"/>
            <w:tcBorders>
              <w:top w:val="nil"/>
              <w:left w:val="nil"/>
              <w:bottom w:val="nil"/>
              <w:right w:val="nil"/>
            </w:tcBorders>
            <w:tcMar>
              <w:top w:w="45" w:type="dxa"/>
              <w:left w:w="45" w:type="dxa"/>
              <w:bottom w:w="45" w:type="dxa"/>
              <w:right w:w="45" w:type="dxa"/>
            </w:tcMar>
            <w:vAlign w:val="center"/>
          </w:tcPr>
          <w:p w14:paraId="383A549A"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90 healthy fertile Chinese women</w:t>
            </w:r>
          </w:p>
        </w:tc>
        <w:tc>
          <w:tcPr>
            <w:tcW w:w="1787" w:type="dxa"/>
            <w:tcBorders>
              <w:top w:val="nil"/>
              <w:left w:val="nil"/>
              <w:bottom w:val="nil"/>
              <w:right w:val="nil"/>
            </w:tcBorders>
            <w:tcMar>
              <w:top w:w="45" w:type="dxa"/>
              <w:left w:w="45" w:type="dxa"/>
              <w:bottom w:w="45" w:type="dxa"/>
              <w:right w:w="45" w:type="dxa"/>
            </w:tcMar>
            <w:vAlign w:val="center"/>
          </w:tcPr>
          <w:p w14:paraId="30CC60B4"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166-gene endometrial dating predictor; 100% training accuracy and 85.19% four-class validation accuracy.</w:t>
            </w:r>
          </w:p>
        </w:tc>
        <w:tc>
          <w:tcPr>
            <w:tcW w:w="2411" w:type="dxa"/>
            <w:tcBorders>
              <w:top w:val="nil"/>
              <w:left w:val="nil"/>
              <w:bottom w:val="nil"/>
              <w:right w:val="nil"/>
            </w:tcBorders>
            <w:tcMar>
              <w:top w:w="45" w:type="dxa"/>
              <w:left w:w="45" w:type="dxa"/>
              <w:bottom w:w="45" w:type="dxa"/>
              <w:right w:w="45" w:type="dxa"/>
            </w:tcMar>
            <w:vAlign w:val="center"/>
          </w:tcPr>
          <w:p w14:paraId="2BA69B2E"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Population-specific WOI/endometrial-dating model; developed in fertile women and therefore contextual rather than direct RIF evidence.</w:t>
            </w:r>
          </w:p>
        </w:tc>
        <w:tc>
          <w:tcPr>
            <w:tcW w:w="1738" w:type="dxa"/>
            <w:tcBorders>
              <w:top w:val="nil"/>
              <w:left w:val="nil"/>
              <w:bottom w:val="nil"/>
              <w:right w:val="nil"/>
            </w:tcBorders>
            <w:tcMar>
              <w:top w:w="45" w:type="dxa"/>
              <w:left w:w="45" w:type="dxa"/>
              <w:bottom w:w="45" w:type="dxa"/>
              <w:right w:w="45" w:type="dxa"/>
            </w:tcMar>
            <w:vAlign w:val="center"/>
          </w:tcPr>
          <w:p w14:paraId="319BF99F"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mRNA-enriched RNA-seq + feature selection + SVM/KNN/RF modelling</w:t>
            </w:r>
          </w:p>
        </w:tc>
        <w:tc>
          <w:tcPr>
            <w:tcW w:w="1364" w:type="dxa"/>
            <w:tcBorders>
              <w:top w:val="nil"/>
              <w:left w:val="nil"/>
              <w:bottom w:val="nil"/>
              <w:right w:val="nil"/>
            </w:tcBorders>
            <w:tcMar>
              <w:top w:w="45" w:type="dxa"/>
              <w:left w:w="45" w:type="dxa"/>
              <w:bottom w:w="45" w:type="dxa"/>
              <w:right w:w="45" w:type="dxa"/>
            </w:tcMar>
            <w:vAlign w:val="center"/>
          </w:tcPr>
          <w:p w14:paraId="47C40E4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Independent validation subset within the cohort; transcriptomic timing model.</w:t>
            </w:r>
          </w:p>
        </w:tc>
        <w:tc>
          <w:tcPr>
            <w:tcW w:w="1380" w:type="dxa"/>
            <w:tcBorders>
              <w:top w:val="nil"/>
              <w:left w:val="nil"/>
              <w:bottom w:val="nil"/>
              <w:right w:val="nil"/>
            </w:tcBorders>
            <w:tcMar>
              <w:top w:w="45" w:type="dxa"/>
              <w:left w:w="45" w:type="dxa"/>
              <w:bottom w:w="45" w:type="dxa"/>
              <w:right w:w="45" w:type="dxa"/>
            </w:tcMar>
            <w:vAlign w:val="center"/>
          </w:tcPr>
          <w:p w14:paraId="476542AA"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Not developed in RIF/infertile women; young, normal-BMI, ethnically homogeneous cohort; external validation required.</w:t>
            </w:r>
          </w:p>
        </w:tc>
      </w:tr>
      <w:tr w:rsidR="00D7116D" w:rsidRPr="00D578DF" w14:paraId="1DD4CC25"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72F51A9"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Devesa-Peiro et al., 2020 [33]</w:t>
            </w:r>
          </w:p>
        </w:tc>
        <w:tc>
          <w:tcPr>
            <w:tcW w:w="1114" w:type="dxa"/>
            <w:tcBorders>
              <w:top w:val="nil"/>
              <w:left w:val="nil"/>
              <w:bottom w:val="nil"/>
              <w:right w:val="nil"/>
            </w:tcBorders>
            <w:tcMar>
              <w:top w:w="45" w:type="dxa"/>
              <w:left w:w="45" w:type="dxa"/>
              <w:bottom w:w="45" w:type="dxa"/>
              <w:right w:w="45" w:type="dxa"/>
            </w:tcMar>
            <w:vAlign w:val="center"/>
          </w:tcPr>
          <w:p w14:paraId="2D5C876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Fertility and Sterility</w:t>
            </w:r>
          </w:p>
        </w:tc>
        <w:tc>
          <w:tcPr>
            <w:tcW w:w="1189" w:type="dxa"/>
            <w:tcBorders>
              <w:top w:val="nil"/>
              <w:left w:val="nil"/>
              <w:bottom w:val="nil"/>
              <w:right w:val="nil"/>
            </w:tcBorders>
            <w:tcMar>
              <w:top w:w="45" w:type="dxa"/>
              <w:left w:w="45" w:type="dxa"/>
              <w:bottom w:w="45" w:type="dxa"/>
              <w:right w:w="45" w:type="dxa"/>
            </w:tcMar>
            <w:vAlign w:val="center"/>
          </w:tcPr>
          <w:p w14:paraId="51C441E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Systematic Review</w:t>
            </w:r>
          </w:p>
        </w:tc>
        <w:tc>
          <w:tcPr>
            <w:tcW w:w="1055" w:type="dxa"/>
            <w:tcBorders>
              <w:top w:val="nil"/>
              <w:left w:val="nil"/>
              <w:bottom w:val="nil"/>
              <w:right w:val="nil"/>
            </w:tcBorders>
            <w:tcMar>
              <w:top w:w="45" w:type="dxa"/>
              <w:left w:w="45" w:type="dxa"/>
              <w:bottom w:w="45" w:type="dxa"/>
              <w:right w:w="45" w:type="dxa"/>
            </w:tcMar>
            <w:vAlign w:val="center"/>
          </w:tcPr>
          <w:p w14:paraId="71221F6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studies</w:t>
            </w:r>
          </w:p>
        </w:tc>
        <w:tc>
          <w:tcPr>
            <w:tcW w:w="1787" w:type="dxa"/>
            <w:tcBorders>
              <w:top w:val="nil"/>
              <w:left w:val="nil"/>
              <w:bottom w:val="nil"/>
              <w:right w:val="nil"/>
            </w:tcBorders>
            <w:tcMar>
              <w:top w:w="45" w:type="dxa"/>
              <w:left w:w="45" w:type="dxa"/>
              <w:bottom w:w="45" w:type="dxa"/>
              <w:right w:w="45" w:type="dxa"/>
            </w:tcMar>
            <w:vAlign w:val="center"/>
          </w:tcPr>
          <w:p w14:paraId="451C7BE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Dysregulation of cell adhesion, immune, and angiogenic gene networks in endometrial disorders including RIF</w:t>
            </w:r>
          </w:p>
        </w:tc>
        <w:tc>
          <w:tcPr>
            <w:tcW w:w="2411" w:type="dxa"/>
            <w:tcBorders>
              <w:top w:val="nil"/>
              <w:left w:val="nil"/>
              <w:bottom w:val="nil"/>
              <w:right w:val="nil"/>
            </w:tcBorders>
            <w:tcMar>
              <w:top w:w="45" w:type="dxa"/>
              <w:left w:w="45" w:type="dxa"/>
              <w:bottom w:w="45" w:type="dxa"/>
              <w:right w:w="45" w:type="dxa"/>
            </w:tcMar>
            <w:vAlign w:val="center"/>
          </w:tcPr>
          <w:p w14:paraId="70C9342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Molecular targets for therapeutic intervention in uterine factor infertility</w:t>
            </w:r>
          </w:p>
        </w:tc>
        <w:tc>
          <w:tcPr>
            <w:tcW w:w="1738" w:type="dxa"/>
            <w:tcBorders>
              <w:top w:val="nil"/>
              <w:left w:val="nil"/>
              <w:bottom w:val="nil"/>
              <w:right w:val="nil"/>
            </w:tcBorders>
            <w:tcMar>
              <w:top w:w="45" w:type="dxa"/>
              <w:left w:w="45" w:type="dxa"/>
              <w:bottom w:w="45" w:type="dxa"/>
              <w:right w:w="45" w:type="dxa"/>
            </w:tcMar>
            <w:vAlign w:val="center"/>
          </w:tcPr>
          <w:p w14:paraId="71E214E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Literature synthesis (AMSTAR-2)</w:t>
            </w:r>
          </w:p>
        </w:tc>
        <w:tc>
          <w:tcPr>
            <w:tcW w:w="1364" w:type="dxa"/>
            <w:tcBorders>
              <w:top w:val="nil"/>
              <w:left w:val="nil"/>
              <w:bottom w:val="nil"/>
              <w:right w:val="nil"/>
            </w:tcBorders>
            <w:tcMar>
              <w:top w:w="45" w:type="dxa"/>
              <w:left w:w="45" w:type="dxa"/>
              <w:bottom w:w="45" w:type="dxa"/>
              <w:right w:w="45" w:type="dxa"/>
            </w:tcMar>
            <w:vAlign w:val="center"/>
          </w:tcPr>
          <w:p w14:paraId="0948DB3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Multi-disorder coverage; structured review methodology</w:t>
            </w:r>
          </w:p>
        </w:tc>
        <w:tc>
          <w:tcPr>
            <w:tcW w:w="1380" w:type="dxa"/>
            <w:tcBorders>
              <w:top w:val="nil"/>
              <w:left w:val="nil"/>
              <w:bottom w:val="nil"/>
              <w:right w:val="nil"/>
            </w:tcBorders>
            <w:tcMar>
              <w:top w:w="45" w:type="dxa"/>
              <w:left w:w="45" w:type="dxa"/>
              <w:bottom w:w="45" w:type="dxa"/>
              <w:right w:w="45" w:type="dxa"/>
            </w:tcMar>
            <w:vAlign w:val="center"/>
          </w:tcPr>
          <w:p w14:paraId="4B0F1CE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Heterogeneous included studies; no meta-analysis</w:t>
            </w:r>
          </w:p>
        </w:tc>
      </w:tr>
      <w:tr w:rsidR="00D7116D" w:rsidRPr="00D578DF" w14:paraId="629801B7"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07A87572"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Sui et al., 2023 [11]</w:t>
            </w:r>
          </w:p>
        </w:tc>
        <w:tc>
          <w:tcPr>
            <w:tcW w:w="1114" w:type="dxa"/>
            <w:tcBorders>
              <w:top w:val="nil"/>
              <w:left w:val="nil"/>
              <w:bottom w:val="nil"/>
              <w:right w:val="nil"/>
            </w:tcBorders>
            <w:tcMar>
              <w:top w:w="45" w:type="dxa"/>
              <w:left w:w="45" w:type="dxa"/>
              <w:bottom w:w="45" w:type="dxa"/>
              <w:right w:w="45" w:type="dxa"/>
            </w:tcMar>
            <w:vAlign w:val="center"/>
          </w:tcPr>
          <w:p w14:paraId="64AE4D4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and Developmental Medicine</w:t>
            </w:r>
          </w:p>
        </w:tc>
        <w:tc>
          <w:tcPr>
            <w:tcW w:w="1189" w:type="dxa"/>
            <w:tcBorders>
              <w:top w:val="nil"/>
              <w:left w:val="nil"/>
              <w:bottom w:val="nil"/>
              <w:right w:val="nil"/>
            </w:tcBorders>
            <w:tcMar>
              <w:top w:w="45" w:type="dxa"/>
              <w:left w:w="45" w:type="dxa"/>
              <w:bottom w:w="45" w:type="dxa"/>
              <w:right w:w="45" w:type="dxa"/>
            </w:tcMar>
            <w:vAlign w:val="center"/>
          </w:tcPr>
          <w:p w14:paraId="0DD6DBA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w:t>
            </w:r>
          </w:p>
        </w:tc>
        <w:tc>
          <w:tcPr>
            <w:tcW w:w="1055" w:type="dxa"/>
            <w:tcBorders>
              <w:top w:val="nil"/>
              <w:left w:val="nil"/>
              <w:bottom w:val="nil"/>
              <w:right w:val="nil"/>
            </w:tcBorders>
            <w:tcMar>
              <w:top w:w="45" w:type="dxa"/>
              <w:left w:w="45" w:type="dxa"/>
              <w:bottom w:w="45" w:type="dxa"/>
              <w:right w:w="45" w:type="dxa"/>
            </w:tcMar>
            <w:vAlign w:val="center"/>
          </w:tcPr>
          <w:p w14:paraId="06B681F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 (pooled)</w:t>
            </w:r>
          </w:p>
        </w:tc>
        <w:tc>
          <w:tcPr>
            <w:tcW w:w="1787" w:type="dxa"/>
            <w:tcBorders>
              <w:top w:val="nil"/>
              <w:left w:val="nil"/>
              <w:bottom w:val="nil"/>
              <w:right w:val="nil"/>
            </w:tcBorders>
            <w:tcMar>
              <w:top w:w="45" w:type="dxa"/>
              <w:left w:w="45" w:type="dxa"/>
              <w:bottom w:w="45" w:type="dxa"/>
              <w:right w:w="45" w:type="dxa"/>
            </w:tcMar>
            <w:vAlign w:val="center"/>
          </w:tcPr>
          <w:p w14:paraId="22A4E62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Hub genes: SPP1, IGFBP1, CXCL8, S100A9; immune and adhesion pathways enriched</w:t>
            </w:r>
          </w:p>
        </w:tc>
        <w:tc>
          <w:tcPr>
            <w:tcW w:w="2411" w:type="dxa"/>
            <w:tcBorders>
              <w:top w:val="nil"/>
              <w:left w:val="nil"/>
              <w:bottom w:val="nil"/>
              <w:right w:val="nil"/>
            </w:tcBorders>
            <w:tcMar>
              <w:top w:w="45" w:type="dxa"/>
              <w:left w:w="45" w:type="dxa"/>
              <w:bottom w:w="45" w:type="dxa"/>
              <w:right w:w="45" w:type="dxa"/>
            </w:tcMar>
            <w:vAlign w:val="center"/>
          </w:tcPr>
          <w:p w14:paraId="2B1F397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Hub gene panel as candidate diagnostic targets; immune pathway therapy entry points</w:t>
            </w:r>
          </w:p>
        </w:tc>
        <w:tc>
          <w:tcPr>
            <w:tcW w:w="1738" w:type="dxa"/>
            <w:tcBorders>
              <w:top w:val="nil"/>
              <w:left w:val="nil"/>
              <w:bottom w:val="nil"/>
              <w:right w:val="nil"/>
            </w:tcBorders>
            <w:tcMar>
              <w:top w:w="45" w:type="dxa"/>
              <w:left w:w="45" w:type="dxa"/>
              <w:bottom w:w="45" w:type="dxa"/>
              <w:right w:w="45" w:type="dxa"/>
            </w:tcMar>
            <w:vAlign w:val="center"/>
          </w:tcPr>
          <w:p w14:paraId="67EB8FD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meta-analysis; WGCNA; KEGG/GO enrichment</w:t>
            </w:r>
          </w:p>
        </w:tc>
        <w:tc>
          <w:tcPr>
            <w:tcW w:w="1364" w:type="dxa"/>
            <w:tcBorders>
              <w:top w:val="nil"/>
              <w:left w:val="nil"/>
              <w:bottom w:val="nil"/>
              <w:right w:val="nil"/>
            </w:tcBorders>
            <w:tcMar>
              <w:top w:w="45" w:type="dxa"/>
              <w:left w:w="45" w:type="dxa"/>
              <w:bottom w:w="45" w:type="dxa"/>
              <w:right w:w="45" w:type="dxa"/>
            </w:tcMar>
            <w:vAlign w:val="center"/>
          </w:tcPr>
          <w:p w14:paraId="52FB467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Multi-dataset integration; comprehensive pathway analysis</w:t>
            </w:r>
          </w:p>
        </w:tc>
        <w:tc>
          <w:tcPr>
            <w:tcW w:w="1380" w:type="dxa"/>
            <w:tcBorders>
              <w:top w:val="nil"/>
              <w:left w:val="nil"/>
              <w:bottom w:val="nil"/>
              <w:right w:val="nil"/>
            </w:tcBorders>
            <w:tcMar>
              <w:top w:w="45" w:type="dxa"/>
              <w:left w:w="45" w:type="dxa"/>
              <w:bottom w:w="45" w:type="dxa"/>
              <w:right w:w="45" w:type="dxa"/>
            </w:tcMar>
            <w:vAlign w:val="center"/>
          </w:tcPr>
          <w:p w14:paraId="0CCAFEA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batch effects; no clinical validation cohort</w:t>
            </w:r>
          </w:p>
        </w:tc>
      </w:tr>
      <w:tr w:rsidR="00D7116D" w:rsidRPr="00D578DF" w14:paraId="59B289E0"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7C86BA65"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Lin et al., 2025 [73]</w:t>
            </w:r>
          </w:p>
        </w:tc>
        <w:tc>
          <w:tcPr>
            <w:tcW w:w="1114" w:type="dxa"/>
            <w:tcBorders>
              <w:top w:val="nil"/>
              <w:left w:val="nil"/>
              <w:bottom w:val="nil"/>
              <w:right w:val="nil"/>
            </w:tcBorders>
            <w:tcMar>
              <w:top w:w="45" w:type="dxa"/>
              <w:left w:w="45" w:type="dxa"/>
              <w:bottom w:w="45" w:type="dxa"/>
              <w:right w:w="45" w:type="dxa"/>
            </w:tcMar>
            <w:vAlign w:val="center"/>
          </w:tcPr>
          <w:p w14:paraId="57A9AAA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and Developmental Medicine</w:t>
            </w:r>
          </w:p>
        </w:tc>
        <w:tc>
          <w:tcPr>
            <w:tcW w:w="1189" w:type="dxa"/>
            <w:tcBorders>
              <w:top w:val="nil"/>
              <w:left w:val="nil"/>
              <w:bottom w:val="nil"/>
              <w:right w:val="nil"/>
            </w:tcBorders>
            <w:tcMar>
              <w:top w:w="45" w:type="dxa"/>
              <w:left w:w="45" w:type="dxa"/>
              <w:bottom w:w="45" w:type="dxa"/>
              <w:right w:w="45" w:type="dxa"/>
            </w:tcMar>
            <w:vAlign w:val="center"/>
          </w:tcPr>
          <w:p w14:paraId="2303B8B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ML / Bioinformatics</w:t>
            </w:r>
          </w:p>
        </w:tc>
        <w:tc>
          <w:tcPr>
            <w:tcW w:w="1055" w:type="dxa"/>
            <w:tcBorders>
              <w:top w:val="nil"/>
              <w:left w:val="nil"/>
              <w:bottom w:val="nil"/>
              <w:right w:val="nil"/>
            </w:tcBorders>
            <w:tcMar>
              <w:top w:w="45" w:type="dxa"/>
              <w:left w:w="45" w:type="dxa"/>
              <w:bottom w:w="45" w:type="dxa"/>
              <w:right w:w="45" w:type="dxa"/>
            </w:tcMar>
            <w:vAlign w:val="center"/>
          </w:tcPr>
          <w:p w14:paraId="60D2BA6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w:t>
            </w:r>
          </w:p>
        </w:tc>
        <w:tc>
          <w:tcPr>
            <w:tcW w:w="1787" w:type="dxa"/>
            <w:tcBorders>
              <w:top w:val="nil"/>
              <w:left w:val="nil"/>
              <w:bottom w:val="nil"/>
              <w:right w:val="nil"/>
            </w:tcBorders>
            <w:tcMar>
              <w:top w:w="45" w:type="dxa"/>
              <w:left w:w="45" w:type="dxa"/>
              <w:bottom w:w="45" w:type="dxa"/>
              <w:right w:w="45" w:type="dxa"/>
            </w:tcMar>
            <w:vAlign w:val="center"/>
          </w:tcPr>
          <w:p w14:paraId="0F45941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5-gene immune biomarker panel (AUC 0.82); LASSO + random forest feature selection</w:t>
            </w:r>
          </w:p>
        </w:tc>
        <w:tc>
          <w:tcPr>
            <w:tcW w:w="2411" w:type="dxa"/>
            <w:tcBorders>
              <w:top w:val="nil"/>
              <w:left w:val="nil"/>
              <w:bottom w:val="nil"/>
              <w:right w:val="nil"/>
            </w:tcBorders>
            <w:tcMar>
              <w:top w:w="45" w:type="dxa"/>
              <w:left w:w="45" w:type="dxa"/>
              <w:bottom w:w="45" w:type="dxa"/>
              <w:right w:w="45" w:type="dxa"/>
            </w:tcMar>
            <w:vAlign w:val="center"/>
          </w:tcPr>
          <w:p w14:paraId="7B4E7F8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ML-based immune biomarker panel for non-invasive RIF risk stratification</w:t>
            </w:r>
          </w:p>
        </w:tc>
        <w:tc>
          <w:tcPr>
            <w:tcW w:w="1738" w:type="dxa"/>
            <w:tcBorders>
              <w:top w:val="nil"/>
              <w:left w:val="nil"/>
              <w:bottom w:val="nil"/>
              <w:right w:val="nil"/>
            </w:tcBorders>
            <w:tcMar>
              <w:top w:w="45" w:type="dxa"/>
              <w:left w:w="45" w:type="dxa"/>
              <w:bottom w:w="45" w:type="dxa"/>
              <w:right w:w="45" w:type="dxa"/>
            </w:tcMar>
            <w:vAlign w:val="center"/>
          </w:tcPr>
          <w:p w14:paraId="0D7E799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LASSO, Random Forest, SVM; GEO datasets</w:t>
            </w:r>
          </w:p>
        </w:tc>
        <w:tc>
          <w:tcPr>
            <w:tcW w:w="1364" w:type="dxa"/>
            <w:tcBorders>
              <w:top w:val="nil"/>
              <w:left w:val="nil"/>
              <w:bottom w:val="nil"/>
              <w:right w:val="nil"/>
            </w:tcBorders>
            <w:tcMar>
              <w:top w:w="45" w:type="dxa"/>
              <w:left w:w="45" w:type="dxa"/>
              <w:bottom w:w="45" w:type="dxa"/>
              <w:right w:w="45" w:type="dxa"/>
            </w:tcMar>
            <w:vAlign w:val="center"/>
          </w:tcPr>
          <w:p w14:paraId="480A735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Novel ML approach; robust feature selection; AUC &gt; 0.80</w:t>
            </w:r>
          </w:p>
        </w:tc>
        <w:tc>
          <w:tcPr>
            <w:tcW w:w="1380" w:type="dxa"/>
            <w:tcBorders>
              <w:top w:val="nil"/>
              <w:left w:val="nil"/>
              <w:bottom w:val="nil"/>
              <w:right w:val="nil"/>
            </w:tcBorders>
            <w:tcMar>
              <w:top w:w="45" w:type="dxa"/>
              <w:left w:w="45" w:type="dxa"/>
              <w:bottom w:w="45" w:type="dxa"/>
              <w:right w:w="45" w:type="dxa"/>
            </w:tcMar>
            <w:vAlign w:val="center"/>
          </w:tcPr>
          <w:p w14:paraId="53F784E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Prospective validation absent; GEO-derived only</w:t>
            </w:r>
          </w:p>
        </w:tc>
      </w:tr>
      <w:tr w:rsidR="00D7116D" w:rsidRPr="00D578DF" w14:paraId="3AEC67E0"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1604F29"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Li et al., 2023 [14]</w:t>
            </w:r>
          </w:p>
        </w:tc>
        <w:tc>
          <w:tcPr>
            <w:tcW w:w="1114" w:type="dxa"/>
            <w:tcBorders>
              <w:top w:val="nil"/>
              <w:left w:val="nil"/>
              <w:bottom w:val="nil"/>
              <w:right w:val="nil"/>
            </w:tcBorders>
            <w:tcMar>
              <w:top w:w="45" w:type="dxa"/>
              <w:left w:w="45" w:type="dxa"/>
              <w:bottom w:w="45" w:type="dxa"/>
              <w:right w:w="45" w:type="dxa"/>
            </w:tcMar>
            <w:vAlign w:val="center"/>
          </w:tcPr>
          <w:p w14:paraId="56C9AA3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Biomolecules</w:t>
            </w:r>
          </w:p>
        </w:tc>
        <w:tc>
          <w:tcPr>
            <w:tcW w:w="1189" w:type="dxa"/>
            <w:tcBorders>
              <w:top w:val="nil"/>
              <w:left w:val="nil"/>
              <w:bottom w:val="nil"/>
              <w:right w:val="nil"/>
            </w:tcBorders>
            <w:tcMar>
              <w:top w:w="45" w:type="dxa"/>
              <w:left w:w="45" w:type="dxa"/>
              <w:bottom w:w="45" w:type="dxa"/>
              <w:right w:w="45" w:type="dxa"/>
            </w:tcMar>
            <w:vAlign w:val="center"/>
          </w:tcPr>
          <w:p w14:paraId="1194D7E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 + IHC</w:t>
            </w:r>
          </w:p>
        </w:tc>
        <w:tc>
          <w:tcPr>
            <w:tcW w:w="1055" w:type="dxa"/>
            <w:tcBorders>
              <w:top w:val="nil"/>
              <w:left w:val="nil"/>
              <w:bottom w:val="nil"/>
              <w:right w:val="nil"/>
            </w:tcBorders>
            <w:tcMar>
              <w:top w:w="45" w:type="dxa"/>
              <w:left w:w="45" w:type="dxa"/>
              <w:bottom w:w="45" w:type="dxa"/>
              <w:right w:w="45" w:type="dxa"/>
            </w:tcMar>
            <w:vAlign w:val="center"/>
          </w:tcPr>
          <w:p w14:paraId="162B886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+ 20 clinical samples</w:t>
            </w:r>
          </w:p>
        </w:tc>
        <w:tc>
          <w:tcPr>
            <w:tcW w:w="1787" w:type="dxa"/>
            <w:tcBorders>
              <w:top w:val="nil"/>
              <w:left w:val="nil"/>
              <w:bottom w:val="nil"/>
              <w:right w:val="nil"/>
            </w:tcBorders>
            <w:tcMar>
              <w:top w:w="45" w:type="dxa"/>
              <w:left w:w="45" w:type="dxa"/>
              <w:bottom w:w="45" w:type="dxa"/>
              <w:right w:w="45" w:type="dxa"/>
            </w:tcMar>
            <w:vAlign w:val="center"/>
          </w:tcPr>
          <w:p w14:paraId="1F1D3FF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FOXO1, CD44, MMP9 as immune microenvironment biomarkers; CIBERSORT immune infiltration analysis</w:t>
            </w:r>
          </w:p>
        </w:tc>
        <w:tc>
          <w:tcPr>
            <w:tcW w:w="2411" w:type="dxa"/>
            <w:tcBorders>
              <w:top w:val="nil"/>
              <w:left w:val="nil"/>
              <w:bottom w:val="nil"/>
              <w:right w:val="nil"/>
            </w:tcBorders>
            <w:tcMar>
              <w:top w:w="45" w:type="dxa"/>
              <w:left w:w="45" w:type="dxa"/>
              <w:bottom w:w="45" w:type="dxa"/>
              <w:right w:w="45" w:type="dxa"/>
            </w:tcMar>
            <w:vAlign w:val="center"/>
          </w:tcPr>
          <w:p w14:paraId="402CEC4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Immune microenvironment-based patient stratification for targeted RIF therapy</w:t>
            </w:r>
          </w:p>
        </w:tc>
        <w:tc>
          <w:tcPr>
            <w:tcW w:w="1738" w:type="dxa"/>
            <w:tcBorders>
              <w:top w:val="nil"/>
              <w:left w:val="nil"/>
              <w:bottom w:val="nil"/>
              <w:right w:val="nil"/>
            </w:tcBorders>
            <w:tcMar>
              <w:top w:w="45" w:type="dxa"/>
              <w:left w:w="45" w:type="dxa"/>
              <w:bottom w:w="45" w:type="dxa"/>
              <w:right w:w="45" w:type="dxa"/>
            </w:tcMar>
            <w:vAlign w:val="center"/>
          </w:tcPr>
          <w:p w14:paraId="16716D6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CIBERSORT; IHC; GEO meta-analysis</w:t>
            </w:r>
          </w:p>
        </w:tc>
        <w:tc>
          <w:tcPr>
            <w:tcW w:w="1364" w:type="dxa"/>
            <w:tcBorders>
              <w:top w:val="nil"/>
              <w:left w:val="nil"/>
              <w:bottom w:val="nil"/>
              <w:right w:val="nil"/>
            </w:tcBorders>
            <w:tcMar>
              <w:top w:w="45" w:type="dxa"/>
              <w:left w:w="45" w:type="dxa"/>
              <w:bottom w:w="45" w:type="dxa"/>
              <w:right w:w="45" w:type="dxa"/>
            </w:tcMar>
            <w:vAlign w:val="center"/>
          </w:tcPr>
          <w:p w14:paraId="187F142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IHC validation adds experimental evidence; immune microenvironment focus</w:t>
            </w:r>
          </w:p>
        </w:tc>
        <w:tc>
          <w:tcPr>
            <w:tcW w:w="1380" w:type="dxa"/>
            <w:tcBorders>
              <w:top w:val="nil"/>
              <w:left w:val="nil"/>
              <w:bottom w:val="nil"/>
              <w:right w:val="nil"/>
            </w:tcBorders>
            <w:tcMar>
              <w:top w:w="45" w:type="dxa"/>
              <w:left w:w="45" w:type="dxa"/>
              <w:bottom w:w="45" w:type="dxa"/>
              <w:right w:w="45" w:type="dxa"/>
            </w:tcMar>
            <w:vAlign w:val="center"/>
          </w:tcPr>
          <w:p w14:paraId="5E35398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Small validation cohort; single-marker validation</w:t>
            </w:r>
          </w:p>
        </w:tc>
      </w:tr>
      <w:tr w:rsidR="00D7116D" w:rsidRPr="00D578DF" w14:paraId="5807BB86"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1A59DDEF"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Hakimi et al., 2025 [15]</w:t>
            </w:r>
          </w:p>
        </w:tc>
        <w:tc>
          <w:tcPr>
            <w:tcW w:w="1114" w:type="dxa"/>
            <w:tcBorders>
              <w:top w:val="nil"/>
              <w:left w:val="nil"/>
              <w:bottom w:val="nil"/>
              <w:right w:val="nil"/>
            </w:tcBorders>
            <w:tcMar>
              <w:top w:w="45" w:type="dxa"/>
              <w:left w:w="45" w:type="dxa"/>
              <w:bottom w:w="45" w:type="dxa"/>
              <w:right w:w="45" w:type="dxa"/>
            </w:tcMar>
            <w:vAlign w:val="center"/>
          </w:tcPr>
          <w:p w14:paraId="04A3E05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Middle East Fertility Society Journal</w:t>
            </w:r>
          </w:p>
        </w:tc>
        <w:tc>
          <w:tcPr>
            <w:tcW w:w="1189" w:type="dxa"/>
            <w:tcBorders>
              <w:top w:val="nil"/>
              <w:left w:val="nil"/>
              <w:bottom w:val="nil"/>
              <w:right w:val="nil"/>
            </w:tcBorders>
            <w:tcMar>
              <w:top w:w="45" w:type="dxa"/>
              <w:left w:w="45" w:type="dxa"/>
              <w:bottom w:w="45" w:type="dxa"/>
              <w:right w:w="45" w:type="dxa"/>
            </w:tcMar>
            <w:vAlign w:val="center"/>
          </w:tcPr>
          <w:p w14:paraId="1DE1F3C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 (multi-disease)</w:t>
            </w:r>
          </w:p>
        </w:tc>
        <w:tc>
          <w:tcPr>
            <w:tcW w:w="1055" w:type="dxa"/>
            <w:tcBorders>
              <w:top w:val="nil"/>
              <w:left w:val="nil"/>
              <w:bottom w:val="nil"/>
              <w:right w:val="nil"/>
            </w:tcBorders>
            <w:tcMar>
              <w:top w:w="45" w:type="dxa"/>
              <w:left w:w="45" w:type="dxa"/>
              <w:bottom w:w="45" w:type="dxa"/>
              <w:right w:w="45" w:type="dxa"/>
            </w:tcMar>
            <w:vAlign w:val="center"/>
          </w:tcPr>
          <w:p w14:paraId="0052A79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w:t>
            </w:r>
          </w:p>
        </w:tc>
        <w:tc>
          <w:tcPr>
            <w:tcW w:w="1787" w:type="dxa"/>
            <w:tcBorders>
              <w:top w:val="nil"/>
              <w:left w:val="nil"/>
              <w:bottom w:val="nil"/>
              <w:right w:val="nil"/>
            </w:tcBorders>
            <w:tcMar>
              <w:top w:w="45" w:type="dxa"/>
              <w:left w:w="45" w:type="dxa"/>
              <w:bottom w:w="45" w:type="dxa"/>
              <w:right w:w="45" w:type="dxa"/>
            </w:tcMar>
            <w:vAlign w:val="center"/>
          </w:tcPr>
          <w:p w14:paraId="7DF2F99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Shared hub genes between endometriosis and RIF: FN1, TIMP1, COL1A1; PPI network analysis</w:t>
            </w:r>
          </w:p>
        </w:tc>
        <w:tc>
          <w:tcPr>
            <w:tcW w:w="2411" w:type="dxa"/>
            <w:tcBorders>
              <w:top w:val="nil"/>
              <w:left w:val="nil"/>
              <w:bottom w:val="nil"/>
              <w:right w:val="nil"/>
            </w:tcBorders>
            <w:tcMar>
              <w:top w:w="45" w:type="dxa"/>
              <w:left w:w="45" w:type="dxa"/>
              <w:bottom w:w="45" w:type="dxa"/>
              <w:right w:w="45" w:type="dxa"/>
            </w:tcMar>
            <w:vAlign w:val="center"/>
          </w:tcPr>
          <w:p w14:paraId="6D5E954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Cross-disease molecular targets with shared therapeutic potential for endometriosis-associated RIF</w:t>
            </w:r>
          </w:p>
        </w:tc>
        <w:tc>
          <w:tcPr>
            <w:tcW w:w="1738" w:type="dxa"/>
            <w:tcBorders>
              <w:top w:val="nil"/>
              <w:left w:val="nil"/>
              <w:bottom w:val="nil"/>
              <w:right w:val="nil"/>
            </w:tcBorders>
            <w:tcMar>
              <w:top w:w="45" w:type="dxa"/>
              <w:left w:w="45" w:type="dxa"/>
              <w:bottom w:w="45" w:type="dxa"/>
              <w:right w:w="45" w:type="dxa"/>
            </w:tcMar>
            <w:vAlign w:val="center"/>
          </w:tcPr>
          <w:p w14:paraId="609201F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PPI network; GEO; GO/KEGG</w:t>
            </w:r>
          </w:p>
        </w:tc>
        <w:tc>
          <w:tcPr>
            <w:tcW w:w="1364" w:type="dxa"/>
            <w:tcBorders>
              <w:top w:val="nil"/>
              <w:left w:val="nil"/>
              <w:bottom w:val="nil"/>
              <w:right w:val="nil"/>
            </w:tcBorders>
            <w:tcMar>
              <w:top w:w="45" w:type="dxa"/>
              <w:left w:w="45" w:type="dxa"/>
              <w:bottom w:w="45" w:type="dxa"/>
              <w:right w:w="45" w:type="dxa"/>
            </w:tcMar>
            <w:vAlign w:val="center"/>
          </w:tcPr>
          <w:p w14:paraId="5C63131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Novel cross-disease lens; PPI network analysis</w:t>
            </w:r>
          </w:p>
        </w:tc>
        <w:tc>
          <w:tcPr>
            <w:tcW w:w="1380" w:type="dxa"/>
            <w:tcBorders>
              <w:top w:val="nil"/>
              <w:left w:val="nil"/>
              <w:bottom w:val="nil"/>
              <w:right w:val="nil"/>
            </w:tcBorders>
            <w:tcMar>
              <w:top w:w="45" w:type="dxa"/>
              <w:left w:w="45" w:type="dxa"/>
              <w:bottom w:w="45" w:type="dxa"/>
              <w:right w:w="45" w:type="dxa"/>
            </w:tcMar>
            <w:vAlign w:val="center"/>
          </w:tcPr>
          <w:p w14:paraId="5FE10EF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 experimental validation; correlation-based inference</w:t>
            </w:r>
          </w:p>
        </w:tc>
      </w:tr>
      <w:tr w:rsidR="00D7116D" w:rsidRPr="00D578DF" w14:paraId="76C1B71F"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BB1DA72"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t>Abuhassan</w:t>
            </w:r>
            <w:proofErr w:type="spellEnd"/>
            <w:r w:rsidRPr="00D578DF">
              <w:rPr>
                <w:rFonts w:ascii="Times New Roman" w:hAnsi="Times New Roman" w:cs="Times New Roman"/>
                <w:color w:val="000000"/>
                <w:sz w:val="20"/>
                <w:szCs w:val="20"/>
              </w:rPr>
              <w:t xml:space="preserve"> Q et al., 2026 [10]</w:t>
            </w:r>
          </w:p>
        </w:tc>
        <w:tc>
          <w:tcPr>
            <w:tcW w:w="1114" w:type="dxa"/>
            <w:tcBorders>
              <w:top w:val="nil"/>
              <w:left w:val="nil"/>
              <w:bottom w:val="nil"/>
              <w:right w:val="nil"/>
            </w:tcBorders>
            <w:tcMar>
              <w:top w:w="45" w:type="dxa"/>
              <w:left w:w="45" w:type="dxa"/>
              <w:bottom w:w="45" w:type="dxa"/>
              <w:right w:w="45" w:type="dxa"/>
            </w:tcMar>
            <w:vAlign w:val="center"/>
          </w:tcPr>
          <w:p w14:paraId="31162E4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Assisted Reproduction and Genetics</w:t>
            </w:r>
          </w:p>
        </w:tc>
        <w:tc>
          <w:tcPr>
            <w:tcW w:w="1189" w:type="dxa"/>
            <w:tcBorders>
              <w:top w:val="nil"/>
              <w:left w:val="nil"/>
              <w:bottom w:val="nil"/>
              <w:right w:val="nil"/>
            </w:tcBorders>
            <w:tcMar>
              <w:top w:w="45" w:type="dxa"/>
              <w:left w:w="45" w:type="dxa"/>
              <w:bottom w:w="45" w:type="dxa"/>
              <w:right w:w="45" w:type="dxa"/>
            </w:tcMar>
            <w:vAlign w:val="center"/>
          </w:tcPr>
          <w:p w14:paraId="3AFAB5C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Integrative Review</w:t>
            </w:r>
          </w:p>
        </w:tc>
        <w:tc>
          <w:tcPr>
            <w:tcW w:w="1055" w:type="dxa"/>
            <w:tcBorders>
              <w:top w:val="nil"/>
              <w:left w:val="nil"/>
              <w:bottom w:val="nil"/>
              <w:right w:val="nil"/>
            </w:tcBorders>
            <w:tcMar>
              <w:top w:w="45" w:type="dxa"/>
              <w:left w:w="45" w:type="dxa"/>
              <w:bottom w:w="45" w:type="dxa"/>
              <w:right w:w="45" w:type="dxa"/>
            </w:tcMar>
            <w:vAlign w:val="center"/>
          </w:tcPr>
          <w:p w14:paraId="3F1C9EE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48082D2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Convergent molecular model: polygenic variants + epigenetic silencing + immune dysregulation driving RIF</w:t>
            </w:r>
          </w:p>
        </w:tc>
        <w:tc>
          <w:tcPr>
            <w:tcW w:w="2411" w:type="dxa"/>
            <w:tcBorders>
              <w:top w:val="nil"/>
              <w:left w:val="nil"/>
              <w:bottom w:val="nil"/>
              <w:right w:val="nil"/>
            </w:tcBorders>
            <w:tcMar>
              <w:top w:w="45" w:type="dxa"/>
              <w:left w:w="45" w:type="dxa"/>
              <w:bottom w:w="45" w:type="dxa"/>
              <w:right w:w="45" w:type="dxa"/>
            </w:tcMar>
            <w:vAlign w:val="center"/>
          </w:tcPr>
          <w:p w14:paraId="7CB8FDF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Precision reproductive medicine framework for </w:t>
            </w:r>
            <w:proofErr w:type="spellStart"/>
            <w:r w:rsidRPr="00D578DF">
              <w:rPr>
                <w:rFonts w:ascii="Times New Roman" w:eastAsia="Calibri" w:hAnsi="Times New Roman" w:cs="Times New Roman"/>
                <w:color w:val="000000" w:themeColor="text1"/>
                <w:sz w:val="20"/>
                <w:szCs w:val="20"/>
              </w:rPr>
              <w:t>personalised</w:t>
            </w:r>
            <w:proofErr w:type="spellEnd"/>
            <w:r w:rsidRPr="00D578DF">
              <w:rPr>
                <w:rFonts w:ascii="Times New Roman" w:eastAsia="Calibri" w:hAnsi="Times New Roman" w:cs="Times New Roman"/>
                <w:color w:val="000000" w:themeColor="text1"/>
                <w:sz w:val="20"/>
                <w:szCs w:val="20"/>
              </w:rPr>
              <w:t xml:space="preserve"> RIF management</w:t>
            </w:r>
          </w:p>
        </w:tc>
        <w:tc>
          <w:tcPr>
            <w:tcW w:w="1738" w:type="dxa"/>
            <w:tcBorders>
              <w:top w:val="nil"/>
              <w:left w:val="nil"/>
              <w:bottom w:val="nil"/>
              <w:right w:val="nil"/>
            </w:tcBorders>
            <w:tcMar>
              <w:top w:w="45" w:type="dxa"/>
              <w:left w:w="45" w:type="dxa"/>
              <w:bottom w:w="45" w:type="dxa"/>
              <w:right w:w="45" w:type="dxa"/>
            </w:tcMar>
            <w:vAlign w:val="center"/>
          </w:tcPr>
          <w:p w14:paraId="5FF3F3E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Integrative narrative synthesis</w:t>
            </w:r>
          </w:p>
        </w:tc>
        <w:tc>
          <w:tcPr>
            <w:tcW w:w="1364" w:type="dxa"/>
            <w:tcBorders>
              <w:top w:val="nil"/>
              <w:left w:val="nil"/>
              <w:bottom w:val="nil"/>
              <w:right w:val="nil"/>
            </w:tcBorders>
            <w:tcMar>
              <w:top w:w="45" w:type="dxa"/>
              <w:left w:w="45" w:type="dxa"/>
              <w:bottom w:w="45" w:type="dxa"/>
              <w:right w:w="45" w:type="dxa"/>
            </w:tcMar>
            <w:vAlign w:val="center"/>
          </w:tcPr>
          <w:p w14:paraId="2CE0B27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Most current integrative framework (2025); precision medicine perspective</w:t>
            </w:r>
          </w:p>
        </w:tc>
        <w:tc>
          <w:tcPr>
            <w:tcW w:w="1380" w:type="dxa"/>
            <w:tcBorders>
              <w:top w:val="nil"/>
              <w:left w:val="nil"/>
              <w:bottom w:val="nil"/>
              <w:right w:val="nil"/>
            </w:tcBorders>
            <w:tcMar>
              <w:top w:w="45" w:type="dxa"/>
              <w:left w:w="45" w:type="dxa"/>
              <w:bottom w:w="45" w:type="dxa"/>
              <w:right w:w="45" w:type="dxa"/>
            </w:tcMar>
            <w:vAlign w:val="center"/>
          </w:tcPr>
          <w:p w14:paraId="432B7F5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format; no systematic search protocol</w:t>
            </w:r>
          </w:p>
        </w:tc>
      </w:tr>
      <w:tr w:rsidR="001C6BF7" w:rsidRPr="00D578DF" w14:paraId="444A85EC"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009B2424" w14:textId="77777777" w:rsidR="001C6BF7" w:rsidRPr="00D578DF" w:rsidRDefault="001C6BF7" w:rsidP="00604322">
            <w:pPr>
              <w:rPr>
                <w:rFonts w:ascii="Times New Roman" w:hAnsi="Times New Roman" w:cs="Times New Roman"/>
                <w:sz w:val="20"/>
                <w:szCs w:val="20"/>
              </w:rPr>
            </w:pPr>
            <w:r w:rsidRPr="00D578DF">
              <w:rPr>
                <w:rFonts w:ascii="Times New Roman" w:hAnsi="Times New Roman" w:cs="Times New Roman"/>
                <w:color w:val="000000"/>
                <w:sz w:val="20"/>
                <w:szCs w:val="20"/>
              </w:rPr>
              <w:t>Chettiar V et al., 2024 [17]</w:t>
            </w:r>
          </w:p>
        </w:tc>
        <w:tc>
          <w:tcPr>
            <w:tcW w:w="1114" w:type="dxa"/>
            <w:tcBorders>
              <w:top w:val="nil"/>
              <w:left w:val="nil"/>
              <w:bottom w:val="nil"/>
              <w:right w:val="nil"/>
            </w:tcBorders>
            <w:tcMar>
              <w:top w:w="45" w:type="dxa"/>
              <w:left w:w="45" w:type="dxa"/>
              <w:bottom w:w="45" w:type="dxa"/>
              <w:right w:w="45" w:type="dxa"/>
            </w:tcMar>
            <w:vAlign w:val="center"/>
          </w:tcPr>
          <w:p w14:paraId="5AC62090"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Assisted Reproduction and Genetics</w:t>
            </w:r>
          </w:p>
        </w:tc>
        <w:tc>
          <w:tcPr>
            <w:tcW w:w="1189" w:type="dxa"/>
            <w:tcBorders>
              <w:top w:val="nil"/>
              <w:left w:val="nil"/>
              <w:bottom w:val="nil"/>
              <w:right w:val="nil"/>
            </w:tcBorders>
            <w:tcMar>
              <w:top w:w="45" w:type="dxa"/>
              <w:left w:w="45" w:type="dxa"/>
              <w:bottom w:w="45" w:type="dxa"/>
              <w:right w:w="45" w:type="dxa"/>
            </w:tcMar>
            <w:vAlign w:val="center"/>
          </w:tcPr>
          <w:p w14:paraId="7DDC29F3"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Transcriptomic meta-analysis + </w:t>
            </w:r>
            <w:proofErr w:type="spellStart"/>
            <w:r w:rsidRPr="00D578DF">
              <w:rPr>
                <w:rFonts w:ascii="Times New Roman" w:eastAsia="Calibri" w:hAnsi="Times New Roman" w:cs="Times New Roman"/>
                <w:color w:val="000000" w:themeColor="text1"/>
                <w:sz w:val="20"/>
                <w:szCs w:val="20"/>
              </w:rPr>
              <w:t>qRT</w:t>
            </w:r>
            <w:proofErr w:type="spellEnd"/>
            <w:r w:rsidRPr="00D578DF">
              <w:rPr>
                <w:rFonts w:ascii="Times New Roman" w:eastAsia="Calibri" w:hAnsi="Times New Roman" w:cs="Times New Roman"/>
                <w:color w:val="000000" w:themeColor="text1"/>
                <w:sz w:val="20"/>
                <w:szCs w:val="20"/>
              </w:rPr>
              <w:t>-PCR validation</w:t>
            </w:r>
          </w:p>
        </w:tc>
        <w:tc>
          <w:tcPr>
            <w:tcW w:w="1055" w:type="dxa"/>
            <w:tcBorders>
              <w:top w:val="nil"/>
              <w:left w:val="nil"/>
              <w:bottom w:val="nil"/>
              <w:right w:val="nil"/>
            </w:tcBorders>
            <w:tcMar>
              <w:top w:w="45" w:type="dxa"/>
              <w:left w:w="45" w:type="dxa"/>
              <w:bottom w:w="45" w:type="dxa"/>
              <w:right w:w="45" w:type="dxa"/>
            </w:tcMar>
            <w:vAlign w:val="center"/>
          </w:tcPr>
          <w:p w14:paraId="02423B54"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9 endometrial transcriptomic studies; independent </w:t>
            </w:r>
            <w:proofErr w:type="spellStart"/>
            <w:r w:rsidRPr="00D578DF">
              <w:rPr>
                <w:rFonts w:ascii="Times New Roman" w:eastAsia="Calibri" w:hAnsi="Times New Roman" w:cs="Times New Roman"/>
                <w:color w:val="000000" w:themeColor="text1"/>
                <w:sz w:val="20"/>
                <w:szCs w:val="20"/>
              </w:rPr>
              <w:t>qRT</w:t>
            </w:r>
            <w:proofErr w:type="spellEnd"/>
            <w:r w:rsidRPr="00D578DF">
              <w:rPr>
                <w:rFonts w:ascii="Times New Roman" w:eastAsia="Calibri" w:hAnsi="Times New Roman" w:cs="Times New Roman"/>
                <w:color w:val="000000" w:themeColor="text1"/>
                <w:sz w:val="20"/>
                <w:szCs w:val="20"/>
              </w:rPr>
              <w:t>-PCR validation: 5 RIF + 5 pregnancy-positive controls</w:t>
            </w:r>
          </w:p>
        </w:tc>
        <w:tc>
          <w:tcPr>
            <w:tcW w:w="1787" w:type="dxa"/>
            <w:tcBorders>
              <w:top w:val="nil"/>
              <w:left w:val="nil"/>
              <w:bottom w:val="nil"/>
              <w:right w:val="nil"/>
            </w:tcBorders>
            <w:tcMar>
              <w:top w:w="45" w:type="dxa"/>
              <w:left w:w="45" w:type="dxa"/>
              <w:bottom w:w="45" w:type="dxa"/>
              <w:right w:w="45" w:type="dxa"/>
            </w:tcMar>
            <w:vAlign w:val="center"/>
          </w:tcPr>
          <w:p w14:paraId="41EAB64B"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Meta-signature of 49 RIF-associated genes (38 upregulated, 11 downregulated). Implantation-related genes included GADD45A, IGF2 and LIF; additional targets included OPRK1, PSIP1, SMCHD1 and SOD2. Selected </w:t>
            </w:r>
            <w:r w:rsidRPr="00D578DF">
              <w:rPr>
                <w:rFonts w:ascii="Times New Roman" w:eastAsia="Calibri" w:hAnsi="Times New Roman" w:cs="Times New Roman"/>
                <w:color w:val="000000" w:themeColor="text1"/>
                <w:sz w:val="20"/>
                <w:szCs w:val="20"/>
              </w:rPr>
              <w:lastRenderedPageBreak/>
              <w:t xml:space="preserve">genes were assessed by </w:t>
            </w:r>
            <w:proofErr w:type="spellStart"/>
            <w:r w:rsidRPr="00D578DF">
              <w:rPr>
                <w:rFonts w:ascii="Times New Roman" w:eastAsia="Calibri" w:hAnsi="Times New Roman" w:cs="Times New Roman"/>
                <w:color w:val="000000" w:themeColor="text1"/>
                <w:sz w:val="20"/>
                <w:szCs w:val="20"/>
              </w:rPr>
              <w:t>qRT</w:t>
            </w:r>
            <w:proofErr w:type="spellEnd"/>
            <w:r w:rsidRPr="00D578DF">
              <w:rPr>
                <w:rFonts w:ascii="Times New Roman" w:eastAsia="Calibri" w:hAnsi="Times New Roman" w:cs="Times New Roman"/>
                <w:color w:val="000000" w:themeColor="text1"/>
                <w:sz w:val="20"/>
                <w:szCs w:val="20"/>
              </w:rPr>
              <w:t>-PCR.</w:t>
            </w:r>
          </w:p>
        </w:tc>
        <w:tc>
          <w:tcPr>
            <w:tcW w:w="2411" w:type="dxa"/>
            <w:tcBorders>
              <w:top w:val="nil"/>
              <w:left w:val="nil"/>
              <w:bottom w:val="nil"/>
              <w:right w:val="nil"/>
            </w:tcBorders>
            <w:tcMar>
              <w:top w:w="45" w:type="dxa"/>
              <w:left w:w="45" w:type="dxa"/>
              <w:bottom w:w="45" w:type="dxa"/>
              <w:right w:w="45" w:type="dxa"/>
            </w:tcMar>
            <w:vAlign w:val="center"/>
          </w:tcPr>
          <w:p w14:paraId="64603E9A"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Cross-study transcriptomic signature provides candidate diagnostic and therapeutic targets for RIF; larger prospective validation is required.</w:t>
            </w:r>
          </w:p>
        </w:tc>
        <w:tc>
          <w:tcPr>
            <w:tcW w:w="1738" w:type="dxa"/>
            <w:tcBorders>
              <w:top w:val="nil"/>
              <w:left w:val="nil"/>
              <w:bottom w:val="nil"/>
              <w:right w:val="nil"/>
            </w:tcBorders>
            <w:tcMar>
              <w:top w:w="45" w:type="dxa"/>
              <w:left w:w="45" w:type="dxa"/>
              <w:bottom w:w="45" w:type="dxa"/>
              <w:right w:w="45" w:type="dxa"/>
            </w:tcMar>
            <w:vAlign w:val="center"/>
          </w:tcPr>
          <w:p w14:paraId="5B4E853E"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In-silico meta-analysis; differential-expression integration; GO/KEGG and PPI/miRNA analyses; </w:t>
            </w:r>
            <w:proofErr w:type="spellStart"/>
            <w:r w:rsidRPr="00D578DF">
              <w:rPr>
                <w:rFonts w:ascii="Times New Roman" w:eastAsia="Calibri" w:hAnsi="Times New Roman" w:cs="Times New Roman"/>
                <w:color w:val="000000" w:themeColor="text1"/>
                <w:sz w:val="20"/>
                <w:szCs w:val="20"/>
              </w:rPr>
              <w:t>qRT</w:t>
            </w:r>
            <w:proofErr w:type="spellEnd"/>
            <w:r w:rsidRPr="00D578DF">
              <w:rPr>
                <w:rFonts w:ascii="Times New Roman" w:eastAsia="Calibri" w:hAnsi="Times New Roman" w:cs="Times New Roman"/>
                <w:color w:val="000000" w:themeColor="text1"/>
                <w:sz w:val="20"/>
                <w:szCs w:val="20"/>
              </w:rPr>
              <w:t>-PCR validation</w:t>
            </w:r>
          </w:p>
        </w:tc>
        <w:tc>
          <w:tcPr>
            <w:tcW w:w="1364" w:type="dxa"/>
            <w:tcBorders>
              <w:top w:val="nil"/>
              <w:left w:val="nil"/>
              <w:bottom w:val="nil"/>
              <w:right w:val="nil"/>
            </w:tcBorders>
            <w:tcMar>
              <w:top w:w="45" w:type="dxa"/>
              <w:left w:w="45" w:type="dxa"/>
              <w:bottom w:w="45" w:type="dxa"/>
              <w:right w:w="45" w:type="dxa"/>
            </w:tcMar>
            <w:vAlign w:val="center"/>
          </w:tcPr>
          <w:p w14:paraId="6E5A798E"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Integration of nine studies; 49-gene meta-signature; independent patient-sample </w:t>
            </w:r>
            <w:proofErr w:type="spellStart"/>
            <w:r w:rsidRPr="00D578DF">
              <w:rPr>
                <w:rFonts w:ascii="Times New Roman" w:eastAsia="Calibri" w:hAnsi="Times New Roman" w:cs="Times New Roman"/>
                <w:color w:val="000000" w:themeColor="text1"/>
                <w:sz w:val="20"/>
                <w:szCs w:val="20"/>
              </w:rPr>
              <w:t>qRT</w:t>
            </w:r>
            <w:proofErr w:type="spellEnd"/>
            <w:r w:rsidRPr="00D578DF">
              <w:rPr>
                <w:rFonts w:ascii="Times New Roman" w:eastAsia="Calibri" w:hAnsi="Times New Roman" w:cs="Times New Roman"/>
                <w:color w:val="000000" w:themeColor="text1"/>
                <w:sz w:val="20"/>
                <w:szCs w:val="20"/>
              </w:rPr>
              <w:t>-PCR validation.</w:t>
            </w:r>
          </w:p>
        </w:tc>
        <w:tc>
          <w:tcPr>
            <w:tcW w:w="1380" w:type="dxa"/>
            <w:tcBorders>
              <w:top w:val="nil"/>
              <w:left w:val="nil"/>
              <w:bottom w:val="nil"/>
              <w:right w:val="nil"/>
            </w:tcBorders>
            <w:tcMar>
              <w:top w:w="45" w:type="dxa"/>
              <w:left w:w="45" w:type="dxa"/>
              <w:bottom w:w="45" w:type="dxa"/>
              <w:right w:w="45" w:type="dxa"/>
            </w:tcMar>
            <w:vAlign w:val="center"/>
          </w:tcPr>
          <w:p w14:paraId="1FF63B38"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Heterogeneous datasets/platforms; retrospective data integration; very small </w:t>
            </w:r>
            <w:proofErr w:type="spellStart"/>
            <w:r w:rsidRPr="00D578DF">
              <w:rPr>
                <w:rFonts w:ascii="Times New Roman" w:eastAsia="Calibri" w:hAnsi="Times New Roman" w:cs="Times New Roman"/>
                <w:color w:val="000000" w:themeColor="text1"/>
                <w:sz w:val="20"/>
                <w:szCs w:val="20"/>
              </w:rPr>
              <w:t>qRT</w:t>
            </w:r>
            <w:proofErr w:type="spellEnd"/>
            <w:r w:rsidRPr="00D578DF">
              <w:rPr>
                <w:rFonts w:ascii="Times New Roman" w:eastAsia="Calibri" w:hAnsi="Times New Roman" w:cs="Times New Roman"/>
                <w:color w:val="000000" w:themeColor="text1"/>
                <w:sz w:val="20"/>
                <w:szCs w:val="20"/>
              </w:rPr>
              <w:t>-PCR validation cohort (n=10).</w:t>
            </w:r>
          </w:p>
        </w:tc>
      </w:tr>
      <w:tr w:rsidR="001C6BF7" w:rsidRPr="00D578DF" w14:paraId="1E7C86E4"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7A007982" w14:textId="77777777" w:rsidR="001C6BF7" w:rsidRPr="00D578DF" w:rsidRDefault="001C6BF7" w:rsidP="00604322">
            <w:pPr>
              <w:rPr>
                <w:rFonts w:ascii="Times New Roman" w:hAnsi="Times New Roman" w:cs="Times New Roman"/>
                <w:sz w:val="20"/>
                <w:szCs w:val="20"/>
              </w:rPr>
            </w:pPr>
            <w:r w:rsidRPr="00D578DF">
              <w:rPr>
                <w:rFonts w:ascii="Times New Roman" w:hAnsi="Times New Roman" w:cs="Times New Roman"/>
                <w:color w:val="000000"/>
                <w:sz w:val="20"/>
                <w:szCs w:val="20"/>
              </w:rPr>
              <w:t>Liu Z et al., 2024 [16]</w:t>
            </w:r>
          </w:p>
        </w:tc>
        <w:tc>
          <w:tcPr>
            <w:tcW w:w="1114" w:type="dxa"/>
            <w:tcBorders>
              <w:top w:val="nil"/>
              <w:left w:val="nil"/>
              <w:bottom w:val="nil"/>
              <w:right w:val="nil"/>
            </w:tcBorders>
            <w:tcMar>
              <w:top w:w="45" w:type="dxa"/>
              <w:left w:w="45" w:type="dxa"/>
              <w:bottom w:w="45" w:type="dxa"/>
              <w:right w:w="45" w:type="dxa"/>
            </w:tcMar>
            <w:vAlign w:val="center"/>
          </w:tcPr>
          <w:p w14:paraId="7F427B11"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Frontiers in Genetics</w:t>
            </w:r>
          </w:p>
        </w:tc>
        <w:tc>
          <w:tcPr>
            <w:tcW w:w="1189" w:type="dxa"/>
            <w:tcBorders>
              <w:top w:val="nil"/>
              <w:left w:val="nil"/>
              <w:bottom w:val="nil"/>
              <w:right w:val="nil"/>
            </w:tcBorders>
            <w:tcMar>
              <w:top w:w="45" w:type="dxa"/>
              <w:left w:w="45" w:type="dxa"/>
              <w:bottom w:w="45" w:type="dxa"/>
              <w:right w:w="45" w:type="dxa"/>
            </w:tcMar>
            <w:vAlign w:val="center"/>
          </w:tcPr>
          <w:p w14:paraId="34782B58"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Integrative bioinformatics + clinical </w:t>
            </w:r>
            <w:proofErr w:type="spellStart"/>
            <w:r w:rsidRPr="00D578DF">
              <w:rPr>
                <w:rFonts w:ascii="Times New Roman" w:eastAsia="Calibri" w:hAnsi="Times New Roman" w:cs="Times New Roman"/>
                <w:color w:val="000000" w:themeColor="text1"/>
                <w:sz w:val="20"/>
                <w:szCs w:val="20"/>
              </w:rPr>
              <w:t>qRT</w:t>
            </w:r>
            <w:proofErr w:type="spellEnd"/>
            <w:r w:rsidRPr="00D578DF">
              <w:rPr>
                <w:rFonts w:ascii="Times New Roman" w:eastAsia="Calibri" w:hAnsi="Times New Roman" w:cs="Times New Roman"/>
                <w:color w:val="000000" w:themeColor="text1"/>
                <w:sz w:val="20"/>
                <w:szCs w:val="20"/>
              </w:rPr>
              <w:t>-PCR validation</w:t>
            </w:r>
          </w:p>
        </w:tc>
        <w:tc>
          <w:tcPr>
            <w:tcW w:w="1055" w:type="dxa"/>
            <w:tcBorders>
              <w:top w:val="nil"/>
              <w:left w:val="nil"/>
              <w:bottom w:val="nil"/>
              <w:right w:val="nil"/>
            </w:tcBorders>
            <w:tcMar>
              <w:top w:w="45" w:type="dxa"/>
              <w:left w:w="45" w:type="dxa"/>
              <w:bottom w:w="45" w:type="dxa"/>
              <w:right w:w="45" w:type="dxa"/>
            </w:tcMar>
            <w:vAlign w:val="center"/>
          </w:tcPr>
          <w:p w14:paraId="0123A5AA"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3 GEO mid-luteal endometrial microarray datasets (70 RIF + 99 controls) + 30 independent samples (15 RIF + 15 fertile controls)</w:t>
            </w:r>
          </w:p>
        </w:tc>
        <w:tc>
          <w:tcPr>
            <w:tcW w:w="1787" w:type="dxa"/>
            <w:tcBorders>
              <w:top w:val="nil"/>
              <w:left w:val="nil"/>
              <w:bottom w:val="nil"/>
              <w:right w:val="nil"/>
            </w:tcBorders>
            <w:tcMar>
              <w:top w:w="45" w:type="dxa"/>
              <w:left w:w="45" w:type="dxa"/>
              <w:bottom w:w="45" w:type="dxa"/>
              <w:right w:w="45" w:type="dxa"/>
            </w:tcMar>
            <w:vAlign w:val="center"/>
          </w:tcPr>
          <w:p w14:paraId="4F97244D"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Nine hub genes were identified: ACTL6A, BECN1, SNRPD1, POLR1B, GSK3B, PPP2CA, RBBP7, PLK4 and RFC4; expression patterns were verified by RT-qPCR. </w:t>
            </w:r>
            <w:proofErr w:type="spellStart"/>
            <w:r w:rsidRPr="00D578DF">
              <w:rPr>
                <w:rFonts w:ascii="Times New Roman" w:eastAsia="Calibri" w:hAnsi="Times New Roman" w:cs="Times New Roman"/>
                <w:color w:val="000000" w:themeColor="text1"/>
                <w:sz w:val="20"/>
                <w:szCs w:val="20"/>
              </w:rPr>
              <w:t>uNK</w:t>
            </w:r>
            <w:proofErr w:type="spellEnd"/>
            <w:r w:rsidRPr="00D578DF">
              <w:rPr>
                <w:rFonts w:ascii="Times New Roman" w:eastAsia="Calibri" w:hAnsi="Times New Roman" w:cs="Times New Roman"/>
                <w:color w:val="000000" w:themeColor="text1"/>
                <w:sz w:val="20"/>
                <w:szCs w:val="20"/>
              </w:rPr>
              <w:t xml:space="preserve"> cells and CD4+ T cells showed altered infiltration in RIF.</w:t>
            </w:r>
          </w:p>
        </w:tc>
        <w:tc>
          <w:tcPr>
            <w:tcW w:w="2411" w:type="dxa"/>
            <w:tcBorders>
              <w:top w:val="nil"/>
              <w:left w:val="nil"/>
              <w:bottom w:val="nil"/>
              <w:right w:val="nil"/>
            </w:tcBorders>
            <w:tcMar>
              <w:top w:w="45" w:type="dxa"/>
              <w:left w:w="45" w:type="dxa"/>
              <w:bottom w:w="45" w:type="dxa"/>
              <w:right w:w="45" w:type="dxa"/>
            </w:tcMar>
            <w:vAlign w:val="center"/>
          </w:tcPr>
          <w:p w14:paraId="74588AFE"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Defines candidate molecular/immune mechanisms and biomarkers for RIF; the authors reported limited diagnostic effectiveness, so clinical use requires further validation.</w:t>
            </w:r>
          </w:p>
        </w:tc>
        <w:tc>
          <w:tcPr>
            <w:tcW w:w="1738" w:type="dxa"/>
            <w:tcBorders>
              <w:top w:val="nil"/>
              <w:left w:val="nil"/>
              <w:bottom w:val="nil"/>
              <w:right w:val="nil"/>
            </w:tcBorders>
            <w:tcMar>
              <w:top w:w="45" w:type="dxa"/>
              <w:left w:w="45" w:type="dxa"/>
              <w:bottom w:w="45" w:type="dxa"/>
              <w:right w:w="45" w:type="dxa"/>
            </w:tcMar>
            <w:vAlign w:val="center"/>
          </w:tcPr>
          <w:p w14:paraId="03D92298" w14:textId="77777777" w:rsidR="001C6BF7" w:rsidRPr="00D578DF" w:rsidRDefault="001C6BF7" w:rsidP="00604322">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limma</w:t>
            </w:r>
            <w:proofErr w:type="spellEnd"/>
            <w:r w:rsidRPr="00D578DF">
              <w:rPr>
                <w:rFonts w:ascii="Times New Roman" w:eastAsia="Calibri" w:hAnsi="Times New Roman" w:cs="Times New Roman"/>
                <w:color w:val="000000" w:themeColor="text1"/>
                <w:sz w:val="20"/>
                <w:szCs w:val="20"/>
              </w:rPr>
              <w:t>; WGCNA; STRING/</w:t>
            </w:r>
            <w:proofErr w:type="spellStart"/>
            <w:r w:rsidRPr="00D578DF">
              <w:rPr>
                <w:rFonts w:ascii="Times New Roman" w:eastAsia="Calibri" w:hAnsi="Times New Roman" w:cs="Times New Roman"/>
                <w:color w:val="000000" w:themeColor="text1"/>
                <w:sz w:val="20"/>
                <w:szCs w:val="20"/>
              </w:rPr>
              <w:t>Cytoscape-cytoHubba</w:t>
            </w:r>
            <w:proofErr w:type="spellEnd"/>
            <w:r w:rsidRPr="00D578DF">
              <w:rPr>
                <w:rFonts w:ascii="Times New Roman" w:eastAsia="Calibri" w:hAnsi="Times New Roman" w:cs="Times New Roman"/>
                <w:color w:val="000000" w:themeColor="text1"/>
                <w:sz w:val="20"/>
                <w:szCs w:val="20"/>
              </w:rPr>
              <w:t>; CIBERSORT; ROC; GSEA/</w:t>
            </w:r>
            <w:proofErr w:type="spellStart"/>
            <w:r w:rsidRPr="00D578DF">
              <w:rPr>
                <w:rFonts w:ascii="Times New Roman" w:eastAsia="Calibri" w:hAnsi="Times New Roman" w:cs="Times New Roman"/>
                <w:color w:val="000000" w:themeColor="text1"/>
                <w:sz w:val="20"/>
                <w:szCs w:val="20"/>
              </w:rPr>
              <w:t>Reactome</w:t>
            </w:r>
            <w:proofErr w:type="spellEnd"/>
            <w:r w:rsidRPr="00D578DF">
              <w:rPr>
                <w:rFonts w:ascii="Times New Roman" w:eastAsia="Calibri" w:hAnsi="Times New Roman" w:cs="Times New Roman"/>
                <w:color w:val="000000" w:themeColor="text1"/>
                <w:sz w:val="20"/>
                <w:szCs w:val="20"/>
              </w:rPr>
              <w:t>; RT-qPCR</w:t>
            </w:r>
          </w:p>
        </w:tc>
        <w:tc>
          <w:tcPr>
            <w:tcW w:w="1364" w:type="dxa"/>
            <w:tcBorders>
              <w:top w:val="nil"/>
              <w:left w:val="nil"/>
              <w:bottom w:val="nil"/>
              <w:right w:val="nil"/>
            </w:tcBorders>
            <w:tcMar>
              <w:top w:w="45" w:type="dxa"/>
              <w:left w:w="45" w:type="dxa"/>
              <w:bottom w:w="45" w:type="dxa"/>
              <w:right w:w="45" w:type="dxa"/>
            </w:tcMar>
            <w:vAlign w:val="center"/>
          </w:tcPr>
          <w:p w14:paraId="3C10DF7C"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Three-dataset integration with independent 30-sample clinical validation; combines co-expression, PPI and immune-infiltration analyses.</w:t>
            </w:r>
          </w:p>
        </w:tc>
        <w:tc>
          <w:tcPr>
            <w:tcW w:w="1380" w:type="dxa"/>
            <w:tcBorders>
              <w:top w:val="nil"/>
              <w:left w:val="nil"/>
              <w:bottom w:val="nil"/>
              <w:right w:val="nil"/>
            </w:tcBorders>
            <w:tcMar>
              <w:top w:w="45" w:type="dxa"/>
              <w:left w:w="45" w:type="dxa"/>
              <w:bottom w:w="45" w:type="dxa"/>
              <w:right w:w="45" w:type="dxa"/>
            </w:tcMar>
            <w:vAlign w:val="center"/>
          </w:tcPr>
          <w:p w14:paraId="6E5A6FB6"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Retrospective heterogeneous GEO datasets; modest validation cohort; no protein-level validation; diagnostic performance of hub genes was limited.</w:t>
            </w:r>
          </w:p>
        </w:tc>
      </w:tr>
      <w:tr w:rsidR="00D7116D" w:rsidRPr="00D578DF" w14:paraId="4281082D" w14:textId="77777777" w:rsidTr="00D578DF">
        <w:trPr>
          <w:trHeight w:val="615"/>
          <w:jc w:val="center"/>
        </w:trPr>
        <w:tc>
          <w:tcPr>
            <w:tcW w:w="922" w:type="dxa"/>
            <w:tcBorders>
              <w:top w:val="nil"/>
              <w:left w:val="nil"/>
              <w:bottom w:val="nil"/>
              <w:right w:val="nil"/>
            </w:tcBorders>
            <w:tcMar>
              <w:top w:w="45" w:type="dxa"/>
              <w:left w:w="45" w:type="dxa"/>
              <w:bottom w:w="45" w:type="dxa"/>
              <w:right w:w="45" w:type="dxa"/>
            </w:tcMar>
            <w:vAlign w:val="center"/>
          </w:tcPr>
          <w:p w14:paraId="2A4F905A"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Lai ZZ et al., 2023 [13]</w:t>
            </w:r>
          </w:p>
        </w:tc>
        <w:tc>
          <w:tcPr>
            <w:tcW w:w="1114" w:type="dxa"/>
            <w:tcBorders>
              <w:top w:val="nil"/>
              <w:left w:val="nil"/>
              <w:bottom w:val="nil"/>
              <w:right w:val="nil"/>
            </w:tcBorders>
            <w:tcMar>
              <w:top w:w="45" w:type="dxa"/>
              <w:left w:w="45" w:type="dxa"/>
              <w:bottom w:w="45" w:type="dxa"/>
              <w:right w:w="45" w:type="dxa"/>
            </w:tcMar>
            <w:vAlign w:val="center"/>
          </w:tcPr>
          <w:p w14:paraId="4961970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Reproductive Immunology</w:t>
            </w:r>
          </w:p>
        </w:tc>
        <w:tc>
          <w:tcPr>
            <w:tcW w:w="1189" w:type="dxa"/>
            <w:tcBorders>
              <w:top w:val="nil"/>
              <w:left w:val="nil"/>
              <w:bottom w:val="nil"/>
              <w:right w:val="nil"/>
            </w:tcBorders>
            <w:tcMar>
              <w:top w:w="45" w:type="dxa"/>
              <w:left w:w="45" w:type="dxa"/>
              <w:bottom w:w="45" w:type="dxa"/>
              <w:right w:w="45" w:type="dxa"/>
            </w:tcMar>
            <w:vAlign w:val="center"/>
          </w:tcPr>
          <w:p w14:paraId="3FEBA23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w:t>
            </w:r>
          </w:p>
        </w:tc>
        <w:tc>
          <w:tcPr>
            <w:tcW w:w="1055" w:type="dxa"/>
            <w:tcBorders>
              <w:top w:val="nil"/>
              <w:left w:val="nil"/>
              <w:bottom w:val="nil"/>
              <w:right w:val="nil"/>
            </w:tcBorders>
            <w:tcMar>
              <w:top w:w="45" w:type="dxa"/>
              <w:left w:w="45" w:type="dxa"/>
              <w:bottom w:w="45" w:type="dxa"/>
              <w:right w:w="45" w:type="dxa"/>
            </w:tcMar>
            <w:vAlign w:val="center"/>
          </w:tcPr>
          <w:p w14:paraId="4DBAD41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w:t>
            </w:r>
          </w:p>
        </w:tc>
        <w:tc>
          <w:tcPr>
            <w:tcW w:w="1787" w:type="dxa"/>
            <w:tcBorders>
              <w:top w:val="nil"/>
              <w:left w:val="nil"/>
              <w:bottom w:val="nil"/>
              <w:right w:val="nil"/>
            </w:tcBorders>
            <w:tcMar>
              <w:top w:w="45" w:type="dxa"/>
              <w:left w:w="45" w:type="dxa"/>
              <w:bottom w:w="45" w:type="dxa"/>
              <w:right w:w="45" w:type="dxa"/>
            </w:tcMar>
            <w:vAlign w:val="center"/>
          </w:tcPr>
          <w:p w14:paraId="1366AA4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VEGFA, MMP9, IL6 as hub biomarkers; NK cell and dendritic cell infiltration elevated in RIF</w:t>
            </w:r>
          </w:p>
        </w:tc>
        <w:tc>
          <w:tcPr>
            <w:tcW w:w="2411" w:type="dxa"/>
            <w:tcBorders>
              <w:top w:val="nil"/>
              <w:left w:val="nil"/>
              <w:bottom w:val="nil"/>
              <w:right w:val="nil"/>
            </w:tcBorders>
            <w:tcMar>
              <w:top w:w="45" w:type="dxa"/>
              <w:left w:w="45" w:type="dxa"/>
              <w:bottom w:w="45" w:type="dxa"/>
              <w:right w:w="45" w:type="dxa"/>
            </w:tcMar>
            <w:vAlign w:val="center"/>
          </w:tcPr>
          <w:p w14:paraId="64A03E2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Angiogenic and immune biomarkers as RIF diagnostic panel candidates</w:t>
            </w:r>
          </w:p>
        </w:tc>
        <w:tc>
          <w:tcPr>
            <w:tcW w:w="1738" w:type="dxa"/>
            <w:tcBorders>
              <w:top w:val="nil"/>
              <w:left w:val="nil"/>
              <w:bottom w:val="nil"/>
              <w:right w:val="nil"/>
            </w:tcBorders>
            <w:tcMar>
              <w:top w:w="45" w:type="dxa"/>
              <w:left w:w="45" w:type="dxa"/>
              <w:bottom w:w="45" w:type="dxa"/>
              <w:right w:w="45" w:type="dxa"/>
            </w:tcMar>
            <w:vAlign w:val="center"/>
          </w:tcPr>
          <w:p w14:paraId="727DA43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TIMER; CIBERSORT; GEO</w:t>
            </w:r>
          </w:p>
        </w:tc>
        <w:tc>
          <w:tcPr>
            <w:tcW w:w="1364" w:type="dxa"/>
            <w:tcBorders>
              <w:top w:val="nil"/>
              <w:left w:val="nil"/>
              <w:bottom w:val="nil"/>
              <w:right w:val="nil"/>
            </w:tcBorders>
            <w:tcMar>
              <w:top w:w="45" w:type="dxa"/>
              <w:left w:w="45" w:type="dxa"/>
              <w:bottom w:w="45" w:type="dxa"/>
              <w:right w:w="45" w:type="dxa"/>
            </w:tcMar>
            <w:vAlign w:val="center"/>
          </w:tcPr>
          <w:p w14:paraId="59113BA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Immune infiltration analysis; multiple algorithm comparison</w:t>
            </w:r>
          </w:p>
        </w:tc>
        <w:tc>
          <w:tcPr>
            <w:tcW w:w="1380" w:type="dxa"/>
            <w:tcBorders>
              <w:top w:val="nil"/>
              <w:left w:val="nil"/>
              <w:bottom w:val="nil"/>
              <w:right w:val="nil"/>
            </w:tcBorders>
            <w:tcMar>
              <w:top w:w="45" w:type="dxa"/>
              <w:left w:w="45" w:type="dxa"/>
              <w:bottom w:w="45" w:type="dxa"/>
              <w:right w:w="45" w:type="dxa"/>
            </w:tcMar>
            <w:vAlign w:val="center"/>
          </w:tcPr>
          <w:p w14:paraId="052A4AB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 clinical validation; GEO batch effects possible</w:t>
            </w:r>
          </w:p>
        </w:tc>
      </w:tr>
      <w:tr w:rsidR="00D7116D" w:rsidRPr="00D578DF" w14:paraId="1A8682D6"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6B237AF0"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Lai ZZ et al., 2023 [12]</w:t>
            </w:r>
          </w:p>
        </w:tc>
        <w:tc>
          <w:tcPr>
            <w:tcW w:w="1114" w:type="dxa"/>
            <w:tcBorders>
              <w:top w:val="nil"/>
              <w:left w:val="nil"/>
              <w:bottom w:val="nil"/>
              <w:right w:val="nil"/>
            </w:tcBorders>
            <w:tcMar>
              <w:top w:w="45" w:type="dxa"/>
              <w:left w:w="45" w:type="dxa"/>
              <w:bottom w:w="45" w:type="dxa"/>
              <w:right w:w="45" w:type="dxa"/>
            </w:tcMar>
            <w:vAlign w:val="center"/>
          </w:tcPr>
          <w:p w14:paraId="4B304C2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Frontiers in Immunology</w:t>
            </w:r>
          </w:p>
        </w:tc>
        <w:tc>
          <w:tcPr>
            <w:tcW w:w="1189" w:type="dxa"/>
            <w:tcBorders>
              <w:top w:val="nil"/>
              <w:left w:val="nil"/>
              <w:bottom w:val="nil"/>
              <w:right w:val="nil"/>
            </w:tcBorders>
            <w:tcMar>
              <w:top w:w="45" w:type="dxa"/>
              <w:left w:w="45" w:type="dxa"/>
              <w:bottom w:w="45" w:type="dxa"/>
              <w:right w:w="45" w:type="dxa"/>
            </w:tcMar>
            <w:vAlign w:val="center"/>
          </w:tcPr>
          <w:p w14:paraId="16E6AE3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w:t>
            </w:r>
          </w:p>
        </w:tc>
        <w:tc>
          <w:tcPr>
            <w:tcW w:w="1055" w:type="dxa"/>
            <w:tcBorders>
              <w:top w:val="nil"/>
              <w:left w:val="nil"/>
              <w:bottom w:val="nil"/>
              <w:right w:val="nil"/>
            </w:tcBorders>
            <w:tcMar>
              <w:top w:w="45" w:type="dxa"/>
              <w:left w:w="45" w:type="dxa"/>
              <w:bottom w:w="45" w:type="dxa"/>
              <w:right w:w="45" w:type="dxa"/>
            </w:tcMar>
            <w:vAlign w:val="center"/>
          </w:tcPr>
          <w:p w14:paraId="2AB64E5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w:t>
            </w:r>
          </w:p>
        </w:tc>
        <w:tc>
          <w:tcPr>
            <w:tcW w:w="1787" w:type="dxa"/>
            <w:tcBorders>
              <w:top w:val="nil"/>
              <w:left w:val="nil"/>
              <w:bottom w:val="nil"/>
              <w:right w:val="nil"/>
            </w:tcBorders>
            <w:tcMar>
              <w:top w:w="45" w:type="dxa"/>
              <w:left w:w="45" w:type="dxa"/>
              <w:bottom w:w="45" w:type="dxa"/>
              <w:right w:w="45" w:type="dxa"/>
            </w:tcMar>
            <w:vAlign w:val="center"/>
          </w:tcPr>
          <w:p w14:paraId="2EE8620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CXCL8, CD44, SPP1 as RIF biomarkers; elevated M1 macrophage and </w:t>
            </w:r>
            <w:r w:rsidRPr="00D578DF">
              <w:rPr>
                <w:rFonts w:ascii="Times New Roman" w:eastAsia="Calibri" w:hAnsi="Times New Roman" w:cs="Times New Roman"/>
                <w:color w:val="000000" w:themeColor="text1"/>
                <w:sz w:val="20"/>
                <w:szCs w:val="20"/>
              </w:rPr>
              <w:lastRenderedPageBreak/>
              <w:t>reduced NK cell infiltration</w:t>
            </w:r>
          </w:p>
        </w:tc>
        <w:tc>
          <w:tcPr>
            <w:tcW w:w="2411" w:type="dxa"/>
            <w:tcBorders>
              <w:top w:val="nil"/>
              <w:left w:val="nil"/>
              <w:bottom w:val="nil"/>
              <w:right w:val="nil"/>
            </w:tcBorders>
            <w:tcMar>
              <w:top w:w="45" w:type="dxa"/>
              <w:left w:w="45" w:type="dxa"/>
              <w:bottom w:w="45" w:type="dxa"/>
              <w:right w:w="45" w:type="dxa"/>
            </w:tcMar>
            <w:vAlign w:val="center"/>
          </w:tcPr>
          <w:p w14:paraId="240695F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Immune deconvolution-based biomarker panel for RIF risk assessment</w:t>
            </w:r>
          </w:p>
        </w:tc>
        <w:tc>
          <w:tcPr>
            <w:tcW w:w="1738" w:type="dxa"/>
            <w:tcBorders>
              <w:top w:val="nil"/>
              <w:left w:val="nil"/>
              <w:bottom w:val="nil"/>
              <w:right w:val="nil"/>
            </w:tcBorders>
            <w:tcMar>
              <w:top w:w="45" w:type="dxa"/>
              <w:left w:w="45" w:type="dxa"/>
              <w:bottom w:w="45" w:type="dxa"/>
              <w:right w:w="45" w:type="dxa"/>
            </w:tcMar>
            <w:vAlign w:val="center"/>
          </w:tcPr>
          <w:p w14:paraId="2BB5021F"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ssGSEA</w:t>
            </w:r>
            <w:proofErr w:type="spellEnd"/>
            <w:r w:rsidRPr="00D578DF">
              <w:rPr>
                <w:rFonts w:ascii="Times New Roman" w:eastAsia="Calibri" w:hAnsi="Times New Roman" w:cs="Times New Roman"/>
                <w:color w:val="000000" w:themeColor="text1"/>
                <w:sz w:val="20"/>
                <w:szCs w:val="20"/>
              </w:rPr>
              <w:t>; CIBERSORT; GSEA</w:t>
            </w:r>
          </w:p>
        </w:tc>
        <w:tc>
          <w:tcPr>
            <w:tcW w:w="1364" w:type="dxa"/>
            <w:tcBorders>
              <w:top w:val="nil"/>
              <w:left w:val="nil"/>
              <w:bottom w:val="nil"/>
              <w:right w:val="nil"/>
            </w:tcBorders>
            <w:tcMar>
              <w:top w:w="45" w:type="dxa"/>
              <w:left w:w="45" w:type="dxa"/>
              <w:bottom w:w="45" w:type="dxa"/>
              <w:right w:w="45" w:type="dxa"/>
            </w:tcMar>
            <w:vAlign w:val="center"/>
          </w:tcPr>
          <w:p w14:paraId="5A1F38B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Comprehensive immune deconvolution; frontier </w:t>
            </w:r>
            <w:r w:rsidRPr="00D578DF">
              <w:rPr>
                <w:rFonts w:ascii="Times New Roman" w:eastAsia="Calibri" w:hAnsi="Times New Roman" w:cs="Times New Roman"/>
                <w:color w:val="000000" w:themeColor="text1"/>
                <w:sz w:val="20"/>
                <w:szCs w:val="20"/>
              </w:rPr>
              <w:lastRenderedPageBreak/>
              <w:t>immunology journal</w:t>
            </w:r>
          </w:p>
        </w:tc>
        <w:tc>
          <w:tcPr>
            <w:tcW w:w="1380" w:type="dxa"/>
            <w:tcBorders>
              <w:top w:val="nil"/>
              <w:left w:val="nil"/>
              <w:bottom w:val="nil"/>
              <w:right w:val="nil"/>
            </w:tcBorders>
            <w:tcMar>
              <w:top w:w="45" w:type="dxa"/>
              <w:left w:w="45" w:type="dxa"/>
              <w:bottom w:w="45" w:type="dxa"/>
              <w:right w:w="45" w:type="dxa"/>
            </w:tcMar>
            <w:vAlign w:val="center"/>
          </w:tcPr>
          <w:p w14:paraId="7AD00CC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Overlaps substantially with similar GEO-based studies</w:t>
            </w:r>
          </w:p>
        </w:tc>
      </w:tr>
      <w:tr w:rsidR="00D7116D" w:rsidRPr="00D578DF" w14:paraId="1160CAC0"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5561818"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Pathare AD et al., 2020 [36]</w:t>
            </w:r>
          </w:p>
        </w:tc>
        <w:tc>
          <w:tcPr>
            <w:tcW w:w="1114" w:type="dxa"/>
            <w:tcBorders>
              <w:top w:val="nil"/>
              <w:left w:val="nil"/>
              <w:bottom w:val="nil"/>
              <w:right w:val="nil"/>
            </w:tcBorders>
            <w:tcMar>
              <w:top w:w="45" w:type="dxa"/>
              <w:left w:w="45" w:type="dxa"/>
              <w:bottom w:w="45" w:type="dxa"/>
              <w:right w:w="45" w:type="dxa"/>
            </w:tcMar>
            <w:vAlign w:val="center"/>
          </w:tcPr>
          <w:p w14:paraId="42E72E1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American Journal of Reproductive Immunology</w:t>
            </w:r>
          </w:p>
        </w:tc>
        <w:tc>
          <w:tcPr>
            <w:tcW w:w="1189" w:type="dxa"/>
            <w:tcBorders>
              <w:top w:val="nil"/>
              <w:left w:val="nil"/>
              <w:bottom w:val="nil"/>
              <w:right w:val="nil"/>
            </w:tcBorders>
            <w:tcMar>
              <w:top w:w="45" w:type="dxa"/>
              <w:left w:w="45" w:type="dxa"/>
              <w:bottom w:w="45" w:type="dxa"/>
              <w:right w:w="45" w:type="dxa"/>
            </w:tcMar>
            <w:vAlign w:val="center"/>
          </w:tcPr>
          <w:p w14:paraId="39DF9B8B"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Case-control</w:t>
            </w:r>
          </w:p>
        </w:tc>
        <w:tc>
          <w:tcPr>
            <w:tcW w:w="1055" w:type="dxa"/>
            <w:tcBorders>
              <w:top w:val="nil"/>
              <w:left w:val="nil"/>
              <w:bottom w:val="nil"/>
              <w:right w:val="nil"/>
            </w:tcBorders>
            <w:tcMar>
              <w:top w:w="45" w:type="dxa"/>
              <w:left w:w="45" w:type="dxa"/>
              <w:bottom w:w="45" w:type="dxa"/>
              <w:right w:w="45" w:type="dxa"/>
            </w:tcMar>
            <w:vAlign w:val="center"/>
          </w:tcPr>
          <w:p w14:paraId="525EFB03"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6 IVF-RIF vs. 6 fertile oocyte donors</w:t>
            </w:r>
          </w:p>
        </w:tc>
        <w:tc>
          <w:tcPr>
            <w:tcW w:w="1787" w:type="dxa"/>
            <w:tcBorders>
              <w:top w:val="nil"/>
              <w:left w:val="nil"/>
              <w:bottom w:val="nil"/>
              <w:right w:val="nil"/>
            </w:tcBorders>
            <w:tcMar>
              <w:top w:w="45" w:type="dxa"/>
              <w:left w:w="45" w:type="dxa"/>
              <w:bottom w:w="45" w:type="dxa"/>
              <w:right w:w="45" w:type="dxa"/>
            </w:tcMar>
            <w:vAlign w:val="center"/>
          </w:tcPr>
          <w:p w14:paraId="20D081E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448 differentially methylated CpG sites; NLRP2 methylation inversely correlated with expression, while SERPINA5 promoter hypomethylation accompanied increased expression.</w:t>
            </w:r>
          </w:p>
        </w:tc>
        <w:tc>
          <w:tcPr>
            <w:tcW w:w="2411" w:type="dxa"/>
            <w:tcBorders>
              <w:top w:val="nil"/>
              <w:left w:val="nil"/>
              <w:bottom w:val="nil"/>
              <w:right w:val="nil"/>
            </w:tcBorders>
            <w:tcMar>
              <w:top w:w="45" w:type="dxa"/>
              <w:left w:w="45" w:type="dxa"/>
              <w:bottom w:w="45" w:type="dxa"/>
              <w:right w:w="45" w:type="dxa"/>
            </w:tcMar>
            <w:vAlign w:val="center"/>
          </w:tcPr>
          <w:p w14:paraId="7A1520C9"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Direct RIF methylation evidence supporting immune/G-protein-related epigenetic dysregulation; not evidence of repeatedly replicated HOXA10/HOXA11 promoter hypermethylation.</w:t>
            </w:r>
          </w:p>
        </w:tc>
        <w:tc>
          <w:tcPr>
            <w:tcW w:w="1738" w:type="dxa"/>
            <w:tcBorders>
              <w:top w:val="nil"/>
              <w:left w:val="nil"/>
              <w:bottom w:val="nil"/>
              <w:right w:val="nil"/>
            </w:tcBorders>
            <w:tcMar>
              <w:top w:w="45" w:type="dxa"/>
              <w:left w:w="45" w:type="dxa"/>
              <w:bottom w:w="45" w:type="dxa"/>
              <w:right w:w="45" w:type="dxa"/>
            </w:tcMar>
            <w:vAlign w:val="center"/>
          </w:tcPr>
          <w:p w14:paraId="1797A7FF"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Genome-wide DNA methylation + gene-expression microarray; DAVID enrichment; methylation-expression correlation</w:t>
            </w:r>
          </w:p>
        </w:tc>
        <w:tc>
          <w:tcPr>
            <w:tcW w:w="1364" w:type="dxa"/>
            <w:tcBorders>
              <w:top w:val="nil"/>
              <w:left w:val="nil"/>
              <w:bottom w:val="nil"/>
              <w:right w:val="nil"/>
            </w:tcBorders>
            <w:tcMar>
              <w:top w:w="45" w:type="dxa"/>
              <w:left w:w="45" w:type="dxa"/>
              <w:bottom w:w="45" w:type="dxa"/>
              <w:right w:w="45" w:type="dxa"/>
            </w:tcMar>
            <w:vAlign w:val="center"/>
          </w:tcPr>
          <w:p w14:paraId="3014A78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Paired methylation and expression profiling in RIF endometrium.</w:t>
            </w:r>
          </w:p>
        </w:tc>
        <w:tc>
          <w:tcPr>
            <w:tcW w:w="1380" w:type="dxa"/>
            <w:tcBorders>
              <w:top w:val="nil"/>
              <w:left w:val="nil"/>
              <w:bottom w:val="nil"/>
              <w:right w:val="nil"/>
            </w:tcBorders>
            <w:tcMar>
              <w:top w:w="45" w:type="dxa"/>
              <w:left w:w="45" w:type="dxa"/>
              <w:bottom w:w="45" w:type="dxa"/>
              <w:right w:w="45" w:type="dxa"/>
            </w:tcMar>
            <w:vAlign w:val="center"/>
          </w:tcPr>
          <w:p w14:paraId="236C6B65"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Very small cohort (n=12); findings require larger independent validation.</w:t>
            </w:r>
          </w:p>
        </w:tc>
      </w:tr>
      <w:tr w:rsidR="00D7116D" w:rsidRPr="00D578DF" w14:paraId="421F8B2F"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94EDF0C"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Xue P et al., 2021 [40]</w:t>
            </w:r>
          </w:p>
        </w:tc>
        <w:tc>
          <w:tcPr>
            <w:tcW w:w="1114" w:type="dxa"/>
            <w:tcBorders>
              <w:top w:val="nil"/>
              <w:left w:val="nil"/>
              <w:bottom w:val="nil"/>
              <w:right w:val="nil"/>
            </w:tcBorders>
            <w:tcMar>
              <w:top w:w="45" w:type="dxa"/>
              <w:left w:w="45" w:type="dxa"/>
              <w:bottom w:w="45" w:type="dxa"/>
              <w:right w:w="45" w:type="dxa"/>
            </w:tcMar>
            <w:vAlign w:val="center"/>
          </w:tcPr>
          <w:p w14:paraId="71CFAB2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Biology and Endocrinology</w:t>
            </w:r>
          </w:p>
        </w:tc>
        <w:tc>
          <w:tcPr>
            <w:tcW w:w="1189" w:type="dxa"/>
            <w:tcBorders>
              <w:top w:val="nil"/>
              <w:left w:val="nil"/>
              <w:bottom w:val="nil"/>
              <w:right w:val="nil"/>
            </w:tcBorders>
            <w:tcMar>
              <w:top w:w="45" w:type="dxa"/>
              <w:left w:w="45" w:type="dxa"/>
              <w:bottom w:w="45" w:type="dxa"/>
              <w:right w:w="45" w:type="dxa"/>
            </w:tcMar>
            <w:vAlign w:val="center"/>
          </w:tcPr>
          <w:p w14:paraId="46E597D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Mechanistic (in vitro + in vivo)</w:t>
            </w:r>
          </w:p>
        </w:tc>
        <w:tc>
          <w:tcPr>
            <w:tcW w:w="1055" w:type="dxa"/>
            <w:tcBorders>
              <w:top w:val="nil"/>
              <w:left w:val="nil"/>
              <w:bottom w:val="nil"/>
              <w:right w:val="nil"/>
            </w:tcBorders>
            <w:tcMar>
              <w:top w:w="45" w:type="dxa"/>
              <w:left w:w="45" w:type="dxa"/>
              <w:bottom w:w="45" w:type="dxa"/>
              <w:right w:w="45" w:type="dxa"/>
            </w:tcMar>
            <w:vAlign w:val="center"/>
          </w:tcPr>
          <w:p w14:paraId="70FECE1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Cell lines + mouse model</w:t>
            </w:r>
          </w:p>
        </w:tc>
        <w:tc>
          <w:tcPr>
            <w:tcW w:w="1787" w:type="dxa"/>
            <w:tcBorders>
              <w:top w:val="nil"/>
              <w:left w:val="nil"/>
              <w:bottom w:val="nil"/>
              <w:right w:val="nil"/>
            </w:tcBorders>
            <w:tcMar>
              <w:top w:w="45" w:type="dxa"/>
              <w:left w:w="45" w:type="dxa"/>
              <w:bottom w:w="45" w:type="dxa"/>
              <w:right w:w="45" w:type="dxa"/>
            </w:tcMar>
            <w:vAlign w:val="center"/>
          </w:tcPr>
          <w:p w14:paraId="7A3486D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METTL3 upregulation → m6A methylation of HOXA10 mRNA → degradation → impaired </w:t>
            </w:r>
            <w:proofErr w:type="spellStart"/>
            <w:r w:rsidRPr="00D578DF">
              <w:rPr>
                <w:rFonts w:ascii="Times New Roman" w:eastAsia="Calibri" w:hAnsi="Times New Roman" w:cs="Times New Roman"/>
                <w:color w:val="000000" w:themeColor="text1"/>
                <w:sz w:val="20"/>
                <w:szCs w:val="20"/>
              </w:rPr>
              <w:t>decidualisation</w:t>
            </w:r>
            <w:proofErr w:type="spellEnd"/>
          </w:p>
        </w:tc>
        <w:tc>
          <w:tcPr>
            <w:tcW w:w="2411" w:type="dxa"/>
            <w:tcBorders>
              <w:top w:val="nil"/>
              <w:left w:val="nil"/>
              <w:bottom w:val="nil"/>
              <w:right w:val="nil"/>
            </w:tcBorders>
            <w:tcMar>
              <w:top w:w="45" w:type="dxa"/>
              <w:left w:w="45" w:type="dxa"/>
              <w:bottom w:w="45" w:type="dxa"/>
              <w:right w:w="45" w:type="dxa"/>
            </w:tcMar>
            <w:vAlign w:val="center"/>
          </w:tcPr>
          <w:p w14:paraId="4C26D614"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Mechanistic evidence for METTL3–m6A–HOXA10 regulation in RIF; therapeutic targeting remains preclinical.</w:t>
            </w:r>
          </w:p>
        </w:tc>
        <w:tc>
          <w:tcPr>
            <w:tcW w:w="1738" w:type="dxa"/>
            <w:tcBorders>
              <w:top w:val="nil"/>
              <w:left w:val="nil"/>
              <w:bottom w:val="nil"/>
              <w:right w:val="nil"/>
            </w:tcBorders>
            <w:tcMar>
              <w:top w:w="45" w:type="dxa"/>
              <w:left w:w="45" w:type="dxa"/>
              <w:bottom w:w="45" w:type="dxa"/>
              <w:right w:w="45" w:type="dxa"/>
            </w:tcMar>
            <w:vAlign w:val="center"/>
          </w:tcPr>
          <w:p w14:paraId="08EF989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m6A-seq; siRNA knockdown; mouse implantation model</w:t>
            </w:r>
          </w:p>
        </w:tc>
        <w:tc>
          <w:tcPr>
            <w:tcW w:w="1364" w:type="dxa"/>
            <w:tcBorders>
              <w:top w:val="nil"/>
              <w:left w:val="nil"/>
              <w:bottom w:val="nil"/>
              <w:right w:val="nil"/>
            </w:tcBorders>
            <w:tcMar>
              <w:top w:w="45" w:type="dxa"/>
              <w:left w:w="45" w:type="dxa"/>
              <w:bottom w:w="45" w:type="dxa"/>
              <w:right w:w="45" w:type="dxa"/>
            </w:tcMar>
            <w:vAlign w:val="center"/>
          </w:tcPr>
          <w:p w14:paraId="6ABE35E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Strong mechanistic validation; dual in vitro/in vivo design; therapeutic target identified</w:t>
            </w:r>
          </w:p>
        </w:tc>
        <w:tc>
          <w:tcPr>
            <w:tcW w:w="1380" w:type="dxa"/>
            <w:tcBorders>
              <w:top w:val="nil"/>
              <w:left w:val="nil"/>
              <w:bottom w:val="nil"/>
              <w:right w:val="nil"/>
            </w:tcBorders>
            <w:tcMar>
              <w:top w:w="45" w:type="dxa"/>
              <w:left w:w="45" w:type="dxa"/>
              <w:bottom w:w="45" w:type="dxa"/>
              <w:right w:w="45" w:type="dxa"/>
            </w:tcMar>
            <w:vAlign w:val="center"/>
          </w:tcPr>
          <w:p w14:paraId="1E2665E4"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Experimental models support mechanism, but clinical therapeutic efficacy has not been established.</w:t>
            </w:r>
          </w:p>
        </w:tc>
      </w:tr>
      <w:tr w:rsidR="00D7116D" w:rsidRPr="00D578DF" w14:paraId="4B2A6662"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F2B5C1F"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Zhao F et al., 2021 [44]</w:t>
            </w:r>
          </w:p>
        </w:tc>
        <w:tc>
          <w:tcPr>
            <w:tcW w:w="1114" w:type="dxa"/>
            <w:tcBorders>
              <w:top w:val="nil"/>
              <w:left w:val="nil"/>
              <w:bottom w:val="nil"/>
              <w:right w:val="nil"/>
            </w:tcBorders>
            <w:tcMar>
              <w:top w:w="45" w:type="dxa"/>
              <w:left w:w="45" w:type="dxa"/>
              <w:bottom w:w="45" w:type="dxa"/>
              <w:right w:w="45" w:type="dxa"/>
            </w:tcMar>
            <w:vAlign w:val="center"/>
          </w:tcPr>
          <w:p w14:paraId="4D79E72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Diagnostic Pathology</w:t>
            </w:r>
          </w:p>
        </w:tc>
        <w:tc>
          <w:tcPr>
            <w:tcW w:w="1189" w:type="dxa"/>
            <w:tcBorders>
              <w:top w:val="nil"/>
              <w:left w:val="nil"/>
              <w:bottom w:val="nil"/>
              <w:right w:val="nil"/>
            </w:tcBorders>
            <w:tcMar>
              <w:top w:w="45" w:type="dxa"/>
              <w:left w:w="45" w:type="dxa"/>
              <w:bottom w:w="45" w:type="dxa"/>
              <w:right w:w="45" w:type="dxa"/>
            </w:tcMar>
            <w:vAlign w:val="center"/>
          </w:tcPr>
          <w:p w14:paraId="58A4BCF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Functional (</w:t>
            </w:r>
            <w:proofErr w:type="spellStart"/>
            <w:r w:rsidRPr="00D578DF">
              <w:rPr>
                <w:rFonts w:ascii="Times New Roman" w:eastAsia="Calibri" w:hAnsi="Times New Roman" w:cs="Times New Roman"/>
                <w:color w:val="000000" w:themeColor="text1"/>
                <w:sz w:val="20"/>
                <w:szCs w:val="20"/>
              </w:rPr>
              <w:t>ceRNA</w:t>
            </w:r>
            <w:proofErr w:type="spellEnd"/>
            <w:r w:rsidRPr="00D578DF">
              <w:rPr>
                <w:rFonts w:ascii="Times New Roman" w:eastAsia="Calibri" w:hAnsi="Times New Roman" w:cs="Times New Roman"/>
                <w:color w:val="000000" w:themeColor="text1"/>
                <w:sz w:val="20"/>
                <w:szCs w:val="20"/>
              </w:rPr>
              <w:t>)</w:t>
            </w:r>
          </w:p>
        </w:tc>
        <w:tc>
          <w:tcPr>
            <w:tcW w:w="1055" w:type="dxa"/>
            <w:tcBorders>
              <w:top w:val="nil"/>
              <w:left w:val="nil"/>
              <w:bottom w:val="nil"/>
              <w:right w:val="nil"/>
            </w:tcBorders>
            <w:tcMar>
              <w:top w:w="45" w:type="dxa"/>
              <w:left w:w="45" w:type="dxa"/>
              <w:bottom w:w="45" w:type="dxa"/>
              <w:right w:w="45" w:type="dxa"/>
            </w:tcMar>
            <w:vAlign w:val="center"/>
          </w:tcPr>
          <w:p w14:paraId="42F26A15"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25 RIF + 25 women who conceived </w:t>
            </w:r>
            <w:r w:rsidRPr="00D578DF">
              <w:rPr>
                <w:rFonts w:ascii="Times New Roman" w:hAnsi="Times New Roman" w:cs="Times New Roman"/>
                <w:sz w:val="20"/>
                <w:szCs w:val="20"/>
              </w:rPr>
              <w:lastRenderedPageBreak/>
              <w:t xml:space="preserve">after implantation; </w:t>
            </w:r>
            <w:proofErr w:type="gramStart"/>
            <w:r w:rsidRPr="00D578DF">
              <w:rPr>
                <w:rFonts w:ascii="Times New Roman" w:hAnsi="Times New Roman" w:cs="Times New Roman"/>
                <w:sz w:val="20"/>
                <w:szCs w:val="20"/>
              </w:rPr>
              <w:t>plus</w:t>
            </w:r>
            <w:proofErr w:type="gramEnd"/>
            <w:r w:rsidRPr="00D578DF">
              <w:rPr>
                <w:rFonts w:ascii="Times New Roman" w:hAnsi="Times New Roman" w:cs="Times New Roman"/>
                <w:sz w:val="20"/>
                <w:szCs w:val="20"/>
              </w:rPr>
              <w:t xml:space="preserve"> in-vitro assays</w:t>
            </w:r>
          </w:p>
        </w:tc>
        <w:tc>
          <w:tcPr>
            <w:tcW w:w="1787" w:type="dxa"/>
            <w:tcBorders>
              <w:top w:val="nil"/>
              <w:left w:val="nil"/>
              <w:bottom w:val="nil"/>
              <w:right w:val="nil"/>
            </w:tcBorders>
            <w:tcMar>
              <w:top w:w="45" w:type="dxa"/>
              <w:left w:w="45" w:type="dxa"/>
              <w:bottom w:w="45" w:type="dxa"/>
              <w:right w:w="45" w:type="dxa"/>
            </w:tcMar>
            <w:vAlign w:val="center"/>
          </w:tcPr>
          <w:p w14:paraId="68DC885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 xml:space="preserve">hsa_circ_001946 was reduced in RIF; it promoted HOXA10 expression </w:t>
            </w:r>
            <w:r w:rsidRPr="00D578DF">
              <w:rPr>
                <w:rFonts w:ascii="Times New Roman" w:hAnsi="Times New Roman" w:cs="Times New Roman"/>
                <w:sz w:val="20"/>
                <w:szCs w:val="20"/>
              </w:rPr>
              <w:lastRenderedPageBreak/>
              <w:t>by sponging miR-135b and supported proliferation/</w:t>
            </w:r>
            <w:proofErr w:type="spellStart"/>
            <w:r w:rsidRPr="00D578DF">
              <w:rPr>
                <w:rFonts w:ascii="Times New Roman" w:hAnsi="Times New Roman" w:cs="Times New Roman"/>
                <w:sz w:val="20"/>
                <w:szCs w:val="20"/>
              </w:rPr>
              <w:t>decidualisation</w:t>
            </w:r>
            <w:proofErr w:type="spellEnd"/>
            <w:r w:rsidRPr="00D578DF">
              <w:rPr>
                <w:rFonts w:ascii="Times New Roman" w:hAnsi="Times New Roman" w:cs="Times New Roman"/>
                <w:sz w:val="20"/>
                <w:szCs w:val="20"/>
              </w:rPr>
              <w:t xml:space="preserve"> markers.</w:t>
            </w:r>
          </w:p>
        </w:tc>
        <w:tc>
          <w:tcPr>
            <w:tcW w:w="2411" w:type="dxa"/>
            <w:tcBorders>
              <w:top w:val="nil"/>
              <w:left w:val="nil"/>
              <w:bottom w:val="nil"/>
              <w:right w:val="nil"/>
            </w:tcBorders>
            <w:tcMar>
              <w:top w:w="45" w:type="dxa"/>
              <w:left w:w="45" w:type="dxa"/>
              <w:bottom w:w="45" w:type="dxa"/>
              <w:right w:w="45" w:type="dxa"/>
            </w:tcMar>
            <w:vAlign w:val="center"/>
          </w:tcPr>
          <w:p w14:paraId="6F681E5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 xml:space="preserve">Mechanistic </w:t>
            </w:r>
            <w:proofErr w:type="spellStart"/>
            <w:r w:rsidRPr="00D578DF">
              <w:rPr>
                <w:rFonts w:ascii="Times New Roman" w:hAnsi="Times New Roman" w:cs="Times New Roman"/>
                <w:sz w:val="20"/>
                <w:szCs w:val="20"/>
              </w:rPr>
              <w:t>circRNA</w:t>
            </w:r>
            <w:proofErr w:type="spellEnd"/>
            <w:r w:rsidRPr="00D578DF">
              <w:rPr>
                <w:rFonts w:ascii="Times New Roman" w:hAnsi="Times New Roman" w:cs="Times New Roman"/>
                <w:sz w:val="20"/>
                <w:szCs w:val="20"/>
              </w:rPr>
              <w:t xml:space="preserve">–miRNA–HOXA10 axis; candidate biology rather </w:t>
            </w:r>
            <w:r w:rsidRPr="00D578DF">
              <w:rPr>
                <w:rFonts w:ascii="Times New Roman" w:hAnsi="Times New Roman" w:cs="Times New Roman"/>
                <w:sz w:val="20"/>
                <w:szCs w:val="20"/>
              </w:rPr>
              <w:lastRenderedPageBreak/>
              <w:t>than a validated clinical intervention.</w:t>
            </w:r>
          </w:p>
        </w:tc>
        <w:tc>
          <w:tcPr>
            <w:tcW w:w="1738" w:type="dxa"/>
            <w:tcBorders>
              <w:top w:val="nil"/>
              <w:left w:val="nil"/>
              <w:bottom w:val="nil"/>
              <w:right w:val="nil"/>
            </w:tcBorders>
            <w:tcMar>
              <w:top w:w="45" w:type="dxa"/>
              <w:left w:w="45" w:type="dxa"/>
              <w:bottom w:w="45" w:type="dxa"/>
              <w:right w:w="45" w:type="dxa"/>
            </w:tcMar>
            <w:vAlign w:val="center"/>
          </w:tcPr>
          <w:p w14:paraId="0861DA0A" w14:textId="77777777" w:rsidR="00750508" w:rsidRPr="00D578DF" w:rsidRDefault="00B35C98">
            <w:pPr>
              <w:rPr>
                <w:rFonts w:ascii="Times New Roman" w:hAnsi="Times New Roman" w:cs="Times New Roman"/>
                <w:sz w:val="20"/>
                <w:szCs w:val="20"/>
              </w:rPr>
            </w:pPr>
            <w:proofErr w:type="spellStart"/>
            <w:r w:rsidRPr="00D578DF">
              <w:rPr>
                <w:rFonts w:ascii="Times New Roman" w:hAnsi="Times New Roman" w:cs="Times New Roman"/>
                <w:sz w:val="20"/>
                <w:szCs w:val="20"/>
              </w:rPr>
              <w:lastRenderedPageBreak/>
              <w:t>qRT</w:t>
            </w:r>
            <w:proofErr w:type="spellEnd"/>
            <w:r w:rsidRPr="00D578DF">
              <w:rPr>
                <w:rFonts w:ascii="Times New Roman" w:hAnsi="Times New Roman" w:cs="Times New Roman"/>
                <w:sz w:val="20"/>
                <w:szCs w:val="20"/>
              </w:rPr>
              <w:t xml:space="preserve">-PCR; IHC/Western blot; dual-luciferase </w:t>
            </w:r>
            <w:r w:rsidRPr="00D578DF">
              <w:rPr>
                <w:rFonts w:ascii="Times New Roman" w:hAnsi="Times New Roman" w:cs="Times New Roman"/>
                <w:sz w:val="20"/>
                <w:szCs w:val="20"/>
              </w:rPr>
              <w:lastRenderedPageBreak/>
              <w:t>assays; functional cell assays</w:t>
            </w:r>
          </w:p>
        </w:tc>
        <w:tc>
          <w:tcPr>
            <w:tcW w:w="1364" w:type="dxa"/>
            <w:tcBorders>
              <w:top w:val="nil"/>
              <w:left w:val="nil"/>
              <w:bottom w:val="nil"/>
              <w:right w:val="nil"/>
            </w:tcBorders>
            <w:tcMar>
              <w:top w:w="45" w:type="dxa"/>
              <w:left w:w="45" w:type="dxa"/>
              <w:bottom w:w="45" w:type="dxa"/>
              <w:right w:w="45" w:type="dxa"/>
            </w:tcMar>
            <w:vAlign w:val="center"/>
          </w:tcPr>
          <w:p w14:paraId="2CF655A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 xml:space="preserve">Human case-control samples plus functional validation of </w:t>
            </w:r>
            <w:r w:rsidRPr="00D578DF">
              <w:rPr>
                <w:rFonts w:ascii="Times New Roman" w:hAnsi="Times New Roman" w:cs="Times New Roman"/>
                <w:sz w:val="20"/>
                <w:szCs w:val="20"/>
              </w:rPr>
              <w:lastRenderedPageBreak/>
              <w:t xml:space="preserve">the </w:t>
            </w:r>
            <w:proofErr w:type="spellStart"/>
            <w:r w:rsidRPr="00D578DF">
              <w:rPr>
                <w:rFonts w:ascii="Times New Roman" w:hAnsi="Times New Roman" w:cs="Times New Roman"/>
                <w:sz w:val="20"/>
                <w:szCs w:val="20"/>
              </w:rPr>
              <w:t>circRNA</w:t>
            </w:r>
            <w:proofErr w:type="spellEnd"/>
            <w:r w:rsidRPr="00D578DF">
              <w:rPr>
                <w:rFonts w:ascii="Times New Roman" w:hAnsi="Times New Roman" w:cs="Times New Roman"/>
                <w:sz w:val="20"/>
                <w:szCs w:val="20"/>
              </w:rPr>
              <w:t>–miRNA–mRNA interaction.</w:t>
            </w:r>
          </w:p>
        </w:tc>
        <w:tc>
          <w:tcPr>
            <w:tcW w:w="1380" w:type="dxa"/>
            <w:tcBorders>
              <w:top w:val="nil"/>
              <w:left w:val="nil"/>
              <w:bottom w:val="nil"/>
              <w:right w:val="nil"/>
            </w:tcBorders>
            <w:tcMar>
              <w:top w:w="45" w:type="dxa"/>
              <w:left w:w="45" w:type="dxa"/>
              <w:bottom w:w="45" w:type="dxa"/>
              <w:right w:w="45" w:type="dxa"/>
            </w:tcMar>
            <w:vAlign w:val="center"/>
          </w:tcPr>
          <w:p w14:paraId="01418F7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Single-</w:t>
            </w:r>
            <w:proofErr w:type="spellStart"/>
            <w:r w:rsidRPr="00D578DF">
              <w:rPr>
                <w:rFonts w:ascii="Times New Roman" w:hAnsi="Times New Roman" w:cs="Times New Roman"/>
                <w:sz w:val="20"/>
                <w:szCs w:val="20"/>
              </w:rPr>
              <w:t>centre</w:t>
            </w:r>
            <w:proofErr w:type="spellEnd"/>
            <w:r w:rsidRPr="00D578DF">
              <w:rPr>
                <w:rFonts w:ascii="Times New Roman" w:hAnsi="Times New Roman" w:cs="Times New Roman"/>
                <w:sz w:val="20"/>
                <w:szCs w:val="20"/>
              </w:rPr>
              <w:t>; no prospective clinical-</w:t>
            </w:r>
            <w:r w:rsidRPr="00D578DF">
              <w:rPr>
                <w:rFonts w:ascii="Times New Roman" w:hAnsi="Times New Roman" w:cs="Times New Roman"/>
                <w:sz w:val="20"/>
                <w:szCs w:val="20"/>
              </w:rPr>
              <w:lastRenderedPageBreak/>
              <w:t>outcome validation.</w:t>
            </w:r>
          </w:p>
        </w:tc>
      </w:tr>
      <w:tr w:rsidR="00D7116D" w:rsidRPr="00D578DF" w14:paraId="66E7B150"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34A68B61"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Zhao H et al., 2022 [41]</w:t>
            </w:r>
          </w:p>
        </w:tc>
        <w:tc>
          <w:tcPr>
            <w:tcW w:w="1114" w:type="dxa"/>
            <w:tcBorders>
              <w:top w:val="nil"/>
              <w:left w:val="nil"/>
              <w:bottom w:val="nil"/>
              <w:right w:val="nil"/>
            </w:tcBorders>
            <w:tcMar>
              <w:top w:w="45" w:type="dxa"/>
              <w:left w:w="45" w:type="dxa"/>
              <w:bottom w:w="45" w:type="dxa"/>
              <w:right w:w="45" w:type="dxa"/>
            </w:tcMar>
            <w:vAlign w:val="center"/>
          </w:tcPr>
          <w:p w14:paraId="743DDC0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Molecular Therapy</w:t>
            </w:r>
          </w:p>
        </w:tc>
        <w:tc>
          <w:tcPr>
            <w:tcW w:w="1189" w:type="dxa"/>
            <w:tcBorders>
              <w:top w:val="nil"/>
              <w:left w:val="nil"/>
              <w:bottom w:val="nil"/>
              <w:right w:val="nil"/>
            </w:tcBorders>
            <w:tcMar>
              <w:top w:w="45" w:type="dxa"/>
              <w:left w:w="45" w:type="dxa"/>
              <w:bottom w:w="45" w:type="dxa"/>
              <w:right w:w="45" w:type="dxa"/>
            </w:tcMar>
            <w:vAlign w:val="center"/>
          </w:tcPr>
          <w:p w14:paraId="042E156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Functional (lncRNA)</w:t>
            </w:r>
          </w:p>
        </w:tc>
        <w:tc>
          <w:tcPr>
            <w:tcW w:w="1055" w:type="dxa"/>
            <w:tcBorders>
              <w:top w:val="nil"/>
              <w:left w:val="nil"/>
              <w:bottom w:val="nil"/>
              <w:right w:val="nil"/>
            </w:tcBorders>
            <w:tcMar>
              <w:top w:w="45" w:type="dxa"/>
              <w:left w:w="45" w:type="dxa"/>
              <w:bottom w:w="45" w:type="dxa"/>
              <w:right w:w="45" w:type="dxa"/>
            </w:tcMar>
            <w:vAlign w:val="center"/>
          </w:tcPr>
          <w:p w14:paraId="76F85181"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Human RIF endometrial samples + in-vitro </w:t>
            </w:r>
            <w:proofErr w:type="spellStart"/>
            <w:r w:rsidRPr="00D578DF">
              <w:rPr>
                <w:rFonts w:ascii="Times New Roman" w:hAnsi="Times New Roman" w:cs="Times New Roman"/>
                <w:sz w:val="20"/>
                <w:szCs w:val="20"/>
              </w:rPr>
              <w:t>hESC</w:t>
            </w:r>
            <w:proofErr w:type="spellEnd"/>
            <w:r w:rsidRPr="00D578DF">
              <w:rPr>
                <w:rFonts w:ascii="Times New Roman" w:hAnsi="Times New Roman" w:cs="Times New Roman"/>
                <w:sz w:val="20"/>
                <w:szCs w:val="20"/>
              </w:rPr>
              <w:t xml:space="preserve"> experiments</w:t>
            </w:r>
          </w:p>
        </w:tc>
        <w:tc>
          <w:tcPr>
            <w:tcW w:w="1787" w:type="dxa"/>
            <w:tcBorders>
              <w:top w:val="nil"/>
              <w:left w:val="nil"/>
              <w:bottom w:val="nil"/>
              <w:right w:val="nil"/>
            </w:tcBorders>
            <w:tcMar>
              <w:top w:w="45" w:type="dxa"/>
              <w:left w:w="45" w:type="dxa"/>
              <w:bottom w:w="45" w:type="dxa"/>
              <w:right w:w="45" w:type="dxa"/>
            </w:tcMar>
            <w:vAlign w:val="center"/>
          </w:tcPr>
          <w:p w14:paraId="2F5BC570"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HOXA11-AS was elevated in RIF and attenuated </w:t>
            </w:r>
            <w:proofErr w:type="spellStart"/>
            <w:r w:rsidRPr="00D578DF">
              <w:rPr>
                <w:rFonts w:ascii="Times New Roman" w:hAnsi="Times New Roman" w:cs="Times New Roman"/>
                <w:sz w:val="20"/>
                <w:szCs w:val="20"/>
              </w:rPr>
              <w:t>decidualisation</w:t>
            </w:r>
            <w:proofErr w:type="spellEnd"/>
            <w:r w:rsidRPr="00D578DF">
              <w:rPr>
                <w:rFonts w:ascii="Times New Roman" w:hAnsi="Times New Roman" w:cs="Times New Roman"/>
                <w:sz w:val="20"/>
                <w:szCs w:val="20"/>
              </w:rPr>
              <w:t xml:space="preserve"> by competitively binding PTBP1, shifting PKM1/PKM2 splicing toward higher PKM1 and lower PKM2.</w:t>
            </w:r>
          </w:p>
        </w:tc>
        <w:tc>
          <w:tcPr>
            <w:tcW w:w="2411" w:type="dxa"/>
            <w:tcBorders>
              <w:top w:val="nil"/>
              <w:left w:val="nil"/>
              <w:bottom w:val="nil"/>
              <w:right w:val="nil"/>
            </w:tcBorders>
            <w:tcMar>
              <w:top w:w="45" w:type="dxa"/>
              <w:left w:w="45" w:type="dxa"/>
              <w:bottom w:w="45" w:type="dxa"/>
              <w:right w:w="45" w:type="dxa"/>
            </w:tcMar>
            <w:vAlign w:val="center"/>
          </w:tcPr>
          <w:p w14:paraId="6EB23207"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HOXA11-AS/PTBP1/PKM1/2 axis is a mechanistic candidate pathway; clinical treatment benefit is unproven.</w:t>
            </w:r>
          </w:p>
        </w:tc>
        <w:tc>
          <w:tcPr>
            <w:tcW w:w="1738" w:type="dxa"/>
            <w:tcBorders>
              <w:top w:val="nil"/>
              <w:left w:val="nil"/>
              <w:bottom w:val="nil"/>
              <w:right w:val="nil"/>
            </w:tcBorders>
            <w:tcMar>
              <w:top w:w="45" w:type="dxa"/>
              <w:left w:w="45" w:type="dxa"/>
              <w:bottom w:w="45" w:type="dxa"/>
              <w:right w:w="45" w:type="dxa"/>
            </w:tcMar>
            <w:vAlign w:val="center"/>
          </w:tcPr>
          <w:p w14:paraId="4536164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RNA profiling; RIP-qPCR; splice analysis; knockdown/overexpression and rescue experiments</w:t>
            </w:r>
          </w:p>
        </w:tc>
        <w:tc>
          <w:tcPr>
            <w:tcW w:w="1364" w:type="dxa"/>
            <w:tcBorders>
              <w:top w:val="nil"/>
              <w:left w:val="nil"/>
              <w:bottom w:val="nil"/>
              <w:right w:val="nil"/>
            </w:tcBorders>
            <w:tcMar>
              <w:top w:w="45" w:type="dxa"/>
              <w:left w:w="45" w:type="dxa"/>
              <w:bottom w:w="45" w:type="dxa"/>
              <w:right w:w="45" w:type="dxa"/>
            </w:tcMar>
            <w:vAlign w:val="center"/>
          </w:tcPr>
          <w:p w14:paraId="47026735"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Mechanistic rescue experiments and confirmation in RIF endometrium.</w:t>
            </w:r>
          </w:p>
        </w:tc>
        <w:tc>
          <w:tcPr>
            <w:tcW w:w="1380" w:type="dxa"/>
            <w:tcBorders>
              <w:top w:val="nil"/>
              <w:left w:val="nil"/>
              <w:bottom w:val="nil"/>
              <w:right w:val="nil"/>
            </w:tcBorders>
            <w:tcMar>
              <w:top w:w="45" w:type="dxa"/>
              <w:left w:w="45" w:type="dxa"/>
              <w:bottom w:w="45" w:type="dxa"/>
              <w:right w:w="45" w:type="dxa"/>
            </w:tcMar>
            <w:vAlign w:val="center"/>
          </w:tcPr>
          <w:p w14:paraId="423E30E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Clinical cohort was limited; IVF outcome and therapeutic efficacy were not directly tested.</w:t>
            </w:r>
          </w:p>
        </w:tc>
      </w:tr>
      <w:tr w:rsidR="00D7116D" w:rsidRPr="00D578DF" w14:paraId="64F50835"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618A3343"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Adamczyk M et al., 2022 [39]</w:t>
            </w:r>
          </w:p>
        </w:tc>
        <w:tc>
          <w:tcPr>
            <w:tcW w:w="1114" w:type="dxa"/>
            <w:tcBorders>
              <w:top w:val="nil"/>
              <w:left w:val="nil"/>
              <w:bottom w:val="nil"/>
              <w:right w:val="nil"/>
            </w:tcBorders>
            <w:tcMar>
              <w:top w:w="45" w:type="dxa"/>
              <w:left w:w="45" w:type="dxa"/>
              <w:bottom w:w="45" w:type="dxa"/>
              <w:right w:w="45" w:type="dxa"/>
            </w:tcMar>
            <w:vAlign w:val="center"/>
          </w:tcPr>
          <w:p w14:paraId="0DDD6C1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International Journal of Molecular Sciences</w:t>
            </w:r>
          </w:p>
        </w:tc>
        <w:tc>
          <w:tcPr>
            <w:tcW w:w="1189" w:type="dxa"/>
            <w:tcBorders>
              <w:top w:val="nil"/>
              <w:left w:val="nil"/>
              <w:bottom w:val="nil"/>
              <w:right w:val="nil"/>
            </w:tcBorders>
            <w:tcMar>
              <w:top w:w="45" w:type="dxa"/>
              <w:left w:w="45" w:type="dxa"/>
              <w:bottom w:w="45" w:type="dxa"/>
              <w:right w:w="45" w:type="dxa"/>
            </w:tcMar>
            <w:vAlign w:val="center"/>
          </w:tcPr>
          <w:p w14:paraId="028813D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Review</w:t>
            </w:r>
          </w:p>
        </w:tc>
        <w:tc>
          <w:tcPr>
            <w:tcW w:w="1055" w:type="dxa"/>
            <w:tcBorders>
              <w:top w:val="nil"/>
              <w:left w:val="nil"/>
              <w:bottom w:val="nil"/>
              <w:right w:val="nil"/>
            </w:tcBorders>
            <w:tcMar>
              <w:top w:w="45" w:type="dxa"/>
              <w:left w:w="45" w:type="dxa"/>
              <w:bottom w:w="45" w:type="dxa"/>
              <w:right w:w="45" w:type="dxa"/>
            </w:tcMar>
            <w:vAlign w:val="center"/>
          </w:tcPr>
          <w:p w14:paraId="396DA0A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3DBA05E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DNA methylation, histone acetylation, and miRNA dysregulation in endometriosis endometrium; DNMT3B overexpression; H3K27ac loss</w:t>
            </w:r>
          </w:p>
        </w:tc>
        <w:tc>
          <w:tcPr>
            <w:tcW w:w="2411" w:type="dxa"/>
            <w:tcBorders>
              <w:top w:val="nil"/>
              <w:left w:val="nil"/>
              <w:bottom w:val="nil"/>
              <w:right w:val="nil"/>
            </w:tcBorders>
            <w:tcMar>
              <w:top w:w="45" w:type="dxa"/>
              <w:left w:w="45" w:type="dxa"/>
              <w:bottom w:w="45" w:type="dxa"/>
              <w:right w:w="45" w:type="dxa"/>
            </w:tcMar>
            <w:vAlign w:val="center"/>
          </w:tcPr>
          <w:p w14:paraId="248280A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Epigenetic reversal therapies (HDAC inhibitors, DNMT inhibitors) as adjuncts in endometriosis-RIF</w:t>
            </w:r>
          </w:p>
        </w:tc>
        <w:tc>
          <w:tcPr>
            <w:tcW w:w="1738" w:type="dxa"/>
            <w:tcBorders>
              <w:top w:val="nil"/>
              <w:left w:val="nil"/>
              <w:bottom w:val="nil"/>
              <w:right w:val="nil"/>
            </w:tcBorders>
            <w:tcMar>
              <w:top w:w="45" w:type="dxa"/>
              <w:left w:w="45" w:type="dxa"/>
              <w:bottom w:w="45" w:type="dxa"/>
              <w:right w:w="45" w:type="dxa"/>
            </w:tcMar>
            <w:vAlign w:val="center"/>
          </w:tcPr>
          <w:p w14:paraId="3D8F91C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Literature synthesis</w:t>
            </w:r>
          </w:p>
        </w:tc>
        <w:tc>
          <w:tcPr>
            <w:tcW w:w="1364" w:type="dxa"/>
            <w:tcBorders>
              <w:top w:val="nil"/>
              <w:left w:val="nil"/>
              <w:bottom w:val="nil"/>
              <w:right w:val="nil"/>
            </w:tcBorders>
            <w:tcMar>
              <w:top w:w="45" w:type="dxa"/>
              <w:left w:w="45" w:type="dxa"/>
              <w:bottom w:w="45" w:type="dxa"/>
              <w:right w:w="45" w:type="dxa"/>
            </w:tcMar>
            <w:vAlign w:val="center"/>
          </w:tcPr>
          <w:p w14:paraId="47D7DE0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Integrates DNA methylation, histone, and ncRNA evidence; endometriosis-specific focus</w:t>
            </w:r>
          </w:p>
        </w:tc>
        <w:tc>
          <w:tcPr>
            <w:tcW w:w="1380" w:type="dxa"/>
            <w:tcBorders>
              <w:top w:val="nil"/>
              <w:left w:val="nil"/>
              <w:bottom w:val="nil"/>
              <w:right w:val="nil"/>
            </w:tcBorders>
            <w:tcMar>
              <w:top w:w="45" w:type="dxa"/>
              <w:left w:w="45" w:type="dxa"/>
              <w:bottom w:w="45" w:type="dxa"/>
              <w:right w:w="45" w:type="dxa"/>
            </w:tcMar>
            <w:vAlign w:val="center"/>
          </w:tcPr>
          <w:p w14:paraId="3F6D738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methodology; no PRISMA</w:t>
            </w:r>
          </w:p>
        </w:tc>
      </w:tr>
      <w:tr w:rsidR="00D7116D" w:rsidRPr="00D578DF" w14:paraId="3261A58D"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748CC1F"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Fu H et al., 2022 [42]</w:t>
            </w:r>
          </w:p>
        </w:tc>
        <w:tc>
          <w:tcPr>
            <w:tcW w:w="1114" w:type="dxa"/>
            <w:tcBorders>
              <w:top w:val="nil"/>
              <w:left w:val="nil"/>
              <w:bottom w:val="nil"/>
              <w:right w:val="nil"/>
            </w:tcBorders>
            <w:tcMar>
              <w:top w:w="45" w:type="dxa"/>
              <w:left w:w="45" w:type="dxa"/>
              <w:bottom w:w="45" w:type="dxa"/>
              <w:right w:w="45" w:type="dxa"/>
            </w:tcMar>
            <w:vAlign w:val="center"/>
          </w:tcPr>
          <w:p w14:paraId="2ECB863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Biology and Endocrinology</w:t>
            </w:r>
          </w:p>
        </w:tc>
        <w:tc>
          <w:tcPr>
            <w:tcW w:w="1189" w:type="dxa"/>
            <w:tcBorders>
              <w:top w:val="nil"/>
              <w:left w:val="nil"/>
              <w:bottom w:val="nil"/>
              <w:right w:val="nil"/>
            </w:tcBorders>
            <w:tcMar>
              <w:top w:w="45" w:type="dxa"/>
              <w:left w:w="45" w:type="dxa"/>
              <w:bottom w:w="45" w:type="dxa"/>
              <w:right w:w="45" w:type="dxa"/>
            </w:tcMar>
            <w:vAlign w:val="center"/>
          </w:tcPr>
          <w:p w14:paraId="50E80A3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Functional (mechanistic)</w:t>
            </w:r>
          </w:p>
        </w:tc>
        <w:tc>
          <w:tcPr>
            <w:tcW w:w="1055" w:type="dxa"/>
            <w:tcBorders>
              <w:top w:val="nil"/>
              <w:left w:val="nil"/>
              <w:bottom w:val="nil"/>
              <w:right w:val="nil"/>
            </w:tcBorders>
            <w:tcMar>
              <w:top w:w="45" w:type="dxa"/>
              <w:left w:w="45" w:type="dxa"/>
              <w:bottom w:w="45" w:type="dxa"/>
              <w:right w:w="45" w:type="dxa"/>
            </w:tcMar>
            <w:vAlign w:val="center"/>
          </w:tcPr>
          <w:p w14:paraId="70DC1EC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28 biopsies + in vitro</w:t>
            </w:r>
          </w:p>
        </w:tc>
        <w:tc>
          <w:tcPr>
            <w:tcW w:w="1787" w:type="dxa"/>
            <w:tcBorders>
              <w:top w:val="nil"/>
              <w:left w:val="nil"/>
              <w:bottom w:val="nil"/>
              <w:right w:val="nil"/>
            </w:tcBorders>
            <w:tcMar>
              <w:top w:w="45" w:type="dxa"/>
              <w:left w:w="45" w:type="dxa"/>
              <w:bottom w:w="45" w:type="dxa"/>
              <w:right w:w="45" w:type="dxa"/>
            </w:tcMar>
            <w:vAlign w:val="center"/>
          </w:tcPr>
          <w:p w14:paraId="47962A8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TOP2A downregulated in RIF stromal cells; NF-</w:t>
            </w:r>
            <w:proofErr w:type="spellStart"/>
            <w:r w:rsidRPr="00D578DF">
              <w:rPr>
                <w:rFonts w:ascii="Times New Roman" w:eastAsia="Calibri" w:hAnsi="Times New Roman" w:cs="Times New Roman"/>
                <w:color w:val="000000" w:themeColor="text1"/>
                <w:sz w:val="20"/>
                <w:szCs w:val="20"/>
              </w:rPr>
              <w:t>κB</w:t>
            </w:r>
            <w:proofErr w:type="spellEnd"/>
            <w:r w:rsidRPr="00D578DF">
              <w:rPr>
                <w:rFonts w:ascii="Times New Roman" w:eastAsia="Calibri" w:hAnsi="Times New Roman" w:cs="Times New Roman"/>
                <w:color w:val="000000" w:themeColor="text1"/>
                <w:sz w:val="20"/>
                <w:szCs w:val="20"/>
              </w:rPr>
              <w:t xml:space="preserve"> pathway activation; impaired IGFBP1/PRL </w:t>
            </w:r>
            <w:proofErr w:type="spellStart"/>
            <w:r w:rsidRPr="00D578DF">
              <w:rPr>
                <w:rFonts w:ascii="Times New Roman" w:eastAsia="Calibri" w:hAnsi="Times New Roman" w:cs="Times New Roman"/>
                <w:color w:val="000000" w:themeColor="text1"/>
                <w:sz w:val="20"/>
                <w:szCs w:val="20"/>
              </w:rPr>
              <w:t>decidualisation</w:t>
            </w:r>
            <w:proofErr w:type="spellEnd"/>
          </w:p>
        </w:tc>
        <w:tc>
          <w:tcPr>
            <w:tcW w:w="2411" w:type="dxa"/>
            <w:tcBorders>
              <w:top w:val="nil"/>
              <w:left w:val="nil"/>
              <w:bottom w:val="nil"/>
              <w:right w:val="nil"/>
            </w:tcBorders>
            <w:tcMar>
              <w:top w:w="45" w:type="dxa"/>
              <w:left w:w="45" w:type="dxa"/>
              <w:bottom w:w="45" w:type="dxa"/>
              <w:right w:w="45" w:type="dxa"/>
            </w:tcMar>
            <w:vAlign w:val="center"/>
          </w:tcPr>
          <w:p w14:paraId="66EAAD0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TOP2A / NF-</w:t>
            </w:r>
            <w:proofErr w:type="spellStart"/>
            <w:r w:rsidRPr="00D578DF">
              <w:rPr>
                <w:rFonts w:ascii="Times New Roman" w:eastAsia="Calibri" w:hAnsi="Times New Roman" w:cs="Times New Roman"/>
                <w:color w:val="000000" w:themeColor="text1"/>
                <w:sz w:val="20"/>
                <w:szCs w:val="20"/>
              </w:rPr>
              <w:t>κB</w:t>
            </w:r>
            <w:proofErr w:type="spellEnd"/>
            <w:r w:rsidRPr="00D578DF">
              <w:rPr>
                <w:rFonts w:ascii="Times New Roman" w:eastAsia="Calibri" w:hAnsi="Times New Roman" w:cs="Times New Roman"/>
                <w:color w:val="000000" w:themeColor="text1"/>
                <w:sz w:val="20"/>
                <w:szCs w:val="20"/>
              </w:rPr>
              <w:t xml:space="preserve"> axis as a novel </w:t>
            </w:r>
            <w:proofErr w:type="spellStart"/>
            <w:r w:rsidRPr="00D578DF">
              <w:rPr>
                <w:rFonts w:ascii="Times New Roman" w:eastAsia="Calibri" w:hAnsi="Times New Roman" w:cs="Times New Roman"/>
                <w:color w:val="000000" w:themeColor="text1"/>
                <w:sz w:val="20"/>
                <w:szCs w:val="20"/>
              </w:rPr>
              <w:t>decidualisation</w:t>
            </w:r>
            <w:proofErr w:type="spellEnd"/>
            <w:r w:rsidRPr="00D578DF">
              <w:rPr>
                <w:rFonts w:ascii="Times New Roman" w:eastAsia="Calibri" w:hAnsi="Times New Roman" w:cs="Times New Roman"/>
                <w:color w:val="000000" w:themeColor="text1"/>
                <w:sz w:val="20"/>
                <w:szCs w:val="20"/>
              </w:rPr>
              <w:t xml:space="preserve"> therapy target</w:t>
            </w:r>
          </w:p>
        </w:tc>
        <w:tc>
          <w:tcPr>
            <w:tcW w:w="1738" w:type="dxa"/>
            <w:tcBorders>
              <w:top w:val="nil"/>
              <w:left w:val="nil"/>
              <w:bottom w:val="nil"/>
              <w:right w:val="nil"/>
            </w:tcBorders>
            <w:tcMar>
              <w:top w:w="45" w:type="dxa"/>
              <w:left w:w="45" w:type="dxa"/>
              <w:bottom w:w="45" w:type="dxa"/>
              <w:right w:w="45" w:type="dxa"/>
            </w:tcMar>
            <w:vAlign w:val="center"/>
          </w:tcPr>
          <w:p w14:paraId="53FD990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siRNA; </w:t>
            </w:r>
            <w:proofErr w:type="spellStart"/>
            <w:r w:rsidRPr="00D578DF">
              <w:rPr>
                <w:rFonts w:ascii="Times New Roman" w:eastAsia="Calibri" w:hAnsi="Times New Roman" w:cs="Times New Roman"/>
                <w:color w:val="000000" w:themeColor="text1"/>
                <w:sz w:val="20"/>
                <w:szCs w:val="20"/>
              </w:rPr>
              <w:t>ChIP</w:t>
            </w:r>
            <w:proofErr w:type="spellEnd"/>
            <w:r w:rsidRPr="00D578DF">
              <w:rPr>
                <w:rFonts w:ascii="Times New Roman" w:eastAsia="Calibri" w:hAnsi="Times New Roman" w:cs="Times New Roman"/>
                <w:color w:val="000000" w:themeColor="text1"/>
                <w:sz w:val="20"/>
                <w:szCs w:val="20"/>
              </w:rPr>
              <w:t>; NF-</w:t>
            </w:r>
            <w:proofErr w:type="spellStart"/>
            <w:r w:rsidRPr="00D578DF">
              <w:rPr>
                <w:rFonts w:ascii="Times New Roman" w:eastAsia="Calibri" w:hAnsi="Times New Roman" w:cs="Times New Roman"/>
                <w:color w:val="000000" w:themeColor="text1"/>
                <w:sz w:val="20"/>
                <w:szCs w:val="20"/>
              </w:rPr>
              <w:t>κB</w:t>
            </w:r>
            <w:proofErr w:type="spellEnd"/>
            <w:r w:rsidRPr="00D578DF">
              <w:rPr>
                <w:rFonts w:ascii="Times New Roman" w:eastAsia="Calibri" w:hAnsi="Times New Roman" w:cs="Times New Roman"/>
                <w:color w:val="000000" w:themeColor="text1"/>
                <w:sz w:val="20"/>
                <w:szCs w:val="20"/>
              </w:rPr>
              <w:t xml:space="preserve"> reporter; IHC</w:t>
            </w:r>
          </w:p>
        </w:tc>
        <w:tc>
          <w:tcPr>
            <w:tcW w:w="1364" w:type="dxa"/>
            <w:tcBorders>
              <w:top w:val="nil"/>
              <w:left w:val="nil"/>
              <w:bottom w:val="nil"/>
              <w:right w:val="nil"/>
            </w:tcBorders>
            <w:tcMar>
              <w:top w:w="45" w:type="dxa"/>
              <w:left w:w="45" w:type="dxa"/>
              <w:bottom w:w="45" w:type="dxa"/>
              <w:right w:w="45" w:type="dxa"/>
            </w:tcMar>
            <w:vAlign w:val="center"/>
          </w:tcPr>
          <w:p w14:paraId="42E54C9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Novel decidualization pathway; clinical IHC confirmation; mechanistic depth</w:t>
            </w:r>
          </w:p>
        </w:tc>
        <w:tc>
          <w:tcPr>
            <w:tcW w:w="1380" w:type="dxa"/>
            <w:tcBorders>
              <w:top w:val="nil"/>
              <w:left w:val="nil"/>
              <w:bottom w:val="nil"/>
              <w:right w:val="nil"/>
            </w:tcBorders>
            <w:tcMar>
              <w:top w:w="45" w:type="dxa"/>
              <w:left w:w="45" w:type="dxa"/>
              <w:bottom w:w="45" w:type="dxa"/>
              <w:right w:w="45" w:type="dxa"/>
            </w:tcMar>
            <w:vAlign w:val="center"/>
          </w:tcPr>
          <w:p w14:paraId="71B7C73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Cell-line based; moderate sample size</w:t>
            </w:r>
          </w:p>
        </w:tc>
      </w:tr>
      <w:tr w:rsidR="00D7116D" w:rsidRPr="00D578DF" w14:paraId="0CAEB7EF"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6718EAB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Tian Y et al., 2023 [52]</w:t>
            </w:r>
          </w:p>
        </w:tc>
        <w:tc>
          <w:tcPr>
            <w:tcW w:w="1114" w:type="dxa"/>
            <w:tcBorders>
              <w:top w:val="nil"/>
              <w:left w:val="nil"/>
              <w:bottom w:val="nil"/>
              <w:right w:val="nil"/>
            </w:tcBorders>
            <w:tcMar>
              <w:top w:w="45" w:type="dxa"/>
              <w:left w:w="45" w:type="dxa"/>
              <w:bottom w:w="45" w:type="dxa"/>
              <w:right w:w="45" w:type="dxa"/>
            </w:tcMar>
            <w:vAlign w:val="center"/>
          </w:tcPr>
          <w:p w14:paraId="41F135D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Fertility</w:t>
            </w:r>
          </w:p>
        </w:tc>
        <w:tc>
          <w:tcPr>
            <w:tcW w:w="1189" w:type="dxa"/>
            <w:tcBorders>
              <w:top w:val="nil"/>
              <w:left w:val="nil"/>
              <w:bottom w:val="nil"/>
              <w:right w:val="nil"/>
            </w:tcBorders>
            <w:tcMar>
              <w:top w:w="45" w:type="dxa"/>
              <w:left w:w="45" w:type="dxa"/>
              <w:bottom w:w="45" w:type="dxa"/>
              <w:right w:w="45" w:type="dxa"/>
            </w:tcMar>
            <w:vAlign w:val="center"/>
          </w:tcPr>
          <w:p w14:paraId="5DAA436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Controlled before-after</w:t>
            </w:r>
          </w:p>
        </w:tc>
        <w:tc>
          <w:tcPr>
            <w:tcW w:w="1055" w:type="dxa"/>
            <w:tcBorders>
              <w:top w:val="nil"/>
              <w:left w:val="nil"/>
              <w:bottom w:val="nil"/>
              <w:right w:val="nil"/>
            </w:tcBorders>
            <w:tcMar>
              <w:top w:w="45" w:type="dxa"/>
              <w:left w:w="45" w:type="dxa"/>
              <w:bottom w:w="45" w:type="dxa"/>
              <w:right w:w="45" w:type="dxa"/>
            </w:tcMar>
            <w:vAlign w:val="center"/>
          </w:tcPr>
          <w:p w14:paraId="67E8B44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22 women (pre/post scratch)</w:t>
            </w:r>
          </w:p>
        </w:tc>
        <w:tc>
          <w:tcPr>
            <w:tcW w:w="1787" w:type="dxa"/>
            <w:tcBorders>
              <w:top w:val="nil"/>
              <w:left w:val="nil"/>
              <w:bottom w:val="nil"/>
              <w:right w:val="nil"/>
            </w:tcBorders>
            <w:tcMar>
              <w:top w:w="45" w:type="dxa"/>
              <w:left w:w="45" w:type="dxa"/>
              <w:bottom w:w="45" w:type="dxa"/>
              <w:right w:w="45" w:type="dxa"/>
            </w:tcMar>
            <w:vAlign w:val="center"/>
          </w:tcPr>
          <w:p w14:paraId="6558531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Endometrial scratch upregulates immune response genes (IL-1β, TNF-α, LIF) and repair genes; WOI modulation</w:t>
            </w:r>
          </w:p>
        </w:tc>
        <w:tc>
          <w:tcPr>
            <w:tcW w:w="2411" w:type="dxa"/>
            <w:tcBorders>
              <w:top w:val="nil"/>
              <w:left w:val="nil"/>
              <w:bottom w:val="nil"/>
              <w:right w:val="nil"/>
            </w:tcBorders>
            <w:tcMar>
              <w:top w:w="45" w:type="dxa"/>
              <w:left w:w="45" w:type="dxa"/>
              <w:bottom w:w="45" w:type="dxa"/>
              <w:right w:w="45" w:type="dxa"/>
            </w:tcMar>
            <w:vAlign w:val="center"/>
          </w:tcPr>
          <w:p w14:paraId="08798B8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Molecular basis for scratch-mediated WOI modulation; supports targeted use in selected patients</w:t>
            </w:r>
          </w:p>
        </w:tc>
        <w:tc>
          <w:tcPr>
            <w:tcW w:w="1738" w:type="dxa"/>
            <w:tcBorders>
              <w:top w:val="nil"/>
              <w:left w:val="nil"/>
              <w:bottom w:val="nil"/>
              <w:right w:val="nil"/>
            </w:tcBorders>
            <w:tcMar>
              <w:top w:w="45" w:type="dxa"/>
              <w:left w:w="45" w:type="dxa"/>
              <w:bottom w:w="45" w:type="dxa"/>
              <w:right w:w="45" w:type="dxa"/>
            </w:tcMar>
            <w:vAlign w:val="center"/>
          </w:tcPr>
          <w:p w14:paraId="39E9930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Whole-genome RNA-seq; DESeq2</w:t>
            </w:r>
          </w:p>
        </w:tc>
        <w:tc>
          <w:tcPr>
            <w:tcW w:w="1364" w:type="dxa"/>
            <w:tcBorders>
              <w:top w:val="nil"/>
              <w:left w:val="nil"/>
              <w:bottom w:val="nil"/>
              <w:right w:val="nil"/>
            </w:tcBorders>
            <w:tcMar>
              <w:top w:w="45" w:type="dxa"/>
              <w:left w:w="45" w:type="dxa"/>
              <w:bottom w:w="45" w:type="dxa"/>
              <w:right w:w="45" w:type="dxa"/>
            </w:tcMar>
            <w:vAlign w:val="center"/>
          </w:tcPr>
          <w:p w14:paraId="50BA521A"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Randomised</w:t>
            </w:r>
            <w:proofErr w:type="spellEnd"/>
            <w:r w:rsidRPr="00D578DF">
              <w:rPr>
                <w:rFonts w:ascii="Times New Roman" w:eastAsia="Calibri" w:hAnsi="Times New Roman" w:cs="Times New Roman"/>
                <w:color w:val="000000" w:themeColor="text1"/>
                <w:sz w:val="20"/>
                <w:szCs w:val="20"/>
              </w:rPr>
              <w:t xml:space="preserve"> element; whole-genome transcriptomic profiling; clinical intervention relevance</w:t>
            </w:r>
          </w:p>
        </w:tc>
        <w:tc>
          <w:tcPr>
            <w:tcW w:w="1380" w:type="dxa"/>
            <w:tcBorders>
              <w:top w:val="nil"/>
              <w:left w:val="nil"/>
              <w:bottom w:val="nil"/>
              <w:right w:val="nil"/>
            </w:tcBorders>
            <w:tcMar>
              <w:top w:w="45" w:type="dxa"/>
              <w:left w:w="45" w:type="dxa"/>
              <w:bottom w:w="45" w:type="dxa"/>
              <w:right w:w="45" w:type="dxa"/>
            </w:tcMar>
            <w:vAlign w:val="center"/>
          </w:tcPr>
          <w:p w14:paraId="16EC922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Small N; scratch utility still debated clinically</w:t>
            </w:r>
          </w:p>
        </w:tc>
      </w:tr>
      <w:tr w:rsidR="00D7116D" w:rsidRPr="00D578DF" w14:paraId="62ADAFBD"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5D30B4A"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Wang A et al., 2024 [45]</w:t>
            </w:r>
          </w:p>
        </w:tc>
        <w:tc>
          <w:tcPr>
            <w:tcW w:w="1114" w:type="dxa"/>
            <w:tcBorders>
              <w:top w:val="nil"/>
              <w:left w:val="nil"/>
              <w:bottom w:val="nil"/>
              <w:right w:val="nil"/>
            </w:tcBorders>
            <w:tcMar>
              <w:top w:w="45" w:type="dxa"/>
              <w:left w:w="45" w:type="dxa"/>
              <w:bottom w:w="45" w:type="dxa"/>
              <w:right w:w="45" w:type="dxa"/>
            </w:tcMar>
            <w:vAlign w:val="center"/>
          </w:tcPr>
          <w:p w14:paraId="2C64E9F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BMC Medical Genomics</w:t>
            </w:r>
          </w:p>
        </w:tc>
        <w:tc>
          <w:tcPr>
            <w:tcW w:w="1189" w:type="dxa"/>
            <w:tcBorders>
              <w:top w:val="nil"/>
              <w:left w:val="nil"/>
              <w:bottom w:val="nil"/>
              <w:right w:val="nil"/>
            </w:tcBorders>
            <w:tcMar>
              <w:top w:w="45" w:type="dxa"/>
              <w:left w:w="45" w:type="dxa"/>
              <w:bottom w:w="45" w:type="dxa"/>
              <w:right w:w="45" w:type="dxa"/>
            </w:tcMar>
            <w:vAlign w:val="center"/>
          </w:tcPr>
          <w:p w14:paraId="367007D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w:t>
            </w:r>
          </w:p>
        </w:tc>
        <w:tc>
          <w:tcPr>
            <w:tcW w:w="1055" w:type="dxa"/>
            <w:tcBorders>
              <w:top w:val="nil"/>
              <w:left w:val="nil"/>
              <w:bottom w:val="nil"/>
              <w:right w:val="nil"/>
            </w:tcBorders>
            <w:tcMar>
              <w:top w:w="45" w:type="dxa"/>
              <w:left w:w="45" w:type="dxa"/>
              <w:bottom w:w="45" w:type="dxa"/>
              <w:right w:w="45" w:type="dxa"/>
            </w:tcMar>
            <w:vAlign w:val="center"/>
          </w:tcPr>
          <w:p w14:paraId="02E9808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w:t>
            </w:r>
          </w:p>
        </w:tc>
        <w:tc>
          <w:tcPr>
            <w:tcW w:w="1787" w:type="dxa"/>
            <w:tcBorders>
              <w:top w:val="nil"/>
              <w:left w:val="nil"/>
              <w:bottom w:val="nil"/>
              <w:right w:val="nil"/>
            </w:tcBorders>
            <w:tcMar>
              <w:top w:w="45" w:type="dxa"/>
              <w:left w:w="45" w:type="dxa"/>
              <w:bottom w:w="45" w:type="dxa"/>
              <w:right w:w="45" w:type="dxa"/>
            </w:tcMar>
            <w:vAlign w:val="center"/>
          </w:tcPr>
          <w:p w14:paraId="52F5529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hsa_circ_0005075 / miR-144-3p / VEGFA network; angiogenesis hub nodes enriched in RIF</w:t>
            </w:r>
          </w:p>
        </w:tc>
        <w:tc>
          <w:tcPr>
            <w:tcW w:w="2411" w:type="dxa"/>
            <w:tcBorders>
              <w:top w:val="nil"/>
              <w:left w:val="nil"/>
              <w:bottom w:val="nil"/>
              <w:right w:val="nil"/>
            </w:tcBorders>
            <w:tcMar>
              <w:top w:w="45" w:type="dxa"/>
              <w:left w:w="45" w:type="dxa"/>
              <w:bottom w:w="45" w:type="dxa"/>
              <w:right w:w="45" w:type="dxa"/>
            </w:tcMar>
            <w:vAlign w:val="center"/>
          </w:tcPr>
          <w:p w14:paraId="286EAC53"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CircRNA</w:t>
            </w:r>
            <w:proofErr w:type="spellEnd"/>
            <w:r w:rsidRPr="00D578DF">
              <w:rPr>
                <w:rFonts w:ascii="Times New Roman" w:eastAsia="Calibri" w:hAnsi="Times New Roman" w:cs="Times New Roman"/>
                <w:color w:val="000000" w:themeColor="text1"/>
                <w:sz w:val="20"/>
                <w:szCs w:val="20"/>
              </w:rPr>
              <w:t>-angiogenesis network as candidate for antiangiogenic pathway correction in RIF</w:t>
            </w:r>
          </w:p>
        </w:tc>
        <w:tc>
          <w:tcPr>
            <w:tcW w:w="1738" w:type="dxa"/>
            <w:tcBorders>
              <w:top w:val="nil"/>
              <w:left w:val="nil"/>
              <w:bottom w:val="nil"/>
              <w:right w:val="nil"/>
            </w:tcBorders>
            <w:tcMar>
              <w:top w:w="45" w:type="dxa"/>
              <w:left w:w="45" w:type="dxa"/>
              <w:bottom w:w="45" w:type="dxa"/>
              <w:right w:w="45" w:type="dxa"/>
            </w:tcMar>
            <w:vAlign w:val="center"/>
          </w:tcPr>
          <w:p w14:paraId="38D5B67B"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ceRNA</w:t>
            </w:r>
            <w:proofErr w:type="spellEnd"/>
            <w:r w:rsidRPr="00D578DF">
              <w:rPr>
                <w:rFonts w:ascii="Times New Roman" w:eastAsia="Calibri" w:hAnsi="Times New Roman" w:cs="Times New Roman"/>
                <w:color w:val="000000" w:themeColor="text1"/>
                <w:sz w:val="20"/>
                <w:szCs w:val="20"/>
              </w:rPr>
              <w:t xml:space="preserve"> network; GEO; </w:t>
            </w:r>
            <w:proofErr w:type="spellStart"/>
            <w:r w:rsidRPr="00D578DF">
              <w:rPr>
                <w:rFonts w:ascii="Times New Roman" w:eastAsia="Calibri" w:hAnsi="Times New Roman" w:cs="Times New Roman"/>
                <w:color w:val="000000" w:themeColor="text1"/>
                <w:sz w:val="20"/>
                <w:szCs w:val="20"/>
              </w:rPr>
              <w:t>Cytoscape</w:t>
            </w:r>
            <w:proofErr w:type="spellEnd"/>
          </w:p>
        </w:tc>
        <w:tc>
          <w:tcPr>
            <w:tcW w:w="1364" w:type="dxa"/>
            <w:tcBorders>
              <w:top w:val="nil"/>
              <w:left w:val="nil"/>
              <w:bottom w:val="nil"/>
              <w:right w:val="nil"/>
            </w:tcBorders>
            <w:tcMar>
              <w:top w:w="45" w:type="dxa"/>
              <w:left w:w="45" w:type="dxa"/>
              <w:bottom w:w="45" w:type="dxa"/>
              <w:right w:w="45" w:type="dxa"/>
            </w:tcMar>
            <w:vAlign w:val="center"/>
          </w:tcPr>
          <w:p w14:paraId="79C66DB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Angiogenesis focus is novel; multi-layer network analysis</w:t>
            </w:r>
          </w:p>
        </w:tc>
        <w:tc>
          <w:tcPr>
            <w:tcW w:w="1380" w:type="dxa"/>
            <w:tcBorders>
              <w:top w:val="nil"/>
              <w:left w:val="nil"/>
              <w:bottom w:val="nil"/>
              <w:right w:val="nil"/>
            </w:tcBorders>
            <w:tcMar>
              <w:top w:w="45" w:type="dxa"/>
              <w:left w:w="45" w:type="dxa"/>
              <w:bottom w:w="45" w:type="dxa"/>
              <w:right w:w="45" w:type="dxa"/>
            </w:tcMar>
            <w:vAlign w:val="center"/>
          </w:tcPr>
          <w:p w14:paraId="4C6BE7F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 experimental validation; purely computational</w:t>
            </w:r>
          </w:p>
        </w:tc>
      </w:tr>
      <w:tr w:rsidR="00D7116D" w:rsidRPr="00D578DF" w14:paraId="2FB852F9"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C3BBF6D"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Luo J et al., 2024 [46]</w:t>
            </w:r>
          </w:p>
        </w:tc>
        <w:tc>
          <w:tcPr>
            <w:tcW w:w="1114" w:type="dxa"/>
            <w:tcBorders>
              <w:top w:val="nil"/>
              <w:left w:val="nil"/>
              <w:bottom w:val="nil"/>
              <w:right w:val="nil"/>
            </w:tcBorders>
            <w:tcMar>
              <w:top w:w="45" w:type="dxa"/>
              <w:left w:w="45" w:type="dxa"/>
              <w:bottom w:w="45" w:type="dxa"/>
              <w:right w:w="45" w:type="dxa"/>
            </w:tcMar>
            <w:vAlign w:val="center"/>
          </w:tcPr>
          <w:p w14:paraId="5B2B834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Assisted Reproduction and Genetics</w:t>
            </w:r>
          </w:p>
        </w:tc>
        <w:tc>
          <w:tcPr>
            <w:tcW w:w="1189" w:type="dxa"/>
            <w:tcBorders>
              <w:top w:val="nil"/>
              <w:left w:val="nil"/>
              <w:bottom w:val="nil"/>
              <w:right w:val="nil"/>
            </w:tcBorders>
            <w:tcMar>
              <w:top w:w="45" w:type="dxa"/>
              <w:left w:w="45" w:type="dxa"/>
              <w:bottom w:w="45" w:type="dxa"/>
              <w:right w:w="45" w:type="dxa"/>
            </w:tcMar>
            <w:vAlign w:val="center"/>
          </w:tcPr>
          <w:p w14:paraId="2F58FE7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w:t>
            </w:r>
          </w:p>
        </w:tc>
        <w:tc>
          <w:tcPr>
            <w:tcW w:w="1055" w:type="dxa"/>
            <w:tcBorders>
              <w:top w:val="nil"/>
              <w:left w:val="nil"/>
              <w:bottom w:val="nil"/>
              <w:right w:val="nil"/>
            </w:tcBorders>
            <w:tcMar>
              <w:top w:w="45" w:type="dxa"/>
              <w:left w:w="45" w:type="dxa"/>
              <w:bottom w:w="45" w:type="dxa"/>
              <w:right w:w="45" w:type="dxa"/>
            </w:tcMar>
            <w:vAlign w:val="center"/>
          </w:tcPr>
          <w:p w14:paraId="0427A8E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w:t>
            </w:r>
          </w:p>
        </w:tc>
        <w:tc>
          <w:tcPr>
            <w:tcW w:w="1787" w:type="dxa"/>
            <w:tcBorders>
              <w:top w:val="nil"/>
              <w:left w:val="nil"/>
              <w:bottom w:val="nil"/>
              <w:right w:val="nil"/>
            </w:tcBorders>
            <w:tcMar>
              <w:top w:w="45" w:type="dxa"/>
              <w:left w:w="45" w:type="dxa"/>
              <w:bottom w:w="45" w:type="dxa"/>
              <w:right w:w="45" w:type="dxa"/>
            </w:tcMar>
            <w:vAlign w:val="center"/>
          </w:tcPr>
          <w:p w14:paraId="00874ED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SP1, MYC, HIF1A as master TFs; miR-27a-3p / VEGFA regulatory triad in RIF</w:t>
            </w:r>
          </w:p>
        </w:tc>
        <w:tc>
          <w:tcPr>
            <w:tcW w:w="2411" w:type="dxa"/>
            <w:tcBorders>
              <w:top w:val="nil"/>
              <w:left w:val="nil"/>
              <w:bottom w:val="nil"/>
              <w:right w:val="nil"/>
            </w:tcBorders>
            <w:tcMar>
              <w:top w:w="45" w:type="dxa"/>
              <w:left w:w="45" w:type="dxa"/>
              <w:bottom w:w="45" w:type="dxa"/>
              <w:right w:w="45" w:type="dxa"/>
            </w:tcMar>
            <w:vAlign w:val="center"/>
          </w:tcPr>
          <w:p w14:paraId="61E7FB9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TF-miRNA regulatory network as drug target scaffold for RIF intervention</w:t>
            </w:r>
          </w:p>
        </w:tc>
        <w:tc>
          <w:tcPr>
            <w:tcW w:w="1738" w:type="dxa"/>
            <w:tcBorders>
              <w:top w:val="nil"/>
              <w:left w:val="nil"/>
              <w:bottom w:val="nil"/>
              <w:right w:val="nil"/>
            </w:tcBorders>
            <w:tcMar>
              <w:top w:w="45" w:type="dxa"/>
              <w:left w:w="45" w:type="dxa"/>
              <w:bottom w:w="45" w:type="dxa"/>
              <w:right w:w="45" w:type="dxa"/>
            </w:tcMar>
            <w:vAlign w:val="center"/>
          </w:tcPr>
          <w:p w14:paraId="1BABFB98"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ChIP</w:t>
            </w:r>
            <w:proofErr w:type="spellEnd"/>
            <w:r w:rsidRPr="00D578DF">
              <w:rPr>
                <w:rFonts w:ascii="Times New Roman" w:eastAsia="Calibri" w:hAnsi="Times New Roman" w:cs="Times New Roman"/>
                <w:color w:val="000000" w:themeColor="text1"/>
                <w:sz w:val="20"/>
                <w:szCs w:val="20"/>
              </w:rPr>
              <w:t>-seq integration; miRNA-target prediction; PPI</w:t>
            </w:r>
          </w:p>
        </w:tc>
        <w:tc>
          <w:tcPr>
            <w:tcW w:w="1364" w:type="dxa"/>
            <w:tcBorders>
              <w:top w:val="nil"/>
              <w:left w:val="nil"/>
              <w:bottom w:val="nil"/>
              <w:right w:val="nil"/>
            </w:tcBorders>
            <w:tcMar>
              <w:top w:w="45" w:type="dxa"/>
              <w:left w:w="45" w:type="dxa"/>
              <w:bottom w:w="45" w:type="dxa"/>
              <w:right w:w="45" w:type="dxa"/>
            </w:tcMar>
            <w:vAlign w:val="center"/>
          </w:tcPr>
          <w:p w14:paraId="2FDFC17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Multi-layer regulatory network; TF integration is novel angle</w:t>
            </w:r>
          </w:p>
        </w:tc>
        <w:tc>
          <w:tcPr>
            <w:tcW w:w="1380" w:type="dxa"/>
            <w:tcBorders>
              <w:top w:val="nil"/>
              <w:left w:val="nil"/>
              <w:bottom w:val="nil"/>
              <w:right w:val="nil"/>
            </w:tcBorders>
            <w:tcMar>
              <w:top w:w="45" w:type="dxa"/>
              <w:left w:w="45" w:type="dxa"/>
              <w:bottom w:w="45" w:type="dxa"/>
              <w:right w:w="45" w:type="dxa"/>
            </w:tcMar>
            <w:vAlign w:val="center"/>
          </w:tcPr>
          <w:p w14:paraId="360D1A5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Purely in silico; validation cohort absent</w:t>
            </w:r>
          </w:p>
        </w:tc>
      </w:tr>
      <w:tr w:rsidR="00D7116D" w:rsidRPr="00D578DF" w14:paraId="1B0ECAA2" w14:textId="77777777" w:rsidTr="00D578DF">
        <w:trPr>
          <w:trHeight w:val="615"/>
          <w:jc w:val="center"/>
        </w:trPr>
        <w:tc>
          <w:tcPr>
            <w:tcW w:w="922" w:type="dxa"/>
            <w:tcBorders>
              <w:top w:val="nil"/>
              <w:left w:val="nil"/>
              <w:bottom w:val="nil"/>
              <w:right w:val="nil"/>
            </w:tcBorders>
            <w:tcMar>
              <w:top w:w="45" w:type="dxa"/>
              <w:left w:w="45" w:type="dxa"/>
              <w:bottom w:w="45" w:type="dxa"/>
              <w:right w:w="45" w:type="dxa"/>
            </w:tcMar>
            <w:vAlign w:val="center"/>
          </w:tcPr>
          <w:p w14:paraId="4D53EC5A"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lastRenderedPageBreak/>
              <w:t>Kudlay</w:t>
            </w:r>
            <w:proofErr w:type="spellEnd"/>
            <w:r w:rsidRPr="00D578DF">
              <w:rPr>
                <w:rFonts w:ascii="Times New Roman" w:hAnsi="Times New Roman" w:cs="Times New Roman"/>
                <w:color w:val="000000"/>
                <w:sz w:val="20"/>
                <w:szCs w:val="20"/>
              </w:rPr>
              <w:t xml:space="preserve"> D et al., 2025 [37]</w:t>
            </w:r>
          </w:p>
        </w:tc>
        <w:tc>
          <w:tcPr>
            <w:tcW w:w="1114" w:type="dxa"/>
            <w:tcBorders>
              <w:top w:val="nil"/>
              <w:left w:val="nil"/>
              <w:bottom w:val="nil"/>
              <w:right w:val="nil"/>
            </w:tcBorders>
            <w:tcMar>
              <w:top w:w="45" w:type="dxa"/>
              <w:left w:w="45" w:type="dxa"/>
              <w:bottom w:w="45" w:type="dxa"/>
              <w:right w:w="45" w:type="dxa"/>
            </w:tcMar>
            <w:vAlign w:val="center"/>
          </w:tcPr>
          <w:p w14:paraId="279F26F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Genes</w:t>
            </w:r>
          </w:p>
        </w:tc>
        <w:tc>
          <w:tcPr>
            <w:tcW w:w="1189" w:type="dxa"/>
            <w:tcBorders>
              <w:top w:val="nil"/>
              <w:left w:val="nil"/>
              <w:bottom w:val="nil"/>
              <w:right w:val="nil"/>
            </w:tcBorders>
            <w:tcMar>
              <w:top w:w="45" w:type="dxa"/>
              <w:left w:w="45" w:type="dxa"/>
              <w:bottom w:w="45" w:type="dxa"/>
              <w:right w:w="45" w:type="dxa"/>
            </w:tcMar>
            <w:vAlign w:val="center"/>
          </w:tcPr>
          <w:p w14:paraId="1FA7A02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Review</w:t>
            </w:r>
          </w:p>
        </w:tc>
        <w:tc>
          <w:tcPr>
            <w:tcW w:w="1055" w:type="dxa"/>
            <w:tcBorders>
              <w:top w:val="nil"/>
              <w:left w:val="nil"/>
              <w:bottom w:val="nil"/>
              <w:right w:val="nil"/>
            </w:tcBorders>
            <w:tcMar>
              <w:top w:w="45" w:type="dxa"/>
              <w:left w:w="45" w:type="dxa"/>
              <w:bottom w:w="45" w:type="dxa"/>
              <w:right w:w="45" w:type="dxa"/>
            </w:tcMar>
            <w:vAlign w:val="center"/>
          </w:tcPr>
          <w:p w14:paraId="7CB72B9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1A1027A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CpG hypermethylation in HOXA10/11 promoters correlates with poor WOI; ART-context analysis</w:t>
            </w:r>
          </w:p>
        </w:tc>
        <w:tc>
          <w:tcPr>
            <w:tcW w:w="2411" w:type="dxa"/>
            <w:tcBorders>
              <w:top w:val="nil"/>
              <w:left w:val="nil"/>
              <w:bottom w:val="nil"/>
              <w:right w:val="nil"/>
            </w:tcBorders>
            <w:tcMar>
              <w:top w:w="45" w:type="dxa"/>
              <w:left w:w="45" w:type="dxa"/>
              <w:bottom w:w="45" w:type="dxa"/>
              <w:right w:w="45" w:type="dxa"/>
            </w:tcMar>
            <w:vAlign w:val="center"/>
          </w:tcPr>
          <w:p w14:paraId="78CD3B5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HOXA10/11 methylation testing as pre-ART epigenetic screening tool</w:t>
            </w:r>
          </w:p>
        </w:tc>
        <w:tc>
          <w:tcPr>
            <w:tcW w:w="1738" w:type="dxa"/>
            <w:tcBorders>
              <w:top w:val="nil"/>
              <w:left w:val="nil"/>
              <w:bottom w:val="nil"/>
              <w:right w:val="nil"/>
            </w:tcBorders>
            <w:tcMar>
              <w:top w:w="45" w:type="dxa"/>
              <w:left w:w="45" w:type="dxa"/>
              <w:bottom w:w="45" w:type="dxa"/>
              <w:right w:w="45" w:type="dxa"/>
            </w:tcMar>
            <w:vAlign w:val="center"/>
          </w:tcPr>
          <w:p w14:paraId="746AF32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Methylation bisulfite sequencing; EPIC array (reviewed)</w:t>
            </w:r>
          </w:p>
        </w:tc>
        <w:tc>
          <w:tcPr>
            <w:tcW w:w="1364" w:type="dxa"/>
            <w:tcBorders>
              <w:top w:val="nil"/>
              <w:left w:val="nil"/>
              <w:bottom w:val="nil"/>
              <w:right w:val="nil"/>
            </w:tcBorders>
            <w:tcMar>
              <w:top w:w="45" w:type="dxa"/>
              <w:left w:w="45" w:type="dxa"/>
              <w:bottom w:w="45" w:type="dxa"/>
              <w:right w:w="45" w:type="dxa"/>
            </w:tcMar>
            <w:vAlign w:val="center"/>
          </w:tcPr>
          <w:p w14:paraId="45FF7BA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Focused; ART-relevant; up-to-date (2025)</w:t>
            </w:r>
          </w:p>
        </w:tc>
        <w:tc>
          <w:tcPr>
            <w:tcW w:w="1380" w:type="dxa"/>
            <w:tcBorders>
              <w:top w:val="nil"/>
              <w:left w:val="nil"/>
              <w:bottom w:val="nil"/>
              <w:right w:val="nil"/>
            </w:tcBorders>
            <w:tcMar>
              <w:top w:w="45" w:type="dxa"/>
              <w:left w:w="45" w:type="dxa"/>
              <w:bottom w:w="45" w:type="dxa"/>
              <w:right w:w="45" w:type="dxa"/>
            </w:tcMar>
            <w:vAlign w:val="center"/>
          </w:tcPr>
          <w:p w14:paraId="7538B1E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Narrow scope; no systematic search</w:t>
            </w:r>
          </w:p>
        </w:tc>
      </w:tr>
      <w:tr w:rsidR="00D7116D" w:rsidRPr="00D578DF" w14:paraId="07EBC924"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180744E"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t>Pirlog</w:t>
            </w:r>
            <w:proofErr w:type="spellEnd"/>
            <w:r w:rsidRPr="00D578DF">
              <w:rPr>
                <w:rFonts w:ascii="Times New Roman" w:hAnsi="Times New Roman" w:cs="Times New Roman"/>
                <w:color w:val="000000"/>
                <w:sz w:val="20"/>
                <w:szCs w:val="20"/>
              </w:rPr>
              <w:t xml:space="preserve"> LM et al., 2025 [38]</w:t>
            </w:r>
          </w:p>
        </w:tc>
        <w:tc>
          <w:tcPr>
            <w:tcW w:w="1114" w:type="dxa"/>
            <w:tcBorders>
              <w:top w:val="nil"/>
              <w:left w:val="nil"/>
              <w:bottom w:val="nil"/>
              <w:right w:val="nil"/>
            </w:tcBorders>
            <w:tcMar>
              <w:top w:w="45" w:type="dxa"/>
              <w:left w:w="45" w:type="dxa"/>
              <w:bottom w:w="45" w:type="dxa"/>
              <w:right w:w="45" w:type="dxa"/>
            </w:tcMar>
            <w:vAlign w:val="center"/>
          </w:tcPr>
          <w:p w14:paraId="57FAAAC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Biomolecules</w:t>
            </w:r>
          </w:p>
        </w:tc>
        <w:tc>
          <w:tcPr>
            <w:tcW w:w="1189" w:type="dxa"/>
            <w:tcBorders>
              <w:top w:val="nil"/>
              <w:left w:val="nil"/>
              <w:bottom w:val="nil"/>
              <w:right w:val="nil"/>
            </w:tcBorders>
            <w:tcMar>
              <w:top w:w="45" w:type="dxa"/>
              <w:left w:w="45" w:type="dxa"/>
              <w:bottom w:w="45" w:type="dxa"/>
              <w:right w:w="45" w:type="dxa"/>
            </w:tcMar>
            <w:vAlign w:val="center"/>
          </w:tcPr>
          <w:p w14:paraId="46776BD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Review</w:t>
            </w:r>
          </w:p>
        </w:tc>
        <w:tc>
          <w:tcPr>
            <w:tcW w:w="1055" w:type="dxa"/>
            <w:tcBorders>
              <w:top w:val="nil"/>
              <w:left w:val="nil"/>
              <w:bottom w:val="nil"/>
              <w:right w:val="nil"/>
            </w:tcBorders>
            <w:tcMar>
              <w:top w:w="45" w:type="dxa"/>
              <w:left w:w="45" w:type="dxa"/>
              <w:bottom w:w="45" w:type="dxa"/>
              <w:right w:w="45" w:type="dxa"/>
            </w:tcMar>
            <w:vAlign w:val="center"/>
          </w:tcPr>
          <w:p w14:paraId="6E70EA2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7CD2B15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HOXA10/11 expression and methylation patterns across endometrial disorders (RIF, endometriosis, adenomyosis, polyps)</w:t>
            </w:r>
          </w:p>
        </w:tc>
        <w:tc>
          <w:tcPr>
            <w:tcW w:w="2411" w:type="dxa"/>
            <w:tcBorders>
              <w:top w:val="nil"/>
              <w:left w:val="nil"/>
              <w:bottom w:val="nil"/>
              <w:right w:val="nil"/>
            </w:tcBorders>
            <w:tcMar>
              <w:top w:w="45" w:type="dxa"/>
              <w:left w:w="45" w:type="dxa"/>
              <w:bottom w:w="45" w:type="dxa"/>
              <w:right w:w="45" w:type="dxa"/>
            </w:tcMar>
            <w:vAlign w:val="center"/>
          </w:tcPr>
          <w:p w14:paraId="39EAC0E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HOXA locus as a pan-endometrial disorder molecular target</w:t>
            </w:r>
          </w:p>
        </w:tc>
        <w:tc>
          <w:tcPr>
            <w:tcW w:w="1738" w:type="dxa"/>
            <w:tcBorders>
              <w:top w:val="nil"/>
              <w:left w:val="nil"/>
              <w:bottom w:val="nil"/>
              <w:right w:val="nil"/>
            </w:tcBorders>
            <w:tcMar>
              <w:top w:w="45" w:type="dxa"/>
              <w:left w:w="45" w:type="dxa"/>
              <w:bottom w:w="45" w:type="dxa"/>
              <w:right w:w="45" w:type="dxa"/>
            </w:tcMar>
            <w:vAlign w:val="center"/>
          </w:tcPr>
          <w:p w14:paraId="7DF75DD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Literature synthesis</w:t>
            </w:r>
          </w:p>
        </w:tc>
        <w:tc>
          <w:tcPr>
            <w:tcW w:w="1364" w:type="dxa"/>
            <w:tcBorders>
              <w:top w:val="nil"/>
              <w:left w:val="nil"/>
              <w:bottom w:val="nil"/>
              <w:right w:val="nil"/>
            </w:tcBorders>
            <w:tcMar>
              <w:top w:w="45" w:type="dxa"/>
              <w:left w:w="45" w:type="dxa"/>
              <w:bottom w:w="45" w:type="dxa"/>
              <w:right w:w="45" w:type="dxa"/>
            </w:tcMar>
            <w:vAlign w:val="center"/>
          </w:tcPr>
          <w:p w14:paraId="15D71D7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Broadened HOXA context beyond RIF; 2025 update</w:t>
            </w:r>
          </w:p>
        </w:tc>
        <w:tc>
          <w:tcPr>
            <w:tcW w:w="1380" w:type="dxa"/>
            <w:tcBorders>
              <w:top w:val="nil"/>
              <w:left w:val="nil"/>
              <w:bottom w:val="nil"/>
              <w:right w:val="nil"/>
            </w:tcBorders>
            <w:tcMar>
              <w:top w:w="45" w:type="dxa"/>
              <w:left w:w="45" w:type="dxa"/>
              <w:bottom w:w="45" w:type="dxa"/>
              <w:right w:w="45" w:type="dxa"/>
            </w:tcMar>
            <w:vAlign w:val="center"/>
          </w:tcPr>
          <w:p w14:paraId="7891AEC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no meta-analysis</w:t>
            </w:r>
          </w:p>
        </w:tc>
      </w:tr>
      <w:tr w:rsidR="00D7116D" w:rsidRPr="00D578DF" w14:paraId="1EABE0C1"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7B901575"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Yu X et al., 2026 [43]</w:t>
            </w:r>
          </w:p>
        </w:tc>
        <w:tc>
          <w:tcPr>
            <w:tcW w:w="1114" w:type="dxa"/>
            <w:tcBorders>
              <w:top w:val="nil"/>
              <w:left w:val="nil"/>
              <w:bottom w:val="nil"/>
              <w:right w:val="nil"/>
            </w:tcBorders>
            <w:tcMar>
              <w:top w:w="45" w:type="dxa"/>
              <w:left w:w="45" w:type="dxa"/>
              <w:bottom w:w="45" w:type="dxa"/>
              <w:right w:w="45" w:type="dxa"/>
            </w:tcMar>
            <w:vAlign w:val="center"/>
          </w:tcPr>
          <w:p w14:paraId="6194303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Assisted Reproduction and Genetics</w:t>
            </w:r>
          </w:p>
        </w:tc>
        <w:tc>
          <w:tcPr>
            <w:tcW w:w="1189" w:type="dxa"/>
            <w:tcBorders>
              <w:top w:val="nil"/>
              <w:left w:val="nil"/>
              <w:bottom w:val="nil"/>
              <w:right w:val="nil"/>
            </w:tcBorders>
            <w:tcMar>
              <w:top w:w="45" w:type="dxa"/>
              <w:left w:w="45" w:type="dxa"/>
              <w:bottom w:w="45" w:type="dxa"/>
              <w:right w:w="45" w:type="dxa"/>
            </w:tcMar>
            <w:vAlign w:val="center"/>
          </w:tcPr>
          <w:p w14:paraId="0D0AEB5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Functional (epigenetic enzyme)</w:t>
            </w:r>
          </w:p>
        </w:tc>
        <w:tc>
          <w:tcPr>
            <w:tcW w:w="1055" w:type="dxa"/>
            <w:tcBorders>
              <w:top w:val="nil"/>
              <w:left w:val="nil"/>
              <w:bottom w:val="nil"/>
              <w:right w:val="nil"/>
            </w:tcBorders>
            <w:tcMar>
              <w:top w:w="45" w:type="dxa"/>
              <w:left w:w="45" w:type="dxa"/>
              <w:bottom w:w="45" w:type="dxa"/>
              <w:right w:w="45" w:type="dxa"/>
            </w:tcMar>
            <w:vAlign w:val="center"/>
          </w:tcPr>
          <w:p w14:paraId="76F2A93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25 biopsies + in vitro</w:t>
            </w:r>
          </w:p>
        </w:tc>
        <w:tc>
          <w:tcPr>
            <w:tcW w:w="1787" w:type="dxa"/>
            <w:tcBorders>
              <w:top w:val="nil"/>
              <w:left w:val="nil"/>
              <w:bottom w:val="nil"/>
              <w:right w:val="nil"/>
            </w:tcBorders>
            <w:tcMar>
              <w:top w:w="45" w:type="dxa"/>
              <w:left w:w="45" w:type="dxa"/>
              <w:bottom w:w="45" w:type="dxa"/>
              <w:right w:w="45" w:type="dxa"/>
            </w:tcMar>
            <w:vAlign w:val="center"/>
          </w:tcPr>
          <w:p w14:paraId="5652898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SETD7 (H3K4me1 methyltransferase) promotes decidual senescence via FOXO1 transcriptional activation; elevated in RIF</w:t>
            </w:r>
          </w:p>
        </w:tc>
        <w:tc>
          <w:tcPr>
            <w:tcW w:w="2411" w:type="dxa"/>
            <w:tcBorders>
              <w:top w:val="nil"/>
              <w:left w:val="nil"/>
              <w:bottom w:val="nil"/>
              <w:right w:val="nil"/>
            </w:tcBorders>
            <w:tcMar>
              <w:top w:w="45" w:type="dxa"/>
              <w:left w:w="45" w:type="dxa"/>
              <w:bottom w:w="45" w:type="dxa"/>
              <w:right w:w="45" w:type="dxa"/>
            </w:tcMar>
            <w:vAlign w:val="center"/>
          </w:tcPr>
          <w:p w14:paraId="3774000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SETD7 inhibition as a novel anti-senescence therapy to improve endometrial receptivity</w:t>
            </w:r>
          </w:p>
        </w:tc>
        <w:tc>
          <w:tcPr>
            <w:tcW w:w="1738" w:type="dxa"/>
            <w:tcBorders>
              <w:top w:val="nil"/>
              <w:left w:val="nil"/>
              <w:bottom w:val="nil"/>
              <w:right w:val="nil"/>
            </w:tcBorders>
            <w:tcMar>
              <w:top w:w="45" w:type="dxa"/>
              <w:left w:w="45" w:type="dxa"/>
              <w:bottom w:w="45" w:type="dxa"/>
              <w:right w:w="45" w:type="dxa"/>
            </w:tcMar>
            <w:vAlign w:val="center"/>
          </w:tcPr>
          <w:p w14:paraId="7832C909"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ChIP</w:t>
            </w:r>
            <w:proofErr w:type="spellEnd"/>
            <w:r w:rsidRPr="00D578DF">
              <w:rPr>
                <w:rFonts w:ascii="Times New Roman" w:eastAsia="Calibri" w:hAnsi="Times New Roman" w:cs="Times New Roman"/>
                <w:color w:val="000000" w:themeColor="text1"/>
                <w:sz w:val="20"/>
                <w:szCs w:val="20"/>
              </w:rPr>
              <w:t>-seq; H3K4me1 profiling; FOXO1 reporter</w:t>
            </w:r>
          </w:p>
        </w:tc>
        <w:tc>
          <w:tcPr>
            <w:tcW w:w="1364" w:type="dxa"/>
            <w:tcBorders>
              <w:top w:val="nil"/>
              <w:left w:val="nil"/>
              <w:bottom w:val="nil"/>
              <w:right w:val="nil"/>
            </w:tcBorders>
            <w:tcMar>
              <w:top w:w="45" w:type="dxa"/>
              <w:left w:w="45" w:type="dxa"/>
              <w:bottom w:w="45" w:type="dxa"/>
              <w:right w:w="45" w:type="dxa"/>
            </w:tcMar>
            <w:vAlign w:val="center"/>
          </w:tcPr>
          <w:p w14:paraId="4F57681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Novel senescence-epigenetics axis; multiple validation approaches; 2025 originality</w:t>
            </w:r>
          </w:p>
        </w:tc>
        <w:tc>
          <w:tcPr>
            <w:tcW w:w="1380" w:type="dxa"/>
            <w:tcBorders>
              <w:top w:val="nil"/>
              <w:left w:val="nil"/>
              <w:bottom w:val="nil"/>
              <w:right w:val="nil"/>
            </w:tcBorders>
            <w:tcMar>
              <w:top w:w="45" w:type="dxa"/>
              <w:left w:w="45" w:type="dxa"/>
              <w:bottom w:w="45" w:type="dxa"/>
              <w:right w:w="45" w:type="dxa"/>
            </w:tcMar>
            <w:vAlign w:val="center"/>
          </w:tcPr>
          <w:p w14:paraId="6740092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 vitro-centric; no in vivo RIF model</w:t>
            </w:r>
          </w:p>
        </w:tc>
      </w:tr>
      <w:tr w:rsidR="00D7116D" w:rsidRPr="00D578DF" w14:paraId="49403DD5"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42DA1FCF"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lastRenderedPageBreak/>
              <w:t>Marzanati</w:t>
            </w:r>
            <w:proofErr w:type="spellEnd"/>
            <w:r w:rsidRPr="00D578DF">
              <w:rPr>
                <w:rFonts w:ascii="Times New Roman" w:hAnsi="Times New Roman" w:cs="Times New Roman"/>
                <w:color w:val="000000"/>
                <w:sz w:val="20"/>
                <w:szCs w:val="20"/>
              </w:rPr>
              <w:t xml:space="preserve"> et al., 2025 [47]</w:t>
            </w:r>
          </w:p>
        </w:tc>
        <w:tc>
          <w:tcPr>
            <w:tcW w:w="1114" w:type="dxa"/>
            <w:tcBorders>
              <w:top w:val="nil"/>
              <w:left w:val="nil"/>
              <w:bottom w:val="nil"/>
              <w:right w:val="nil"/>
            </w:tcBorders>
            <w:tcMar>
              <w:top w:w="45" w:type="dxa"/>
              <w:left w:w="45" w:type="dxa"/>
              <w:bottom w:w="45" w:type="dxa"/>
              <w:right w:w="45" w:type="dxa"/>
            </w:tcMar>
            <w:vAlign w:val="center"/>
          </w:tcPr>
          <w:p w14:paraId="45031DE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Scientific Reports</w:t>
            </w:r>
          </w:p>
        </w:tc>
        <w:tc>
          <w:tcPr>
            <w:tcW w:w="1189" w:type="dxa"/>
            <w:tcBorders>
              <w:top w:val="nil"/>
              <w:left w:val="nil"/>
              <w:bottom w:val="nil"/>
              <w:right w:val="nil"/>
            </w:tcBorders>
            <w:tcMar>
              <w:top w:w="45" w:type="dxa"/>
              <w:left w:w="45" w:type="dxa"/>
              <w:bottom w:w="45" w:type="dxa"/>
              <w:right w:w="45" w:type="dxa"/>
            </w:tcMar>
            <w:vAlign w:val="center"/>
          </w:tcPr>
          <w:p w14:paraId="239F926B"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Transcriptomics + Bayesian modelling (contextual ART cohort)</w:t>
            </w:r>
          </w:p>
        </w:tc>
        <w:tc>
          <w:tcPr>
            <w:tcW w:w="1055" w:type="dxa"/>
            <w:tcBorders>
              <w:top w:val="nil"/>
              <w:left w:val="nil"/>
              <w:bottom w:val="nil"/>
              <w:right w:val="nil"/>
            </w:tcBorders>
            <w:tcMar>
              <w:top w:w="45" w:type="dxa"/>
              <w:left w:w="45" w:type="dxa"/>
              <w:bottom w:w="45" w:type="dxa"/>
              <w:right w:w="45" w:type="dxa"/>
            </w:tcMar>
            <w:vAlign w:val="center"/>
          </w:tcPr>
          <w:p w14:paraId="3BC0E8B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82 ART patients receiving single euploid blastocyst transfer (37 pregnant, 45 not pregnant)</w:t>
            </w:r>
          </w:p>
        </w:tc>
        <w:tc>
          <w:tcPr>
            <w:tcW w:w="1787" w:type="dxa"/>
            <w:tcBorders>
              <w:top w:val="nil"/>
              <w:left w:val="nil"/>
              <w:bottom w:val="nil"/>
              <w:right w:val="nil"/>
            </w:tcBorders>
            <w:tcMar>
              <w:top w:w="45" w:type="dxa"/>
              <w:left w:w="45" w:type="dxa"/>
              <w:bottom w:w="45" w:type="dxa"/>
              <w:right w:w="45" w:type="dxa"/>
            </w:tcMar>
            <w:vAlign w:val="center"/>
          </w:tcPr>
          <w:p w14:paraId="72AD7AA4"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UF-EV RNA-seq identified 966 differentially expressed genes; Bayesian model AUC 0.88, accuracy 0.83, F1 0.80.</w:t>
            </w:r>
          </w:p>
        </w:tc>
        <w:tc>
          <w:tcPr>
            <w:tcW w:w="2411" w:type="dxa"/>
            <w:tcBorders>
              <w:top w:val="nil"/>
              <w:left w:val="nil"/>
              <w:bottom w:val="nil"/>
              <w:right w:val="nil"/>
            </w:tcBorders>
            <w:tcMar>
              <w:top w:w="45" w:type="dxa"/>
              <w:left w:w="45" w:type="dxa"/>
              <w:bottom w:w="45" w:type="dxa"/>
              <w:right w:w="45" w:type="dxa"/>
            </w:tcMar>
            <w:vAlign w:val="center"/>
          </w:tcPr>
          <w:p w14:paraId="0446D992"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Non-invasive pregnancy/receptivity-prediction approach using uterine-fluid EV transcriptomics; not RIF-specific.</w:t>
            </w:r>
          </w:p>
        </w:tc>
        <w:tc>
          <w:tcPr>
            <w:tcW w:w="1738" w:type="dxa"/>
            <w:tcBorders>
              <w:top w:val="nil"/>
              <w:left w:val="nil"/>
              <w:bottom w:val="nil"/>
              <w:right w:val="nil"/>
            </w:tcBorders>
            <w:tcMar>
              <w:top w:w="45" w:type="dxa"/>
              <w:left w:w="45" w:type="dxa"/>
              <w:bottom w:w="45" w:type="dxa"/>
              <w:right w:w="45" w:type="dxa"/>
            </w:tcMar>
            <w:vAlign w:val="center"/>
          </w:tcPr>
          <w:p w14:paraId="2D157069"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UF-EV RNA-seq; WGCNA; Bayesian logistic regression; EV size/clinical covariates</w:t>
            </w:r>
          </w:p>
        </w:tc>
        <w:tc>
          <w:tcPr>
            <w:tcW w:w="1364" w:type="dxa"/>
            <w:tcBorders>
              <w:top w:val="nil"/>
              <w:left w:val="nil"/>
              <w:bottom w:val="nil"/>
              <w:right w:val="nil"/>
            </w:tcBorders>
            <w:tcMar>
              <w:top w:w="45" w:type="dxa"/>
              <w:left w:w="45" w:type="dxa"/>
              <w:bottom w:w="45" w:type="dxa"/>
              <w:right w:w="45" w:type="dxa"/>
            </w:tcMar>
            <w:vAlign w:val="center"/>
          </w:tcPr>
          <w:p w14:paraId="2A8632BB"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Single-euploid-transfer design reduces embryo aneuploidy confounding; systems-biology integration.</w:t>
            </w:r>
          </w:p>
        </w:tc>
        <w:tc>
          <w:tcPr>
            <w:tcW w:w="1380" w:type="dxa"/>
            <w:tcBorders>
              <w:top w:val="nil"/>
              <w:left w:val="nil"/>
              <w:bottom w:val="nil"/>
              <w:right w:val="nil"/>
            </w:tcBorders>
            <w:tcMar>
              <w:top w:w="45" w:type="dxa"/>
              <w:left w:w="45" w:type="dxa"/>
              <w:bottom w:w="45" w:type="dxa"/>
              <w:right w:w="45" w:type="dxa"/>
            </w:tcMar>
            <w:vAlign w:val="center"/>
          </w:tcPr>
          <w:p w14:paraId="7954E774"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Not a RIF-specific cohort; external prospective validation required.</w:t>
            </w:r>
          </w:p>
        </w:tc>
      </w:tr>
      <w:tr w:rsidR="00D7116D" w:rsidRPr="00D578DF" w14:paraId="132893A9"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090F569"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Huang et al., 2017 [48]</w:t>
            </w:r>
          </w:p>
        </w:tc>
        <w:tc>
          <w:tcPr>
            <w:tcW w:w="1114" w:type="dxa"/>
            <w:tcBorders>
              <w:top w:val="nil"/>
              <w:left w:val="nil"/>
              <w:bottom w:val="nil"/>
              <w:right w:val="nil"/>
            </w:tcBorders>
            <w:tcMar>
              <w:top w:w="45" w:type="dxa"/>
              <w:left w:w="45" w:type="dxa"/>
              <w:bottom w:w="45" w:type="dxa"/>
              <w:right w:w="45" w:type="dxa"/>
            </w:tcMar>
            <w:vAlign w:val="center"/>
          </w:tcPr>
          <w:p w14:paraId="14239F9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Reproduction</w:t>
            </w:r>
          </w:p>
        </w:tc>
        <w:tc>
          <w:tcPr>
            <w:tcW w:w="1189" w:type="dxa"/>
            <w:tcBorders>
              <w:top w:val="nil"/>
              <w:left w:val="nil"/>
              <w:bottom w:val="nil"/>
              <w:right w:val="nil"/>
            </w:tcBorders>
            <w:tcMar>
              <w:top w:w="45" w:type="dxa"/>
              <w:left w:w="45" w:type="dxa"/>
              <w:bottom w:w="45" w:type="dxa"/>
              <w:right w:w="45" w:type="dxa"/>
            </w:tcMar>
            <w:vAlign w:val="center"/>
          </w:tcPr>
          <w:p w14:paraId="35AEA45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w:t>
            </w:r>
          </w:p>
        </w:tc>
        <w:tc>
          <w:tcPr>
            <w:tcW w:w="1055" w:type="dxa"/>
            <w:tcBorders>
              <w:top w:val="nil"/>
              <w:left w:val="nil"/>
              <w:bottom w:val="nil"/>
              <w:right w:val="nil"/>
            </w:tcBorders>
            <w:tcMar>
              <w:top w:w="45" w:type="dxa"/>
              <w:left w:w="45" w:type="dxa"/>
              <w:bottom w:w="45" w:type="dxa"/>
              <w:right w:w="45" w:type="dxa"/>
            </w:tcMar>
            <w:vAlign w:val="center"/>
          </w:tcPr>
          <w:p w14:paraId="07E3B62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20 RIF + 20 controls</w:t>
            </w:r>
          </w:p>
        </w:tc>
        <w:tc>
          <w:tcPr>
            <w:tcW w:w="1787" w:type="dxa"/>
            <w:tcBorders>
              <w:top w:val="nil"/>
              <w:left w:val="nil"/>
              <w:bottom w:val="nil"/>
              <w:right w:val="nil"/>
            </w:tcBorders>
            <w:tcMar>
              <w:top w:w="45" w:type="dxa"/>
              <w:left w:w="45" w:type="dxa"/>
              <w:bottom w:w="45" w:type="dxa"/>
              <w:right w:w="45" w:type="dxa"/>
            </w:tcMar>
            <w:vAlign w:val="center"/>
          </w:tcPr>
          <w:p w14:paraId="45D015D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Dysregulation of cell adhesion (ITGB3, MUC1), immune (CXCL10, IL15), and progesterone response genes in RIF</w:t>
            </w:r>
          </w:p>
        </w:tc>
        <w:tc>
          <w:tcPr>
            <w:tcW w:w="2411" w:type="dxa"/>
            <w:tcBorders>
              <w:top w:val="nil"/>
              <w:left w:val="nil"/>
              <w:bottom w:val="nil"/>
              <w:right w:val="nil"/>
            </w:tcBorders>
            <w:tcMar>
              <w:top w:w="45" w:type="dxa"/>
              <w:left w:w="45" w:type="dxa"/>
              <w:bottom w:w="45" w:type="dxa"/>
              <w:right w:w="45" w:type="dxa"/>
            </w:tcMar>
            <w:vAlign w:val="center"/>
          </w:tcPr>
          <w:p w14:paraId="5AE2B5D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Early molecular evidence for WOI defect in RIF; basis for ERA-type diagnostics</w:t>
            </w:r>
          </w:p>
        </w:tc>
        <w:tc>
          <w:tcPr>
            <w:tcW w:w="1738" w:type="dxa"/>
            <w:tcBorders>
              <w:top w:val="nil"/>
              <w:left w:val="nil"/>
              <w:bottom w:val="nil"/>
              <w:right w:val="nil"/>
            </w:tcBorders>
            <w:tcMar>
              <w:top w:w="45" w:type="dxa"/>
              <w:left w:w="45" w:type="dxa"/>
              <w:bottom w:w="45" w:type="dxa"/>
              <w:right w:w="45" w:type="dxa"/>
            </w:tcMar>
            <w:vAlign w:val="center"/>
          </w:tcPr>
          <w:p w14:paraId="4667DA8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Illumina microarray; Ingenuity Pathway Analysis</w:t>
            </w:r>
          </w:p>
        </w:tc>
        <w:tc>
          <w:tcPr>
            <w:tcW w:w="1364" w:type="dxa"/>
            <w:tcBorders>
              <w:top w:val="nil"/>
              <w:left w:val="nil"/>
              <w:bottom w:val="nil"/>
              <w:right w:val="nil"/>
            </w:tcBorders>
            <w:tcMar>
              <w:top w:w="45" w:type="dxa"/>
              <w:left w:w="45" w:type="dxa"/>
              <w:bottom w:w="45" w:type="dxa"/>
              <w:right w:w="45" w:type="dxa"/>
            </w:tcMar>
            <w:vAlign w:val="center"/>
          </w:tcPr>
          <w:p w14:paraId="1937D89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Early landmark study; good WOI </w:t>
            </w:r>
            <w:proofErr w:type="spellStart"/>
            <w:r w:rsidRPr="00D578DF">
              <w:rPr>
                <w:rFonts w:ascii="Times New Roman" w:eastAsia="Calibri" w:hAnsi="Times New Roman" w:cs="Times New Roman"/>
                <w:color w:val="000000" w:themeColor="text1"/>
                <w:sz w:val="20"/>
                <w:szCs w:val="20"/>
              </w:rPr>
              <w:t>synchronisation</w:t>
            </w:r>
            <w:proofErr w:type="spellEnd"/>
            <w:r w:rsidRPr="00D578DF">
              <w:rPr>
                <w:rFonts w:ascii="Times New Roman" w:eastAsia="Calibri" w:hAnsi="Times New Roman" w:cs="Times New Roman"/>
                <w:color w:val="000000" w:themeColor="text1"/>
                <w:sz w:val="20"/>
                <w:szCs w:val="20"/>
              </w:rPr>
              <w:t>; published in Reproduction</w:t>
            </w:r>
          </w:p>
        </w:tc>
        <w:tc>
          <w:tcPr>
            <w:tcW w:w="1380" w:type="dxa"/>
            <w:tcBorders>
              <w:top w:val="nil"/>
              <w:left w:val="nil"/>
              <w:bottom w:val="nil"/>
              <w:right w:val="nil"/>
            </w:tcBorders>
            <w:tcMar>
              <w:top w:w="45" w:type="dxa"/>
              <w:left w:w="45" w:type="dxa"/>
              <w:bottom w:w="45" w:type="dxa"/>
              <w:right w:w="45" w:type="dxa"/>
            </w:tcMar>
            <w:vAlign w:val="center"/>
          </w:tcPr>
          <w:p w14:paraId="0E7E023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Small N by current standards; microarray era</w:t>
            </w:r>
          </w:p>
        </w:tc>
      </w:tr>
      <w:tr w:rsidR="00D7116D" w:rsidRPr="00D578DF" w14:paraId="6B83A8AB"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16B5886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Sebastian-Leon et al., 2018 [49]</w:t>
            </w:r>
          </w:p>
        </w:tc>
        <w:tc>
          <w:tcPr>
            <w:tcW w:w="1114" w:type="dxa"/>
            <w:tcBorders>
              <w:top w:val="nil"/>
              <w:left w:val="nil"/>
              <w:bottom w:val="nil"/>
              <w:right w:val="nil"/>
            </w:tcBorders>
            <w:tcMar>
              <w:top w:w="45" w:type="dxa"/>
              <w:left w:w="45" w:type="dxa"/>
              <w:bottom w:w="45" w:type="dxa"/>
              <w:right w:w="45" w:type="dxa"/>
            </w:tcMar>
            <w:vAlign w:val="center"/>
          </w:tcPr>
          <w:p w14:paraId="4D3E67E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Reproduction</w:t>
            </w:r>
          </w:p>
        </w:tc>
        <w:tc>
          <w:tcPr>
            <w:tcW w:w="1189" w:type="dxa"/>
            <w:tcBorders>
              <w:top w:val="nil"/>
              <w:left w:val="nil"/>
              <w:bottom w:val="nil"/>
              <w:right w:val="nil"/>
            </w:tcBorders>
            <w:tcMar>
              <w:top w:w="45" w:type="dxa"/>
              <w:left w:w="45" w:type="dxa"/>
              <w:bottom w:w="45" w:type="dxa"/>
              <w:right w:w="45" w:type="dxa"/>
            </w:tcMar>
            <w:vAlign w:val="center"/>
          </w:tcPr>
          <w:p w14:paraId="6E24E14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Cohort (ERA-based)</w:t>
            </w:r>
          </w:p>
        </w:tc>
        <w:tc>
          <w:tcPr>
            <w:tcW w:w="1055" w:type="dxa"/>
            <w:tcBorders>
              <w:top w:val="nil"/>
              <w:left w:val="nil"/>
              <w:bottom w:val="nil"/>
              <w:right w:val="nil"/>
            </w:tcBorders>
            <w:tcMar>
              <w:top w:w="45" w:type="dxa"/>
              <w:left w:w="45" w:type="dxa"/>
              <w:bottom w:w="45" w:type="dxa"/>
              <w:right w:w="45" w:type="dxa"/>
            </w:tcMar>
            <w:vAlign w:val="center"/>
          </w:tcPr>
          <w:p w14:paraId="17E280B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Large clinical cohort (&gt;500)</w:t>
            </w:r>
          </w:p>
        </w:tc>
        <w:tc>
          <w:tcPr>
            <w:tcW w:w="1787" w:type="dxa"/>
            <w:tcBorders>
              <w:top w:val="nil"/>
              <w:left w:val="nil"/>
              <w:bottom w:val="nil"/>
              <w:right w:val="nil"/>
            </w:tcBorders>
            <w:tcMar>
              <w:top w:w="45" w:type="dxa"/>
              <w:left w:w="45" w:type="dxa"/>
              <w:bottom w:w="45" w:type="dxa"/>
              <w:right w:w="45" w:type="dxa"/>
            </w:tcMar>
            <w:vAlign w:val="center"/>
          </w:tcPr>
          <w:p w14:paraId="67718B8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ERA identifies displaced WOI (asynchronous) vs. pathological WOI in RIF; </w:t>
            </w:r>
            <w:proofErr w:type="spellStart"/>
            <w:r w:rsidRPr="00D578DF">
              <w:rPr>
                <w:rFonts w:ascii="Times New Roman" w:eastAsia="Calibri" w:hAnsi="Times New Roman" w:cs="Times New Roman"/>
                <w:color w:val="000000" w:themeColor="text1"/>
                <w:sz w:val="20"/>
                <w:szCs w:val="20"/>
              </w:rPr>
              <w:t>pET</w:t>
            </w:r>
            <w:proofErr w:type="spellEnd"/>
            <w:r w:rsidRPr="00D578DF">
              <w:rPr>
                <w:rFonts w:ascii="Times New Roman" w:eastAsia="Calibri" w:hAnsi="Times New Roman" w:cs="Times New Roman"/>
                <w:color w:val="000000" w:themeColor="text1"/>
                <w:sz w:val="20"/>
                <w:szCs w:val="20"/>
              </w:rPr>
              <w:t xml:space="preserve"> improves pregnancy rates</w:t>
            </w:r>
          </w:p>
        </w:tc>
        <w:tc>
          <w:tcPr>
            <w:tcW w:w="2411" w:type="dxa"/>
            <w:tcBorders>
              <w:top w:val="nil"/>
              <w:left w:val="nil"/>
              <w:bottom w:val="nil"/>
              <w:right w:val="nil"/>
            </w:tcBorders>
            <w:tcMar>
              <w:top w:w="45" w:type="dxa"/>
              <w:left w:w="45" w:type="dxa"/>
              <w:bottom w:w="45" w:type="dxa"/>
              <w:right w:w="45" w:type="dxa"/>
            </w:tcMar>
            <w:vAlign w:val="center"/>
          </w:tcPr>
          <w:p w14:paraId="0A02B51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ERA-guided </w:t>
            </w:r>
            <w:proofErr w:type="spellStart"/>
            <w:r w:rsidRPr="00D578DF">
              <w:rPr>
                <w:rFonts w:ascii="Times New Roman" w:eastAsia="Calibri" w:hAnsi="Times New Roman" w:cs="Times New Roman"/>
                <w:color w:val="000000" w:themeColor="text1"/>
                <w:sz w:val="20"/>
                <w:szCs w:val="20"/>
              </w:rPr>
              <w:t>personalised</w:t>
            </w:r>
            <w:proofErr w:type="spellEnd"/>
            <w:r w:rsidRPr="00D578DF">
              <w:rPr>
                <w:rFonts w:ascii="Times New Roman" w:eastAsia="Calibri" w:hAnsi="Times New Roman" w:cs="Times New Roman"/>
                <w:color w:val="000000" w:themeColor="text1"/>
                <w:sz w:val="20"/>
                <w:szCs w:val="20"/>
              </w:rPr>
              <w:t xml:space="preserve"> embryo transfer for WOI-displaced RIF patients</w:t>
            </w:r>
          </w:p>
        </w:tc>
        <w:tc>
          <w:tcPr>
            <w:tcW w:w="1738" w:type="dxa"/>
            <w:tcBorders>
              <w:top w:val="nil"/>
              <w:left w:val="nil"/>
              <w:bottom w:val="nil"/>
              <w:right w:val="nil"/>
            </w:tcBorders>
            <w:tcMar>
              <w:top w:w="45" w:type="dxa"/>
              <w:left w:w="45" w:type="dxa"/>
              <w:bottom w:w="45" w:type="dxa"/>
              <w:right w:w="45" w:type="dxa"/>
            </w:tcMar>
            <w:vAlign w:val="center"/>
          </w:tcPr>
          <w:p w14:paraId="24E97D7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ERA (</w:t>
            </w:r>
            <w:proofErr w:type="spellStart"/>
            <w:r w:rsidRPr="00D578DF">
              <w:rPr>
                <w:rFonts w:ascii="Times New Roman" w:eastAsia="Calibri" w:hAnsi="Times New Roman" w:cs="Times New Roman"/>
                <w:color w:val="000000" w:themeColor="text1"/>
                <w:sz w:val="20"/>
                <w:szCs w:val="20"/>
              </w:rPr>
              <w:t>Igenomix</w:t>
            </w:r>
            <w:proofErr w:type="spellEnd"/>
            <w:r w:rsidRPr="00D578DF">
              <w:rPr>
                <w:rFonts w:ascii="Times New Roman" w:eastAsia="Calibri" w:hAnsi="Times New Roman" w:cs="Times New Roman"/>
                <w:color w:val="000000" w:themeColor="text1"/>
                <w:sz w:val="20"/>
                <w:szCs w:val="20"/>
              </w:rPr>
              <w:t>); transcriptomic profiling</w:t>
            </w:r>
          </w:p>
        </w:tc>
        <w:tc>
          <w:tcPr>
            <w:tcW w:w="1364" w:type="dxa"/>
            <w:tcBorders>
              <w:top w:val="nil"/>
              <w:left w:val="nil"/>
              <w:bottom w:val="nil"/>
              <w:right w:val="nil"/>
            </w:tcBorders>
            <w:tcMar>
              <w:top w:w="45" w:type="dxa"/>
              <w:left w:w="45" w:type="dxa"/>
              <w:bottom w:w="45" w:type="dxa"/>
              <w:right w:w="45" w:type="dxa"/>
            </w:tcMar>
            <w:vAlign w:val="center"/>
          </w:tcPr>
          <w:p w14:paraId="2C7FC0E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Large N; clinical outcome data; ERA subtyping is clinically translatable</w:t>
            </w:r>
          </w:p>
        </w:tc>
        <w:tc>
          <w:tcPr>
            <w:tcW w:w="1380" w:type="dxa"/>
            <w:tcBorders>
              <w:top w:val="nil"/>
              <w:left w:val="nil"/>
              <w:bottom w:val="nil"/>
              <w:right w:val="nil"/>
            </w:tcBorders>
            <w:tcMar>
              <w:top w:w="45" w:type="dxa"/>
              <w:left w:w="45" w:type="dxa"/>
              <w:bottom w:w="45" w:type="dxa"/>
              <w:right w:w="45" w:type="dxa"/>
            </w:tcMar>
            <w:vAlign w:val="center"/>
          </w:tcPr>
          <w:p w14:paraId="3C1778D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ERA patent-holder involvement; potential commercial bias</w:t>
            </w:r>
          </w:p>
        </w:tc>
      </w:tr>
      <w:tr w:rsidR="00D7116D" w:rsidRPr="00D578DF" w14:paraId="1BFEF4B2"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4EA9CC9"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t>Craciunas</w:t>
            </w:r>
            <w:proofErr w:type="spellEnd"/>
            <w:r w:rsidRPr="00D578DF">
              <w:rPr>
                <w:rFonts w:ascii="Times New Roman" w:hAnsi="Times New Roman" w:cs="Times New Roman"/>
                <w:color w:val="000000"/>
                <w:sz w:val="20"/>
                <w:szCs w:val="20"/>
              </w:rPr>
              <w:t xml:space="preserve"> L et al., 2019 [50]</w:t>
            </w:r>
          </w:p>
        </w:tc>
        <w:tc>
          <w:tcPr>
            <w:tcW w:w="1114" w:type="dxa"/>
            <w:tcBorders>
              <w:top w:val="nil"/>
              <w:left w:val="nil"/>
              <w:bottom w:val="nil"/>
              <w:right w:val="nil"/>
            </w:tcBorders>
            <w:tcMar>
              <w:top w:w="45" w:type="dxa"/>
              <w:left w:w="45" w:type="dxa"/>
              <w:bottom w:w="45" w:type="dxa"/>
              <w:right w:w="45" w:type="dxa"/>
            </w:tcMar>
            <w:vAlign w:val="center"/>
          </w:tcPr>
          <w:p w14:paraId="278D9DD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Reproduction Update</w:t>
            </w:r>
          </w:p>
        </w:tc>
        <w:tc>
          <w:tcPr>
            <w:tcW w:w="1189" w:type="dxa"/>
            <w:tcBorders>
              <w:top w:val="nil"/>
              <w:left w:val="nil"/>
              <w:bottom w:val="nil"/>
              <w:right w:val="nil"/>
            </w:tcBorders>
            <w:tcMar>
              <w:top w:w="45" w:type="dxa"/>
              <w:left w:w="45" w:type="dxa"/>
              <w:bottom w:w="45" w:type="dxa"/>
              <w:right w:w="45" w:type="dxa"/>
            </w:tcMar>
            <w:vAlign w:val="center"/>
          </w:tcPr>
          <w:p w14:paraId="7EEC29B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Systematic Review &amp; </w:t>
            </w:r>
            <w:r w:rsidRPr="00D578DF">
              <w:rPr>
                <w:rFonts w:ascii="Times New Roman" w:eastAsia="Calibri" w:hAnsi="Times New Roman" w:cs="Times New Roman"/>
                <w:color w:val="000000" w:themeColor="text1"/>
                <w:sz w:val="20"/>
                <w:szCs w:val="20"/>
              </w:rPr>
              <w:lastRenderedPageBreak/>
              <w:t>Meta-analysis</w:t>
            </w:r>
          </w:p>
        </w:tc>
        <w:tc>
          <w:tcPr>
            <w:tcW w:w="1055" w:type="dxa"/>
            <w:tcBorders>
              <w:top w:val="nil"/>
              <w:left w:val="nil"/>
              <w:bottom w:val="nil"/>
              <w:right w:val="nil"/>
            </w:tcBorders>
            <w:tcMar>
              <w:top w:w="45" w:type="dxa"/>
              <w:left w:w="45" w:type="dxa"/>
              <w:bottom w:w="45" w:type="dxa"/>
              <w:right w:w="45" w:type="dxa"/>
            </w:tcMar>
            <w:vAlign w:val="center"/>
          </w:tcPr>
          <w:p w14:paraId="450A87E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Multiple studies</w:t>
            </w:r>
          </w:p>
        </w:tc>
        <w:tc>
          <w:tcPr>
            <w:tcW w:w="1787" w:type="dxa"/>
            <w:tcBorders>
              <w:top w:val="nil"/>
              <w:left w:val="nil"/>
              <w:bottom w:val="nil"/>
              <w:right w:val="nil"/>
            </w:tcBorders>
            <w:tcMar>
              <w:top w:w="45" w:type="dxa"/>
              <w:left w:w="45" w:type="dxa"/>
              <w:bottom w:w="45" w:type="dxa"/>
              <w:right w:w="45" w:type="dxa"/>
            </w:tcMar>
            <w:vAlign w:val="center"/>
          </w:tcPr>
          <w:p w14:paraId="400BE0EA"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Pinopodes</w:t>
            </w:r>
            <w:proofErr w:type="spellEnd"/>
            <w:r w:rsidRPr="00D578DF">
              <w:rPr>
                <w:rFonts w:ascii="Times New Roman" w:eastAsia="Calibri" w:hAnsi="Times New Roman" w:cs="Times New Roman"/>
                <w:color w:val="000000" w:themeColor="text1"/>
                <w:sz w:val="20"/>
                <w:szCs w:val="20"/>
              </w:rPr>
              <w:t xml:space="preserve">, integrins, LIF, and ERA transcriptomics have varying diagnostic </w:t>
            </w:r>
            <w:r w:rsidRPr="00D578DF">
              <w:rPr>
                <w:rFonts w:ascii="Times New Roman" w:eastAsia="Calibri" w:hAnsi="Times New Roman" w:cs="Times New Roman"/>
                <w:color w:val="000000" w:themeColor="text1"/>
                <w:sz w:val="20"/>
                <w:szCs w:val="20"/>
              </w:rPr>
              <w:lastRenderedPageBreak/>
              <w:t>accuracy for WOI; ERA RR = 1.87 for pregnancy</w:t>
            </w:r>
          </w:p>
        </w:tc>
        <w:tc>
          <w:tcPr>
            <w:tcW w:w="2411" w:type="dxa"/>
            <w:tcBorders>
              <w:top w:val="nil"/>
              <w:left w:val="nil"/>
              <w:bottom w:val="nil"/>
              <w:right w:val="nil"/>
            </w:tcBorders>
            <w:tcMar>
              <w:top w:w="45" w:type="dxa"/>
              <w:left w:w="45" w:type="dxa"/>
              <w:bottom w:w="45" w:type="dxa"/>
              <w:right w:w="45" w:type="dxa"/>
            </w:tcMar>
            <w:vAlign w:val="center"/>
          </w:tcPr>
          <w:p w14:paraId="22C0357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Evidence-based ranking of endometrial receptivity </w:t>
            </w:r>
            <w:r w:rsidRPr="00D578DF">
              <w:rPr>
                <w:rFonts w:ascii="Times New Roman" w:eastAsia="Calibri" w:hAnsi="Times New Roman" w:cs="Times New Roman"/>
                <w:color w:val="000000" w:themeColor="text1"/>
                <w:sz w:val="20"/>
                <w:szCs w:val="20"/>
              </w:rPr>
              <w:lastRenderedPageBreak/>
              <w:t>markers for clinical decision-making</w:t>
            </w:r>
          </w:p>
        </w:tc>
        <w:tc>
          <w:tcPr>
            <w:tcW w:w="1738" w:type="dxa"/>
            <w:tcBorders>
              <w:top w:val="nil"/>
              <w:left w:val="nil"/>
              <w:bottom w:val="nil"/>
              <w:right w:val="nil"/>
            </w:tcBorders>
            <w:tcMar>
              <w:top w:w="45" w:type="dxa"/>
              <w:left w:w="45" w:type="dxa"/>
              <w:bottom w:w="45" w:type="dxa"/>
              <w:right w:w="45" w:type="dxa"/>
            </w:tcMar>
            <w:vAlign w:val="center"/>
          </w:tcPr>
          <w:p w14:paraId="42D0FD5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PRISMA; meta-analysis; GRADE</w:t>
            </w:r>
          </w:p>
        </w:tc>
        <w:tc>
          <w:tcPr>
            <w:tcW w:w="1364" w:type="dxa"/>
            <w:tcBorders>
              <w:top w:val="nil"/>
              <w:left w:val="nil"/>
              <w:bottom w:val="nil"/>
              <w:right w:val="nil"/>
            </w:tcBorders>
            <w:tcMar>
              <w:top w:w="45" w:type="dxa"/>
              <w:left w:w="45" w:type="dxa"/>
              <w:bottom w:w="45" w:type="dxa"/>
              <w:right w:w="45" w:type="dxa"/>
            </w:tcMar>
            <w:vAlign w:val="center"/>
          </w:tcPr>
          <w:p w14:paraId="6694A36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PRISMA-compliant; meta-analysis; GRADE </w:t>
            </w:r>
            <w:r w:rsidRPr="00D578DF">
              <w:rPr>
                <w:rFonts w:ascii="Times New Roman" w:eastAsia="Calibri" w:hAnsi="Times New Roman" w:cs="Times New Roman"/>
                <w:color w:val="000000" w:themeColor="text1"/>
                <w:sz w:val="20"/>
                <w:szCs w:val="20"/>
              </w:rPr>
              <w:lastRenderedPageBreak/>
              <w:t>applied; landmark systematic review</w:t>
            </w:r>
          </w:p>
        </w:tc>
        <w:tc>
          <w:tcPr>
            <w:tcW w:w="1380" w:type="dxa"/>
            <w:tcBorders>
              <w:top w:val="nil"/>
              <w:left w:val="nil"/>
              <w:bottom w:val="nil"/>
              <w:right w:val="nil"/>
            </w:tcBorders>
            <w:tcMar>
              <w:top w:w="45" w:type="dxa"/>
              <w:left w:w="45" w:type="dxa"/>
              <w:bottom w:w="45" w:type="dxa"/>
              <w:right w:w="45" w:type="dxa"/>
            </w:tcMar>
            <w:vAlign w:val="center"/>
          </w:tcPr>
          <w:p w14:paraId="6F4DF00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ERA commercial bias in included studies; </w:t>
            </w:r>
            <w:r w:rsidRPr="00D578DF">
              <w:rPr>
                <w:rFonts w:ascii="Times New Roman" w:eastAsia="Calibri" w:hAnsi="Times New Roman" w:cs="Times New Roman"/>
                <w:color w:val="000000" w:themeColor="text1"/>
                <w:sz w:val="20"/>
                <w:szCs w:val="20"/>
              </w:rPr>
              <w:lastRenderedPageBreak/>
              <w:t>heterogeneous populations</w:t>
            </w:r>
          </w:p>
        </w:tc>
      </w:tr>
      <w:tr w:rsidR="00D7116D" w:rsidRPr="00D578DF" w14:paraId="7B1DA934"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1EFE1FB7"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Huang J et al., 2021 [75]</w:t>
            </w:r>
          </w:p>
        </w:tc>
        <w:tc>
          <w:tcPr>
            <w:tcW w:w="1114" w:type="dxa"/>
            <w:tcBorders>
              <w:top w:val="nil"/>
              <w:left w:val="nil"/>
              <w:bottom w:val="nil"/>
              <w:right w:val="nil"/>
            </w:tcBorders>
            <w:tcMar>
              <w:top w:w="45" w:type="dxa"/>
              <w:left w:w="45" w:type="dxa"/>
              <w:bottom w:w="45" w:type="dxa"/>
              <w:right w:w="45" w:type="dxa"/>
            </w:tcMar>
            <w:vAlign w:val="center"/>
          </w:tcPr>
          <w:p w14:paraId="16137B2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Biology and Endocrinology</w:t>
            </w:r>
          </w:p>
        </w:tc>
        <w:tc>
          <w:tcPr>
            <w:tcW w:w="1189" w:type="dxa"/>
            <w:tcBorders>
              <w:top w:val="nil"/>
              <w:left w:val="nil"/>
              <w:bottom w:val="nil"/>
              <w:right w:val="nil"/>
            </w:tcBorders>
            <w:tcMar>
              <w:top w:w="45" w:type="dxa"/>
              <w:left w:w="45" w:type="dxa"/>
              <w:bottom w:w="45" w:type="dxa"/>
              <w:right w:w="45" w:type="dxa"/>
            </w:tcMar>
            <w:vAlign w:val="center"/>
          </w:tcPr>
          <w:p w14:paraId="046898E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w:t>
            </w:r>
          </w:p>
        </w:tc>
        <w:tc>
          <w:tcPr>
            <w:tcW w:w="1055" w:type="dxa"/>
            <w:tcBorders>
              <w:top w:val="nil"/>
              <w:left w:val="nil"/>
              <w:bottom w:val="nil"/>
              <w:right w:val="nil"/>
            </w:tcBorders>
            <w:tcMar>
              <w:top w:w="45" w:type="dxa"/>
              <w:left w:w="45" w:type="dxa"/>
              <w:bottom w:w="45" w:type="dxa"/>
              <w:right w:w="45" w:type="dxa"/>
            </w:tcMar>
            <w:vAlign w:val="center"/>
          </w:tcPr>
          <w:p w14:paraId="3BBEBAE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w:t>
            </w:r>
          </w:p>
        </w:tc>
        <w:tc>
          <w:tcPr>
            <w:tcW w:w="1787" w:type="dxa"/>
            <w:tcBorders>
              <w:top w:val="nil"/>
              <w:left w:val="nil"/>
              <w:bottom w:val="nil"/>
              <w:right w:val="nil"/>
            </w:tcBorders>
            <w:tcMar>
              <w:top w:w="45" w:type="dxa"/>
              <w:left w:w="45" w:type="dxa"/>
              <w:bottom w:w="45" w:type="dxa"/>
              <w:right w:w="45" w:type="dxa"/>
            </w:tcMar>
            <w:vAlign w:val="center"/>
          </w:tcPr>
          <w:p w14:paraId="1F15C3E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NEAT1, MALAT1 </w:t>
            </w:r>
            <w:proofErr w:type="spellStart"/>
            <w:r w:rsidRPr="00D578DF">
              <w:rPr>
                <w:rFonts w:ascii="Times New Roman" w:eastAsia="Calibri" w:hAnsi="Times New Roman" w:cs="Times New Roman"/>
                <w:color w:val="000000" w:themeColor="text1"/>
                <w:sz w:val="20"/>
                <w:szCs w:val="20"/>
              </w:rPr>
              <w:t>lncRNAs</w:t>
            </w:r>
            <w:proofErr w:type="spellEnd"/>
            <w:r w:rsidRPr="00D578DF">
              <w:rPr>
                <w:rFonts w:ascii="Times New Roman" w:eastAsia="Calibri" w:hAnsi="Times New Roman" w:cs="Times New Roman"/>
                <w:color w:val="000000" w:themeColor="text1"/>
                <w:sz w:val="20"/>
                <w:szCs w:val="20"/>
              </w:rPr>
              <w:t xml:space="preserve">; miR-21-5p, miR-155-5p; MMP9, VEGFA mRNAs as </w:t>
            </w:r>
            <w:proofErr w:type="spellStart"/>
            <w:r w:rsidRPr="00D578DF">
              <w:rPr>
                <w:rFonts w:ascii="Times New Roman" w:eastAsia="Calibri" w:hAnsi="Times New Roman" w:cs="Times New Roman"/>
                <w:color w:val="000000" w:themeColor="text1"/>
                <w:sz w:val="20"/>
                <w:szCs w:val="20"/>
              </w:rPr>
              <w:t>ceRNA</w:t>
            </w:r>
            <w:proofErr w:type="spellEnd"/>
            <w:r w:rsidRPr="00D578DF">
              <w:rPr>
                <w:rFonts w:ascii="Times New Roman" w:eastAsia="Calibri" w:hAnsi="Times New Roman" w:cs="Times New Roman"/>
                <w:color w:val="000000" w:themeColor="text1"/>
                <w:sz w:val="20"/>
                <w:szCs w:val="20"/>
              </w:rPr>
              <w:t xml:space="preserve"> network hubs</w:t>
            </w:r>
          </w:p>
        </w:tc>
        <w:tc>
          <w:tcPr>
            <w:tcW w:w="2411" w:type="dxa"/>
            <w:tcBorders>
              <w:top w:val="nil"/>
              <w:left w:val="nil"/>
              <w:bottom w:val="nil"/>
              <w:right w:val="nil"/>
            </w:tcBorders>
            <w:tcMar>
              <w:top w:w="45" w:type="dxa"/>
              <w:left w:w="45" w:type="dxa"/>
              <w:bottom w:w="45" w:type="dxa"/>
              <w:right w:w="45" w:type="dxa"/>
            </w:tcMar>
            <w:vAlign w:val="center"/>
          </w:tcPr>
          <w:p w14:paraId="210867E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lncRNA-</w:t>
            </w:r>
            <w:proofErr w:type="spellStart"/>
            <w:r w:rsidRPr="00D578DF">
              <w:rPr>
                <w:rFonts w:ascii="Times New Roman" w:eastAsia="Calibri" w:hAnsi="Times New Roman" w:cs="Times New Roman"/>
                <w:color w:val="000000" w:themeColor="text1"/>
                <w:sz w:val="20"/>
                <w:szCs w:val="20"/>
              </w:rPr>
              <w:t>ceRNA</w:t>
            </w:r>
            <w:proofErr w:type="spellEnd"/>
            <w:r w:rsidRPr="00D578DF">
              <w:rPr>
                <w:rFonts w:ascii="Times New Roman" w:eastAsia="Calibri" w:hAnsi="Times New Roman" w:cs="Times New Roman"/>
                <w:color w:val="000000" w:themeColor="text1"/>
                <w:sz w:val="20"/>
                <w:szCs w:val="20"/>
              </w:rPr>
              <w:t xml:space="preserve"> axis as transcriptomic targets for RIF diagnosis and therapy</w:t>
            </w:r>
          </w:p>
        </w:tc>
        <w:tc>
          <w:tcPr>
            <w:tcW w:w="1738" w:type="dxa"/>
            <w:tcBorders>
              <w:top w:val="nil"/>
              <w:left w:val="nil"/>
              <w:bottom w:val="nil"/>
              <w:right w:val="nil"/>
            </w:tcBorders>
            <w:tcMar>
              <w:top w:w="45" w:type="dxa"/>
              <w:left w:w="45" w:type="dxa"/>
              <w:bottom w:w="45" w:type="dxa"/>
              <w:right w:w="45" w:type="dxa"/>
            </w:tcMar>
            <w:vAlign w:val="center"/>
          </w:tcPr>
          <w:p w14:paraId="5A86E89A"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ceRNA</w:t>
            </w:r>
            <w:proofErr w:type="spellEnd"/>
            <w:r w:rsidRPr="00D578DF">
              <w:rPr>
                <w:rFonts w:ascii="Times New Roman" w:eastAsia="Calibri" w:hAnsi="Times New Roman" w:cs="Times New Roman"/>
                <w:color w:val="000000" w:themeColor="text1"/>
                <w:sz w:val="20"/>
                <w:szCs w:val="20"/>
              </w:rPr>
              <w:t xml:space="preserve"> network; </w:t>
            </w:r>
            <w:proofErr w:type="spellStart"/>
            <w:r w:rsidRPr="00D578DF">
              <w:rPr>
                <w:rFonts w:ascii="Times New Roman" w:eastAsia="Calibri" w:hAnsi="Times New Roman" w:cs="Times New Roman"/>
                <w:color w:val="000000" w:themeColor="text1"/>
                <w:sz w:val="20"/>
                <w:szCs w:val="20"/>
              </w:rPr>
              <w:t>miRanda</w:t>
            </w:r>
            <w:proofErr w:type="spellEnd"/>
            <w:r w:rsidRPr="00D578DF">
              <w:rPr>
                <w:rFonts w:ascii="Times New Roman" w:eastAsia="Calibri" w:hAnsi="Times New Roman" w:cs="Times New Roman"/>
                <w:color w:val="000000" w:themeColor="text1"/>
                <w:sz w:val="20"/>
                <w:szCs w:val="20"/>
              </w:rPr>
              <w:t>/</w:t>
            </w:r>
            <w:proofErr w:type="spellStart"/>
            <w:r w:rsidRPr="00D578DF">
              <w:rPr>
                <w:rFonts w:ascii="Times New Roman" w:eastAsia="Calibri" w:hAnsi="Times New Roman" w:cs="Times New Roman"/>
                <w:color w:val="000000" w:themeColor="text1"/>
                <w:sz w:val="20"/>
                <w:szCs w:val="20"/>
              </w:rPr>
              <w:t>miRDB</w:t>
            </w:r>
            <w:proofErr w:type="spellEnd"/>
            <w:r w:rsidRPr="00D578DF">
              <w:rPr>
                <w:rFonts w:ascii="Times New Roman" w:eastAsia="Calibri" w:hAnsi="Times New Roman" w:cs="Times New Roman"/>
                <w:color w:val="000000" w:themeColor="text1"/>
                <w:sz w:val="20"/>
                <w:szCs w:val="20"/>
              </w:rPr>
              <w:t xml:space="preserve"> target prediction</w:t>
            </w:r>
          </w:p>
        </w:tc>
        <w:tc>
          <w:tcPr>
            <w:tcW w:w="1364" w:type="dxa"/>
            <w:tcBorders>
              <w:top w:val="nil"/>
              <w:left w:val="nil"/>
              <w:bottom w:val="nil"/>
              <w:right w:val="nil"/>
            </w:tcBorders>
            <w:tcMar>
              <w:top w:w="45" w:type="dxa"/>
              <w:left w:w="45" w:type="dxa"/>
              <w:bottom w:w="45" w:type="dxa"/>
              <w:right w:w="45" w:type="dxa"/>
            </w:tcMar>
            <w:vAlign w:val="center"/>
          </w:tcPr>
          <w:p w14:paraId="0496341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Systematic </w:t>
            </w:r>
            <w:proofErr w:type="spellStart"/>
            <w:r w:rsidRPr="00D578DF">
              <w:rPr>
                <w:rFonts w:ascii="Times New Roman" w:eastAsia="Calibri" w:hAnsi="Times New Roman" w:cs="Times New Roman"/>
                <w:color w:val="000000" w:themeColor="text1"/>
                <w:sz w:val="20"/>
                <w:szCs w:val="20"/>
              </w:rPr>
              <w:t>ceRNA</w:t>
            </w:r>
            <w:proofErr w:type="spellEnd"/>
            <w:r w:rsidRPr="00D578DF">
              <w:rPr>
                <w:rFonts w:ascii="Times New Roman" w:eastAsia="Calibri" w:hAnsi="Times New Roman" w:cs="Times New Roman"/>
                <w:color w:val="000000" w:themeColor="text1"/>
                <w:sz w:val="20"/>
                <w:szCs w:val="20"/>
              </w:rPr>
              <w:t xml:space="preserve"> mapping; lncRNA focus adds novelty</w:t>
            </w:r>
          </w:p>
        </w:tc>
        <w:tc>
          <w:tcPr>
            <w:tcW w:w="1380" w:type="dxa"/>
            <w:tcBorders>
              <w:top w:val="nil"/>
              <w:left w:val="nil"/>
              <w:bottom w:val="nil"/>
              <w:right w:val="nil"/>
            </w:tcBorders>
            <w:tcMar>
              <w:top w:w="45" w:type="dxa"/>
              <w:left w:w="45" w:type="dxa"/>
              <w:bottom w:w="45" w:type="dxa"/>
              <w:right w:w="45" w:type="dxa"/>
            </w:tcMar>
            <w:vAlign w:val="center"/>
          </w:tcPr>
          <w:p w14:paraId="115814A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 experimental validation; GEO dependence</w:t>
            </w:r>
          </w:p>
        </w:tc>
      </w:tr>
      <w:tr w:rsidR="00D7116D" w:rsidRPr="00D578DF" w14:paraId="4A2CFE01"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BF11BDD"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Albayrak et al., 2021 [59]</w:t>
            </w:r>
          </w:p>
        </w:tc>
        <w:tc>
          <w:tcPr>
            <w:tcW w:w="1114" w:type="dxa"/>
            <w:tcBorders>
              <w:top w:val="nil"/>
              <w:left w:val="nil"/>
              <w:bottom w:val="nil"/>
              <w:right w:val="nil"/>
            </w:tcBorders>
            <w:tcMar>
              <w:top w:w="45" w:type="dxa"/>
              <w:left w:w="45" w:type="dxa"/>
              <w:bottom w:w="45" w:type="dxa"/>
              <w:right w:w="45" w:type="dxa"/>
            </w:tcMar>
            <w:vAlign w:val="center"/>
          </w:tcPr>
          <w:p w14:paraId="2BC6BD6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Molecular Biology Reports</w:t>
            </w:r>
          </w:p>
        </w:tc>
        <w:tc>
          <w:tcPr>
            <w:tcW w:w="1189" w:type="dxa"/>
            <w:tcBorders>
              <w:top w:val="nil"/>
              <w:left w:val="nil"/>
              <w:bottom w:val="nil"/>
              <w:right w:val="nil"/>
            </w:tcBorders>
            <w:tcMar>
              <w:top w:w="45" w:type="dxa"/>
              <w:left w:w="45" w:type="dxa"/>
              <w:bottom w:w="45" w:type="dxa"/>
              <w:right w:w="45" w:type="dxa"/>
            </w:tcMar>
            <w:vAlign w:val="center"/>
          </w:tcPr>
          <w:p w14:paraId="025C391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w:t>
            </w:r>
          </w:p>
        </w:tc>
        <w:tc>
          <w:tcPr>
            <w:tcW w:w="1055" w:type="dxa"/>
            <w:tcBorders>
              <w:top w:val="nil"/>
              <w:left w:val="nil"/>
              <w:bottom w:val="nil"/>
              <w:right w:val="nil"/>
            </w:tcBorders>
            <w:tcMar>
              <w:top w:w="45" w:type="dxa"/>
              <w:left w:w="45" w:type="dxa"/>
              <w:bottom w:w="45" w:type="dxa"/>
              <w:right w:w="45" w:type="dxa"/>
            </w:tcMar>
            <w:vAlign w:val="center"/>
          </w:tcPr>
          <w:p w14:paraId="2707BF3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40 RIF vs. 35 controls</w:t>
            </w:r>
          </w:p>
        </w:tc>
        <w:tc>
          <w:tcPr>
            <w:tcW w:w="1787" w:type="dxa"/>
            <w:tcBorders>
              <w:top w:val="nil"/>
              <w:left w:val="nil"/>
              <w:bottom w:val="nil"/>
              <w:right w:val="nil"/>
            </w:tcBorders>
            <w:tcMar>
              <w:top w:w="45" w:type="dxa"/>
              <w:left w:w="45" w:type="dxa"/>
              <w:bottom w:w="45" w:type="dxa"/>
              <w:right w:w="45" w:type="dxa"/>
            </w:tcMar>
            <w:vAlign w:val="center"/>
          </w:tcPr>
          <w:p w14:paraId="6F3F64D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76 DEGs including CXCL8, IL6, MMP7; immune/inflammatory and ECM pathways enriched</w:t>
            </w:r>
          </w:p>
        </w:tc>
        <w:tc>
          <w:tcPr>
            <w:tcW w:w="2411" w:type="dxa"/>
            <w:tcBorders>
              <w:top w:val="nil"/>
              <w:left w:val="nil"/>
              <w:bottom w:val="nil"/>
              <w:right w:val="nil"/>
            </w:tcBorders>
            <w:tcMar>
              <w:top w:w="45" w:type="dxa"/>
              <w:left w:w="45" w:type="dxa"/>
              <w:bottom w:w="45" w:type="dxa"/>
              <w:right w:w="45" w:type="dxa"/>
            </w:tcMar>
            <w:vAlign w:val="center"/>
          </w:tcPr>
          <w:p w14:paraId="6E0D78D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Inflammatory gene panel as candidate RIF diagnostic biomarkers</w:t>
            </w:r>
          </w:p>
        </w:tc>
        <w:tc>
          <w:tcPr>
            <w:tcW w:w="1738" w:type="dxa"/>
            <w:tcBorders>
              <w:top w:val="nil"/>
              <w:left w:val="nil"/>
              <w:bottom w:val="nil"/>
              <w:right w:val="nil"/>
            </w:tcBorders>
            <w:tcMar>
              <w:top w:w="45" w:type="dxa"/>
              <w:left w:w="45" w:type="dxa"/>
              <w:bottom w:w="45" w:type="dxa"/>
              <w:right w:w="45" w:type="dxa"/>
            </w:tcMar>
            <w:vAlign w:val="center"/>
          </w:tcPr>
          <w:p w14:paraId="15E24C1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Affymetrix microarray; IPA</w:t>
            </w:r>
          </w:p>
        </w:tc>
        <w:tc>
          <w:tcPr>
            <w:tcW w:w="1364" w:type="dxa"/>
            <w:tcBorders>
              <w:top w:val="nil"/>
              <w:left w:val="nil"/>
              <w:bottom w:val="nil"/>
              <w:right w:val="nil"/>
            </w:tcBorders>
            <w:tcMar>
              <w:top w:w="45" w:type="dxa"/>
              <w:left w:w="45" w:type="dxa"/>
              <w:bottom w:w="45" w:type="dxa"/>
              <w:right w:w="45" w:type="dxa"/>
            </w:tcMar>
            <w:vAlign w:val="center"/>
          </w:tcPr>
          <w:p w14:paraId="258DE2C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Adequate N; WOI-timed; comprehensive pathway analysis</w:t>
            </w:r>
          </w:p>
        </w:tc>
        <w:tc>
          <w:tcPr>
            <w:tcW w:w="1380" w:type="dxa"/>
            <w:tcBorders>
              <w:top w:val="nil"/>
              <w:left w:val="nil"/>
              <w:bottom w:val="nil"/>
              <w:right w:val="nil"/>
            </w:tcBorders>
            <w:tcMar>
              <w:top w:w="45" w:type="dxa"/>
              <w:left w:w="45" w:type="dxa"/>
              <w:bottom w:w="45" w:type="dxa"/>
              <w:right w:w="45" w:type="dxa"/>
            </w:tcMar>
            <w:vAlign w:val="center"/>
          </w:tcPr>
          <w:p w14:paraId="4F42A12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Microarray platform; single-</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 no validation cohort</w:t>
            </w:r>
          </w:p>
        </w:tc>
      </w:tr>
      <w:tr w:rsidR="00D7116D" w:rsidRPr="00D578DF" w14:paraId="2DD43111"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B1945FA"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Pathare AD et al., 2022 [60]</w:t>
            </w:r>
          </w:p>
        </w:tc>
        <w:tc>
          <w:tcPr>
            <w:tcW w:w="1114" w:type="dxa"/>
            <w:tcBorders>
              <w:top w:val="nil"/>
              <w:left w:val="nil"/>
              <w:bottom w:val="nil"/>
              <w:right w:val="nil"/>
            </w:tcBorders>
            <w:tcMar>
              <w:top w:w="45" w:type="dxa"/>
              <w:left w:w="45" w:type="dxa"/>
              <w:bottom w:w="45" w:type="dxa"/>
              <w:right w:w="45" w:type="dxa"/>
            </w:tcMar>
            <w:vAlign w:val="center"/>
          </w:tcPr>
          <w:p w14:paraId="539E6AF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Sciences</w:t>
            </w:r>
          </w:p>
        </w:tc>
        <w:tc>
          <w:tcPr>
            <w:tcW w:w="1189" w:type="dxa"/>
            <w:tcBorders>
              <w:top w:val="nil"/>
              <w:left w:val="nil"/>
              <w:bottom w:val="nil"/>
              <w:right w:val="nil"/>
            </w:tcBorders>
            <w:tcMar>
              <w:top w:w="45" w:type="dxa"/>
              <w:left w:w="45" w:type="dxa"/>
              <w:bottom w:w="45" w:type="dxa"/>
              <w:right w:w="45" w:type="dxa"/>
            </w:tcMar>
            <w:vAlign w:val="center"/>
          </w:tcPr>
          <w:p w14:paraId="7F79D20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w:t>
            </w:r>
          </w:p>
        </w:tc>
        <w:tc>
          <w:tcPr>
            <w:tcW w:w="1055" w:type="dxa"/>
            <w:tcBorders>
              <w:top w:val="nil"/>
              <w:left w:val="nil"/>
              <w:bottom w:val="nil"/>
              <w:right w:val="nil"/>
            </w:tcBorders>
            <w:tcMar>
              <w:top w:w="45" w:type="dxa"/>
              <w:left w:w="45" w:type="dxa"/>
              <w:bottom w:w="45" w:type="dxa"/>
              <w:right w:w="45" w:type="dxa"/>
            </w:tcMar>
            <w:vAlign w:val="center"/>
          </w:tcPr>
          <w:p w14:paraId="7F7B4A0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28 RIF vs. 25 controls</w:t>
            </w:r>
          </w:p>
        </w:tc>
        <w:tc>
          <w:tcPr>
            <w:tcW w:w="1787" w:type="dxa"/>
            <w:tcBorders>
              <w:top w:val="nil"/>
              <w:left w:val="nil"/>
              <w:bottom w:val="nil"/>
              <w:right w:val="nil"/>
            </w:tcBorders>
            <w:tcMar>
              <w:top w:w="45" w:type="dxa"/>
              <w:left w:w="45" w:type="dxa"/>
              <w:bottom w:w="45" w:type="dxa"/>
              <w:right w:w="45" w:type="dxa"/>
            </w:tcMar>
            <w:vAlign w:val="center"/>
          </w:tcPr>
          <w:p w14:paraId="37D3051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Reduced ITGB3, CDH1, ICAM1 expression in RIF; impaired adhesion competence during stimulated cycle</w:t>
            </w:r>
          </w:p>
        </w:tc>
        <w:tc>
          <w:tcPr>
            <w:tcW w:w="2411" w:type="dxa"/>
            <w:tcBorders>
              <w:top w:val="nil"/>
              <w:left w:val="nil"/>
              <w:bottom w:val="nil"/>
              <w:right w:val="nil"/>
            </w:tcBorders>
            <w:tcMar>
              <w:top w:w="45" w:type="dxa"/>
              <w:left w:w="45" w:type="dxa"/>
              <w:bottom w:w="45" w:type="dxa"/>
              <w:right w:w="45" w:type="dxa"/>
            </w:tcMar>
            <w:vAlign w:val="center"/>
          </w:tcPr>
          <w:p w14:paraId="35783A5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Cell adhesion gene panel as transcriptomic RIF screening tool in stimulated cycles</w:t>
            </w:r>
          </w:p>
        </w:tc>
        <w:tc>
          <w:tcPr>
            <w:tcW w:w="1738" w:type="dxa"/>
            <w:tcBorders>
              <w:top w:val="nil"/>
              <w:left w:val="nil"/>
              <w:bottom w:val="nil"/>
              <w:right w:val="nil"/>
            </w:tcBorders>
            <w:tcMar>
              <w:top w:w="45" w:type="dxa"/>
              <w:left w:w="45" w:type="dxa"/>
              <w:bottom w:w="45" w:type="dxa"/>
              <w:right w:w="45" w:type="dxa"/>
            </w:tcMar>
            <w:vAlign w:val="center"/>
          </w:tcPr>
          <w:p w14:paraId="60642C9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RT-qPCR; targeted gene panel</w:t>
            </w:r>
          </w:p>
        </w:tc>
        <w:tc>
          <w:tcPr>
            <w:tcW w:w="1364" w:type="dxa"/>
            <w:tcBorders>
              <w:top w:val="nil"/>
              <w:left w:val="nil"/>
              <w:bottom w:val="nil"/>
              <w:right w:val="nil"/>
            </w:tcBorders>
            <w:tcMar>
              <w:top w:w="45" w:type="dxa"/>
              <w:left w:w="45" w:type="dxa"/>
              <w:bottom w:w="45" w:type="dxa"/>
              <w:right w:w="45" w:type="dxa"/>
            </w:tcMar>
            <w:vAlign w:val="center"/>
          </w:tcPr>
          <w:p w14:paraId="7E10AEF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Cell adhesion focus; RT-qPCR quantification</w:t>
            </w:r>
          </w:p>
        </w:tc>
        <w:tc>
          <w:tcPr>
            <w:tcW w:w="1380" w:type="dxa"/>
            <w:tcBorders>
              <w:top w:val="nil"/>
              <w:left w:val="nil"/>
              <w:bottom w:val="nil"/>
              <w:right w:val="nil"/>
            </w:tcBorders>
            <w:tcMar>
              <w:top w:w="45" w:type="dxa"/>
              <w:left w:w="45" w:type="dxa"/>
              <w:bottom w:w="45" w:type="dxa"/>
              <w:right w:w="45" w:type="dxa"/>
            </w:tcMar>
            <w:vAlign w:val="center"/>
          </w:tcPr>
          <w:p w14:paraId="6116414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Small N; targeted gene panel only; no whole-transcriptome</w:t>
            </w:r>
          </w:p>
        </w:tc>
      </w:tr>
      <w:tr w:rsidR="00D7116D" w:rsidRPr="00D578DF" w14:paraId="3155484F"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06B29F3"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Prašnikar et al., 2022 [66]</w:t>
            </w:r>
          </w:p>
        </w:tc>
        <w:tc>
          <w:tcPr>
            <w:tcW w:w="1114" w:type="dxa"/>
            <w:tcBorders>
              <w:top w:val="nil"/>
              <w:left w:val="nil"/>
              <w:bottom w:val="nil"/>
              <w:right w:val="nil"/>
            </w:tcBorders>
            <w:tcMar>
              <w:top w:w="45" w:type="dxa"/>
              <w:left w:w="45" w:type="dxa"/>
              <w:bottom w:w="45" w:type="dxa"/>
              <w:right w:w="45" w:type="dxa"/>
            </w:tcMar>
            <w:vAlign w:val="center"/>
          </w:tcPr>
          <w:p w14:paraId="6A3521C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Reproductive Biology and </w:t>
            </w:r>
            <w:r w:rsidRPr="00D578DF">
              <w:rPr>
                <w:rFonts w:ascii="Times New Roman" w:eastAsia="Calibri" w:hAnsi="Times New Roman" w:cs="Times New Roman"/>
                <w:color w:val="000000" w:themeColor="text1"/>
                <w:sz w:val="20"/>
                <w:szCs w:val="20"/>
              </w:rPr>
              <w:lastRenderedPageBreak/>
              <w:t>Endocrinology</w:t>
            </w:r>
          </w:p>
        </w:tc>
        <w:tc>
          <w:tcPr>
            <w:tcW w:w="1189" w:type="dxa"/>
            <w:tcBorders>
              <w:top w:val="nil"/>
              <w:left w:val="nil"/>
              <w:bottom w:val="nil"/>
              <w:right w:val="nil"/>
            </w:tcBorders>
            <w:tcMar>
              <w:top w:w="45" w:type="dxa"/>
              <w:left w:w="45" w:type="dxa"/>
              <w:bottom w:w="45" w:type="dxa"/>
              <w:right w:w="45" w:type="dxa"/>
            </w:tcMar>
            <w:vAlign w:val="center"/>
          </w:tcPr>
          <w:p w14:paraId="135D823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Case-control</w:t>
            </w:r>
          </w:p>
        </w:tc>
        <w:tc>
          <w:tcPr>
            <w:tcW w:w="1055" w:type="dxa"/>
            <w:tcBorders>
              <w:top w:val="nil"/>
              <w:left w:val="nil"/>
              <w:bottom w:val="nil"/>
              <w:right w:val="nil"/>
            </w:tcBorders>
            <w:tcMar>
              <w:top w:w="45" w:type="dxa"/>
              <w:left w:w="45" w:type="dxa"/>
              <w:bottom w:w="45" w:type="dxa"/>
              <w:right w:w="45" w:type="dxa"/>
            </w:tcMar>
            <w:vAlign w:val="center"/>
          </w:tcPr>
          <w:p w14:paraId="055A722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25 adenomyos</w:t>
            </w:r>
            <w:r w:rsidRPr="00D578DF">
              <w:rPr>
                <w:rFonts w:ascii="Times New Roman" w:eastAsia="Calibri" w:hAnsi="Times New Roman" w:cs="Times New Roman"/>
                <w:color w:val="000000" w:themeColor="text1"/>
                <w:sz w:val="20"/>
                <w:szCs w:val="20"/>
              </w:rPr>
              <w:lastRenderedPageBreak/>
              <w:t>is vs. 20 controls</w:t>
            </w:r>
          </w:p>
        </w:tc>
        <w:tc>
          <w:tcPr>
            <w:tcW w:w="1787" w:type="dxa"/>
            <w:tcBorders>
              <w:top w:val="nil"/>
              <w:left w:val="nil"/>
              <w:bottom w:val="nil"/>
              <w:right w:val="nil"/>
            </w:tcBorders>
            <w:tcMar>
              <w:top w:w="45" w:type="dxa"/>
              <w:left w:w="45" w:type="dxa"/>
              <w:bottom w:w="45" w:type="dxa"/>
              <w:right w:w="45" w:type="dxa"/>
            </w:tcMar>
            <w:vAlign w:val="center"/>
          </w:tcPr>
          <w:p w14:paraId="79D9C55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Downregulation of progesterone receptor (PGR), WNT4, LEFTY2; </w:t>
            </w:r>
            <w:r w:rsidRPr="00D578DF">
              <w:rPr>
                <w:rFonts w:ascii="Times New Roman" w:eastAsia="Calibri" w:hAnsi="Times New Roman" w:cs="Times New Roman"/>
                <w:color w:val="000000" w:themeColor="text1"/>
                <w:sz w:val="20"/>
                <w:szCs w:val="20"/>
              </w:rPr>
              <w:lastRenderedPageBreak/>
              <w:t>shared dysregulation with RIF endometrium</w:t>
            </w:r>
          </w:p>
        </w:tc>
        <w:tc>
          <w:tcPr>
            <w:tcW w:w="2411" w:type="dxa"/>
            <w:tcBorders>
              <w:top w:val="nil"/>
              <w:left w:val="nil"/>
              <w:bottom w:val="nil"/>
              <w:right w:val="nil"/>
            </w:tcBorders>
            <w:tcMar>
              <w:top w:w="45" w:type="dxa"/>
              <w:left w:w="45" w:type="dxa"/>
              <w:bottom w:w="45" w:type="dxa"/>
              <w:right w:w="45" w:type="dxa"/>
            </w:tcMar>
            <w:vAlign w:val="center"/>
          </w:tcPr>
          <w:p w14:paraId="3273800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Adenomyosis-associated receptivity defects may </w:t>
            </w:r>
            <w:r w:rsidRPr="00D578DF">
              <w:rPr>
                <w:rFonts w:ascii="Times New Roman" w:eastAsia="Calibri" w:hAnsi="Times New Roman" w:cs="Times New Roman"/>
                <w:color w:val="000000" w:themeColor="text1"/>
                <w:sz w:val="20"/>
                <w:szCs w:val="20"/>
              </w:rPr>
              <w:lastRenderedPageBreak/>
              <w:t>contribute to RIF; PGR as therapeutic target</w:t>
            </w:r>
          </w:p>
        </w:tc>
        <w:tc>
          <w:tcPr>
            <w:tcW w:w="1738" w:type="dxa"/>
            <w:tcBorders>
              <w:top w:val="nil"/>
              <w:left w:val="nil"/>
              <w:bottom w:val="nil"/>
              <w:right w:val="nil"/>
            </w:tcBorders>
            <w:tcMar>
              <w:top w:w="45" w:type="dxa"/>
              <w:left w:w="45" w:type="dxa"/>
              <w:bottom w:w="45" w:type="dxa"/>
              <w:right w:w="45" w:type="dxa"/>
            </w:tcMar>
            <w:vAlign w:val="center"/>
          </w:tcPr>
          <w:p w14:paraId="1403710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RNA-seq; DESeq2</w:t>
            </w:r>
          </w:p>
        </w:tc>
        <w:tc>
          <w:tcPr>
            <w:tcW w:w="1364" w:type="dxa"/>
            <w:tcBorders>
              <w:top w:val="nil"/>
              <w:left w:val="nil"/>
              <w:bottom w:val="nil"/>
              <w:right w:val="nil"/>
            </w:tcBorders>
            <w:tcMar>
              <w:top w:w="45" w:type="dxa"/>
              <w:left w:w="45" w:type="dxa"/>
              <w:bottom w:w="45" w:type="dxa"/>
              <w:right w:w="45" w:type="dxa"/>
            </w:tcMar>
            <w:vAlign w:val="center"/>
          </w:tcPr>
          <w:p w14:paraId="6313BCE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Clinically relevant adenomyosis-</w:t>
            </w:r>
            <w:r w:rsidRPr="00D578DF">
              <w:rPr>
                <w:rFonts w:ascii="Times New Roman" w:eastAsia="Calibri" w:hAnsi="Times New Roman" w:cs="Times New Roman"/>
                <w:color w:val="000000" w:themeColor="text1"/>
                <w:sz w:val="20"/>
                <w:szCs w:val="20"/>
              </w:rPr>
              <w:lastRenderedPageBreak/>
              <w:t>RIF link; WOI-</w:t>
            </w:r>
            <w:proofErr w:type="spellStart"/>
            <w:r w:rsidRPr="00D578DF">
              <w:rPr>
                <w:rFonts w:ascii="Times New Roman" w:eastAsia="Calibri" w:hAnsi="Times New Roman" w:cs="Times New Roman"/>
                <w:color w:val="000000" w:themeColor="text1"/>
                <w:sz w:val="20"/>
                <w:szCs w:val="20"/>
              </w:rPr>
              <w:t>synchronised</w:t>
            </w:r>
            <w:proofErr w:type="spellEnd"/>
          </w:p>
        </w:tc>
        <w:tc>
          <w:tcPr>
            <w:tcW w:w="1380" w:type="dxa"/>
            <w:tcBorders>
              <w:top w:val="nil"/>
              <w:left w:val="nil"/>
              <w:bottom w:val="nil"/>
              <w:right w:val="nil"/>
            </w:tcBorders>
            <w:tcMar>
              <w:top w:w="45" w:type="dxa"/>
              <w:left w:w="45" w:type="dxa"/>
              <w:bottom w:w="45" w:type="dxa"/>
              <w:right w:w="45" w:type="dxa"/>
            </w:tcMar>
            <w:vAlign w:val="center"/>
          </w:tcPr>
          <w:p w14:paraId="0743064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Adenomyosis-specific; may not </w:t>
            </w:r>
            <w:proofErr w:type="spellStart"/>
            <w:r w:rsidRPr="00D578DF">
              <w:rPr>
                <w:rFonts w:ascii="Times New Roman" w:eastAsia="Calibri" w:hAnsi="Times New Roman" w:cs="Times New Roman"/>
                <w:color w:val="000000" w:themeColor="text1"/>
                <w:sz w:val="20"/>
                <w:szCs w:val="20"/>
              </w:rPr>
              <w:t>generalise</w:t>
            </w:r>
            <w:proofErr w:type="spellEnd"/>
            <w:r w:rsidRPr="00D578DF">
              <w:rPr>
                <w:rFonts w:ascii="Times New Roman" w:eastAsia="Calibri" w:hAnsi="Times New Roman" w:cs="Times New Roman"/>
                <w:color w:val="000000" w:themeColor="text1"/>
                <w:sz w:val="20"/>
                <w:szCs w:val="20"/>
              </w:rPr>
              <w:t xml:space="preserve"> </w:t>
            </w:r>
            <w:r w:rsidRPr="00D578DF">
              <w:rPr>
                <w:rFonts w:ascii="Times New Roman" w:eastAsia="Calibri" w:hAnsi="Times New Roman" w:cs="Times New Roman"/>
                <w:color w:val="000000" w:themeColor="text1"/>
                <w:sz w:val="20"/>
                <w:szCs w:val="20"/>
              </w:rPr>
              <w:lastRenderedPageBreak/>
              <w:t>to idiopathic RIF</w:t>
            </w:r>
          </w:p>
        </w:tc>
      </w:tr>
      <w:tr w:rsidR="00D7116D" w:rsidRPr="00D578DF" w14:paraId="6EACFBEF"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FC3C91B"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Nikolova et al., 2021 [67]</w:t>
            </w:r>
          </w:p>
        </w:tc>
        <w:tc>
          <w:tcPr>
            <w:tcW w:w="1114" w:type="dxa"/>
            <w:tcBorders>
              <w:top w:val="nil"/>
              <w:left w:val="nil"/>
              <w:bottom w:val="nil"/>
              <w:right w:val="nil"/>
            </w:tcBorders>
            <w:tcMar>
              <w:top w:w="45" w:type="dxa"/>
              <w:left w:w="45" w:type="dxa"/>
              <w:bottom w:w="45" w:type="dxa"/>
              <w:right w:w="45" w:type="dxa"/>
            </w:tcMar>
            <w:vAlign w:val="center"/>
          </w:tcPr>
          <w:p w14:paraId="0506D27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Life</w:t>
            </w:r>
          </w:p>
        </w:tc>
        <w:tc>
          <w:tcPr>
            <w:tcW w:w="1189" w:type="dxa"/>
            <w:tcBorders>
              <w:top w:val="nil"/>
              <w:left w:val="nil"/>
              <w:bottom w:val="nil"/>
              <w:right w:val="nil"/>
            </w:tcBorders>
            <w:tcMar>
              <w:top w:w="45" w:type="dxa"/>
              <w:left w:w="45" w:type="dxa"/>
              <w:bottom w:w="45" w:type="dxa"/>
              <w:right w:w="45" w:type="dxa"/>
            </w:tcMar>
            <w:vAlign w:val="center"/>
          </w:tcPr>
          <w:p w14:paraId="71C43DB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Multi-omics (miRNA + mRNA)</w:t>
            </w:r>
          </w:p>
        </w:tc>
        <w:tc>
          <w:tcPr>
            <w:tcW w:w="1055" w:type="dxa"/>
            <w:tcBorders>
              <w:top w:val="nil"/>
              <w:left w:val="nil"/>
              <w:bottom w:val="nil"/>
              <w:right w:val="nil"/>
            </w:tcBorders>
            <w:tcMar>
              <w:top w:w="45" w:type="dxa"/>
              <w:left w:w="45" w:type="dxa"/>
              <w:bottom w:w="45" w:type="dxa"/>
              <w:right w:w="45" w:type="dxa"/>
            </w:tcMar>
            <w:vAlign w:val="center"/>
          </w:tcPr>
          <w:p w14:paraId="1081BC8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30 biopsies (WOI)</w:t>
            </w:r>
          </w:p>
        </w:tc>
        <w:tc>
          <w:tcPr>
            <w:tcW w:w="1787" w:type="dxa"/>
            <w:tcBorders>
              <w:top w:val="nil"/>
              <w:left w:val="nil"/>
              <w:bottom w:val="nil"/>
              <w:right w:val="nil"/>
            </w:tcBorders>
            <w:tcMar>
              <w:top w:w="45" w:type="dxa"/>
              <w:left w:w="45" w:type="dxa"/>
              <w:bottom w:w="45" w:type="dxa"/>
              <w:right w:w="45" w:type="dxa"/>
            </w:tcMar>
            <w:vAlign w:val="center"/>
          </w:tcPr>
          <w:p w14:paraId="5C2A4F7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Novel </w:t>
            </w:r>
            <w:proofErr w:type="spellStart"/>
            <w:r w:rsidRPr="00D578DF">
              <w:rPr>
                <w:rFonts w:ascii="Times New Roman" w:eastAsia="Calibri" w:hAnsi="Times New Roman" w:cs="Times New Roman"/>
                <w:color w:val="000000" w:themeColor="text1"/>
                <w:sz w:val="20"/>
                <w:szCs w:val="20"/>
              </w:rPr>
              <w:t>isomiR</w:t>
            </w:r>
            <w:proofErr w:type="spellEnd"/>
            <w:r w:rsidRPr="00D578DF">
              <w:rPr>
                <w:rFonts w:ascii="Times New Roman" w:eastAsia="Calibri" w:hAnsi="Times New Roman" w:cs="Times New Roman"/>
                <w:color w:val="000000" w:themeColor="text1"/>
                <w:sz w:val="20"/>
                <w:szCs w:val="20"/>
              </w:rPr>
              <w:t xml:space="preserve"> species contribute to post-transcriptional regulation of HOXA10, integrin pathways; 48 candidate miRNA-mRNA pairs</w:t>
            </w:r>
          </w:p>
        </w:tc>
        <w:tc>
          <w:tcPr>
            <w:tcW w:w="2411" w:type="dxa"/>
            <w:tcBorders>
              <w:top w:val="nil"/>
              <w:left w:val="nil"/>
              <w:bottom w:val="nil"/>
              <w:right w:val="nil"/>
            </w:tcBorders>
            <w:tcMar>
              <w:top w:w="45" w:type="dxa"/>
              <w:left w:w="45" w:type="dxa"/>
              <w:bottom w:w="45" w:type="dxa"/>
              <w:right w:w="45" w:type="dxa"/>
            </w:tcMar>
            <w:vAlign w:val="center"/>
          </w:tcPr>
          <w:p w14:paraId="5E38ADC7"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isomiR</w:t>
            </w:r>
            <w:proofErr w:type="spellEnd"/>
            <w:r w:rsidRPr="00D578DF">
              <w:rPr>
                <w:rFonts w:ascii="Times New Roman" w:eastAsia="Calibri" w:hAnsi="Times New Roman" w:cs="Times New Roman"/>
                <w:color w:val="000000" w:themeColor="text1"/>
                <w:sz w:val="20"/>
                <w:szCs w:val="20"/>
              </w:rPr>
              <w:t>-based transcriptomic signature as a refined endometrial receptivity diagnostic</w:t>
            </w:r>
          </w:p>
        </w:tc>
        <w:tc>
          <w:tcPr>
            <w:tcW w:w="1738" w:type="dxa"/>
            <w:tcBorders>
              <w:top w:val="nil"/>
              <w:left w:val="nil"/>
              <w:bottom w:val="nil"/>
              <w:right w:val="nil"/>
            </w:tcBorders>
            <w:tcMar>
              <w:top w:w="45" w:type="dxa"/>
              <w:left w:w="45" w:type="dxa"/>
              <w:bottom w:w="45" w:type="dxa"/>
              <w:right w:w="45" w:type="dxa"/>
            </w:tcMar>
            <w:vAlign w:val="center"/>
          </w:tcPr>
          <w:p w14:paraId="3F6F81B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Small RNA-seq; </w:t>
            </w:r>
            <w:proofErr w:type="spellStart"/>
            <w:r w:rsidRPr="00D578DF">
              <w:rPr>
                <w:rFonts w:ascii="Times New Roman" w:eastAsia="Calibri" w:hAnsi="Times New Roman" w:cs="Times New Roman"/>
                <w:color w:val="000000" w:themeColor="text1"/>
                <w:sz w:val="20"/>
                <w:szCs w:val="20"/>
              </w:rPr>
              <w:t>isomiR</w:t>
            </w:r>
            <w:proofErr w:type="spellEnd"/>
            <w:r w:rsidRPr="00D578DF">
              <w:rPr>
                <w:rFonts w:ascii="Times New Roman" w:eastAsia="Calibri" w:hAnsi="Times New Roman" w:cs="Times New Roman"/>
                <w:color w:val="000000" w:themeColor="text1"/>
                <w:sz w:val="20"/>
                <w:szCs w:val="20"/>
              </w:rPr>
              <w:t>-specific analysis</w:t>
            </w:r>
          </w:p>
        </w:tc>
        <w:tc>
          <w:tcPr>
            <w:tcW w:w="1364" w:type="dxa"/>
            <w:tcBorders>
              <w:top w:val="nil"/>
              <w:left w:val="nil"/>
              <w:bottom w:val="nil"/>
              <w:right w:val="nil"/>
            </w:tcBorders>
            <w:tcMar>
              <w:top w:w="45" w:type="dxa"/>
              <w:left w:w="45" w:type="dxa"/>
              <w:bottom w:w="45" w:type="dxa"/>
              <w:right w:w="45" w:type="dxa"/>
            </w:tcMar>
            <w:vAlign w:val="center"/>
          </w:tcPr>
          <w:p w14:paraId="33CF00F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Novel </w:t>
            </w:r>
            <w:proofErr w:type="spellStart"/>
            <w:r w:rsidRPr="00D578DF">
              <w:rPr>
                <w:rFonts w:ascii="Times New Roman" w:eastAsia="Calibri" w:hAnsi="Times New Roman" w:cs="Times New Roman"/>
                <w:color w:val="000000" w:themeColor="text1"/>
                <w:sz w:val="20"/>
                <w:szCs w:val="20"/>
              </w:rPr>
              <w:t>isomiR</w:t>
            </w:r>
            <w:proofErr w:type="spellEnd"/>
            <w:r w:rsidRPr="00D578DF">
              <w:rPr>
                <w:rFonts w:ascii="Times New Roman" w:eastAsia="Calibri" w:hAnsi="Times New Roman" w:cs="Times New Roman"/>
                <w:color w:val="000000" w:themeColor="text1"/>
                <w:sz w:val="20"/>
                <w:szCs w:val="20"/>
              </w:rPr>
              <w:t xml:space="preserve"> analysis; miRNA-mRNA integrative approach</w:t>
            </w:r>
          </w:p>
        </w:tc>
        <w:tc>
          <w:tcPr>
            <w:tcW w:w="1380" w:type="dxa"/>
            <w:tcBorders>
              <w:top w:val="nil"/>
              <w:left w:val="nil"/>
              <w:bottom w:val="nil"/>
              <w:right w:val="nil"/>
            </w:tcBorders>
            <w:tcMar>
              <w:top w:w="45" w:type="dxa"/>
              <w:left w:w="45" w:type="dxa"/>
              <w:bottom w:w="45" w:type="dxa"/>
              <w:right w:w="45" w:type="dxa"/>
            </w:tcMar>
            <w:vAlign w:val="center"/>
          </w:tcPr>
          <w:p w14:paraId="2765279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Moderate N; limited clinical outcome correlation</w:t>
            </w:r>
          </w:p>
        </w:tc>
      </w:tr>
      <w:tr w:rsidR="00D7116D" w:rsidRPr="00D578DF" w14:paraId="6C55CF00"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7D49FA7A"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Yu SL et al., 2021 [68]</w:t>
            </w:r>
          </w:p>
        </w:tc>
        <w:tc>
          <w:tcPr>
            <w:tcW w:w="1114" w:type="dxa"/>
            <w:tcBorders>
              <w:top w:val="nil"/>
              <w:left w:val="nil"/>
              <w:bottom w:val="nil"/>
              <w:right w:val="nil"/>
            </w:tcBorders>
            <w:tcMar>
              <w:top w:w="45" w:type="dxa"/>
              <w:left w:w="45" w:type="dxa"/>
              <w:bottom w:w="45" w:type="dxa"/>
              <w:right w:w="45" w:type="dxa"/>
            </w:tcMar>
            <w:vAlign w:val="center"/>
          </w:tcPr>
          <w:p w14:paraId="1A1B27D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Experimental and Therapeutic Medicine</w:t>
            </w:r>
          </w:p>
        </w:tc>
        <w:tc>
          <w:tcPr>
            <w:tcW w:w="1189" w:type="dxa"/>
            <w:tcBorders>
              <w:top w:val="nil"/>
              <w:left w:val="nil"/>
              <w:bottom w:val="nil"/>
              <w:right w:val="nil"/>
            </w:tcBorders>
            <w:tcMar>
              <w:top w:w="45" w:type="dxa"/>
              <w:left w:w="45" w:type="dxa"/>
              <w:bottom w:w="45" w:type="dxa"/>
              <w:right w:w="45" w:type="dxa"/>
            </w:tcMar>
            <w:vAlign w:val="center"/>
          </w:tcPr>
          <w:p w14:paraId="1ED5016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 (phase comparison)</w:t>
            </w:r>
          </w:p>
        </w:tc>
        <w:tc>
          <w:tcPr>
            <w:tcW w:w="1055" w:type="dxa"/>
            <w:tcBorders>
              <w:top w:val="nil"/>
              <w:left w:val="nil"/>
              <w:bottom w:val="nil"/>
              <w:right w:val="nil"/>
            </w:tcBorders>
            <w:tcMar>
              <w:top w:w="45" w:type="dxa"/>
              <w:left w:w="45" w:type="dxa"/>
              <w:bottom w:w="45" w:type="dxa"/>
              <w:right w:w="45" w:type="dxa"/>
            </w:tcMar>
            <w:vAlign w:val="center"/>
          </w:tcPr>
          <w:p w14:paraId="6CA3CE7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20 samples per phase</w:t>
            </w:r>
          </w:p>
        </w:tc>
        <w:tc>
          <w:tcPr>
            <w:tcW w:w="1787" w:type="dxa"/>
            <w:tcBorders>
              <w:top w:val="nil"/>
              <w:left w:val="nil"/>
              <w:bottom w:val="nil"/>
              <w:right w:val="nil"/>
            </w:tcBorders>
            <w:tcMar>
              <w:top w:w="45" w:type="dxa"/>
              <w:left w:w="45" w:type="dxa"/>
              <w:bottom w:w="45" w:type="dxa"/>
              <w:right w:w="45" w:type="dxa"/>
            </w:tcMar>
            <w:vAlign w:val="center"/>
          </w:tcPr>
          <w:p w14:paraId="63359E3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Phase-specific lncRNA-miRNA-mRNA networks; XIST, H19 </w:t>
            </w:r>
            <w:proofErr w:type="spellStart"/>
            <w:r w:rsidRPr="00D578DF">
              <w:rPr>
                <w:rFonts w:ascii="Times New Roman" w:eastAsia="Calibri" w:hAnsi="Times New Roman" w:cs="Times New Roman"/>
                <w:color w:val="000000" w:themeColor="text1"/>
                <w:sz w:val="20"/>
                <w:szCs w:val="20"/>
              </w:rPr>
              <w:t>lncRNAs</w:t>
            </w:r>
            <w:proofErr w:type="spellEnd"/>
            <w:r w:rsidRPr="00D578DF">
              <w:rPr>
                <w:rFonts w:ascii="Times New Roman" w:eastAsia="Calibri" w:hAnsi="Times New Roman" w:cs="Times New Roman"/>
                <w:color w:val="000000" w:themeColor="text1"/>
                <w:sz w:val="20"/>
                <w:szCs w:val="20"/>
              </w:rPr>
              <w:t xml:space="preserve"> enriched at WOI; immune phase transition genes</w:t>
            </w:r>
          </w:p>
        </w:tc>
        <w:tc>
          <w:tcPr>
            <w:tcW w:w="2411" w:type="dxa"/>
            <w:tcBorders>
              <w:top w:val="nil"/>
              <w:left w:val="nil"/>
              <w:bottom w:val="nil"/>
              <w:right w:val="nil"/>
            </w:tcBorders>
            <w:tcMar>
              <w:top w:w="45" w:type="dxa"/>
              <w:left w:w="45" w:type="dxa"/>
              <w:bottom w:w="45" w:type="dxa"/>
              <w:right w:w="45" w:type="dxa"/>
            </w:tcMar>
            <w:vAlign w:val="center"/>
          </w:tcPr>
          <w:p w14:paraId="1B02F00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Baseline phase-specific transcriptomic reference for identifying WOI deviations in RIF</w:t>
            </w:r>
          </w:p>
        </w:tc>
        <w:tc>
          <w:tcPr>
            <w:tcW w:w="1738" w:type="dxa"/>
            <w:tcBorders>
              <w:top w:val="nil"/>
              <w:left w:val="nil"/>
              <w:bottom w:val="nil"/>
              <w:right w:val="nil"/>
            </w:tcBorders>
            <w:tcMar>
              <w:top w:w="45" w:type="dxa"/>
              <w:left w:w="45" w:type="dxa"/>
              <w:bottom w:w="45" w:type="dxa"/>
              <w:right w:w="45" w:type="dxa"/>
            </w:tcMar>
            <w:vAlign w:val="center"/>
          </w:tcPr>
          <w:p w14:paraId="5AC027A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RNA-seq; </w:t>
            </w:r>
            <w:proofErr w:type="spellStart"/>
            <w:r w:rsidRPr="00D578DF">
              <w:rPr>
                <w:rFonts w:ascii="Times New Roman" w:eastAsia="Calibri" w:hAnsi="Times New Roman" w:cs="Times New Roman"/>
                <w:color w:val="000000" w:themeColor="text1"/>
                <w:sz w:val="20"/>
                <w:szCs w:val="20"/>
              </w:rPr>
              <w:t>ceRNA</w:t>
            </w:r>
            <w:proofErr w:type="spellEnd"/>
            <w:r w:rsidRPr="00D578DF">
              <w:rPr>
                <w:rFonts w:ascii="Times New Roman" w:eastAsia="Calibri" w:hAnsi="Times New Roman" w:cs="Times New Roman"/>
                <w:color w:val="000000" w:themeColor="text1"/>
                <w:sz w:val="20"/>
                <w:szCs w:val="20"/>
              </w:rPr>
              <w:t xml:space="preserve"> network</w:t>
            </w:r>
          </w:p>
        </w:tc>
        <w:tc>
          <w:tcPr>
            <w:tcW w:w="1364" w:type="dxa"/>
            <w:tcBorders>
              <w:top w:val="nil"/>
              <w:left w:val="nil"/>
              <w:bottom w:val="nil"/>
              <w:right w:val="nil"/>
            </w:tcBorders>
            <w:tcMar>
              <w:top w:w="45" w:type="dxa"/>
              <w:left w:w="45" w:type="dxa"/>
              <w:bottom w:w="45" w:type="dxa"/>
              <w:right w:w="45" w:type="dxa"/>
            </w:tcMar>
            <w:vAlign w:val="center"/>
          </w:tcPr>
          <w:p w14:paraId="18BDC7A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Phase-specific profiling useful baseline data</w:t>
            </w:r>
          </w:p>
        </w:tc>
        <w:tc>
          <w:tcPr>
            <w:tcW w:w="1380" w:type="dxa"/>
            <w:tcBorders>
              <w:top w:val="nil"/>
              <w:left w:val="nil"/>
              <w:bottom w:val="nil"/>
              <w:right w:val="nil"/>
            </w:tcBorders>
            <w:tcMar>
              <w:top w:w="45" w:type="dxa"/>
              <w:left w:w="45" w:type="dxa"/>
              <w:bottom w:w="45" w:type="dxa"/>
              <w:right w:w="45" w:type="dxa"/>
            </w:tcMar>
            <w:vAlign w:val="center"/>
          </w:tcPr>
          <w:p w14:paraId="43A0011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Not RIF-specific; moderate N; no clinical outcomes</w:t>
            </w:r>
          </w:p>
        </w:tc>
      </w:tr>
      <w:tr w:rsidR="00D7116D" w:rsidRPr="00D578DF" w14:paraId="5384C2F6"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2F32D6F"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Walker ER et al., 2023 [54]</w:t>
            </w:r>
          </w:p>
        </w:tc>
        <w:tc>
          <w:tcPr>
            <w:tcW w:w="1114" w:type="dxa"/>
            <w:tcBorders>
              <w:top w:val="nil"/>
              <w:left w:val="nil"/>
              <w:bottom w:val="nil"/>
              <w:right w:val="nil"/>
            </w:tcBorders>
            <w:tcMar>
              <w:top w:w="45" w:type="dxa"/>
              <w:left w:w="45" w:type="dxa"/>
              <w:bottom w:w="45" w:type="dxa"/>
              <w:right w:w="45" w:type="dxa"/>
            </w:tcMar>
            <w:vAlign w:val="center"/>
          </w:tcPr>
          <w:p w14:paraId="3622CDA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Reproduction and Fertility</w:t>
            </w:r>
          </w:p>
        </w:tc>
        <w:tc>
          <w:tcPr>
            <w:tcW w:w="1189" w:type="dxa"/>
            <w:tcBorders>
              <w:top w:val="nil"/>
              <w:left w:val="nil"/>
              <w:bottom w:val="nil"/>
              <w:right w:val="nil"/>
            </w:tcBorders>
            <w:tcMar>
              <w:top w:w="45" w:type="dxa"/>
              <w:left w:w="45" w:type="dxa"/>
              <w:bottom w:w="45" w:type="dxa"/>
              <w:right w:w="45" w:type="dxa"/>
            </w:tcMar>
            <w:vAlign w:val="center"/>
          </w:tcPr>
          <w:p w14:paraId="70390AD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Systematic Review</w:t>
            </w:r>
          </w:p>
        </w:tc>
        <w:tc>
          <w:tcPr>
            <w:tcW w:w="1055" w:type="dxa"/>
            <w:tcBorders>
              <w:top w:val="nil"/>
              <w:left w:val="nil"/>
              <w:bottom w:val="nil"/>
              <w:right w:val="nil"/>
            </w:tcBorders>
            <w:tcMar>
              <w:top w:w="45" w:type="dxa"/>
              <w:left w:w="45" w:type="dxa"/>
              <w:bottom w:w="45" w:type="dxa"/>
              <w:right w:w="45" w:type="dxa"/>
            </w:tcMar>
            <w:vAlign w:val="center"/>
          </w:tcPr>
          <w:p w14:paraId="57628FC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&gt;30 studies</w:t>
            </w:r>
          </w:p>
        </w:tc>
        <w:tc>
          <w:tcPr>
            <w:tcW w:w="1787" w:type="dxa"/>
            <w:tcBorders>
              <w:top w:val="nil"/>
              <w:left w:val="nil"/>
              <w:bottom w:val="nil"/>
              <w:right w:val="nil"/>
            </w:tcBorders>
            <w:tcMar>
              <w:top w:w="45" w:type="dxa"/>
              <w:left w:w="45" w:type="dxa"/>
              <w:bottom w:w="45" w:type="dxa"/>
              <w:right w:w="45" w:type="dxa"/>
            </w:tcMar>
            <w:vAlign w:val="center"/>
          </w:tcPr>
          <w:p w14:paraId="7B32E13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Only 6 genes (PAEP, MAOA, GPX3, MMP7, LIF, CXCL14) consistently reported as WOI biomarkers across studies; high </w:t>
            </w:r>
            <w:r w:rsidRPr="00D578DF">
              <w:rPr>
                <w:rFonts w:ascii="Times New Roman" w:eastAsia="Calibri" w:hAnsi="Times New Roman" w:cs="Times New Roman"/>
                <w:color w:val="000000" w:themeColor="text1"/>
                <w:sz w:val="20"/>
                <w:szCs w:val="20"/>
              </w:rPr>
              <w:lastRenderedPageBreak/>
              <w:t>inter-study inconsistency</w:t>
            </w:r>
          </w:p>
        </w:tc>
        <w:tc>
          <w:tcPr>
            <w:tcW w:w="2411" w:type="dxa"/>
            <w:tcBorders>
              <w:top w:val="nil"/>
              <w:left w:val="nil"/>
              <w:bottom w:val="nil"/>
              <w:right w:val="nil"/>
            </w:tcBorders>
            <w:tcMar>
              <w:top w:w="45" w:type="dxa"/>
              <w:left w:w="45" w:type="dxa"/>
              <w:bottom w:w="45" w:type="dxa"/>
              <w:right w:w="45" w:type="dxa"/>
            </w:tcMar>
            <w:vAlign w:val="center"/>
          </w:tcPr>
          <w:p w14:paraId="69F6FAF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Call for </w:t>
            </w:r>
            <w:proofErr w:type="spellStart"/>
            <w:r w:rsidRPr="00D578DF">
              <w:rPr>
                <w:rFonts w:ascii="Times New Roman" w:eastAsia="Calibri" w:hAnsi="Times New Roman" w:cs="Times New Roman"/>
                <w:color w:val="000000" w:themeColor="text1"/>
                <w:sz w:val="20"/>
                <w:szCs w:val="20"/>
              </w:rPr>
              <w:t>standardised</w:t>
            </w:r>
            <w:proofErr w:type="spellEnd"/>
            <w:r w:rsidRPr="00D578DF">
              <w:rPr>
                <w:rFonts w:ascii="Times New Roman" w:eastAsia="Calibri" w:hAnsi="Times New Roman" w:cs="Times New Roman"/>
                <w:color w:val="000000" w:themeColor="text1"/>
                <w:sz w:val="20"/>
                <w:szCs w:val="20"/>
              </w:rPr>
              <w:t xml:space="preserve"> transcriptomic methodologies to improve reproducibility in endometrial receptivity research</w:t>
            </w:r>
          </w:p>
        </w:tc>
        <w:tc>
          <w:tcPr>
            <w:tcW w:w="1738" w:type="dxa"/>
            <w:tcBorders>
              <w:top w:val="nil"/>
              <w:left w:val="nil"/>
              <w:bottom w:val="nil"/>
              <w:right w:val="nil"/>
            </w:tcBorders>
            <w:tcMar>
              <w:top w:w="45" w:type="dxa"/>
              <w:left w:w="45" w:type="dxa"/>
              <w:bottom w:w="45" w:type="dxa"/>
              <w:right w:w="45" w:type="dxa"/>
            </w:tcMar>
            <w:vAlign w:val="center"/>
          </w:tcPr>
          <w:p w14:paraId="43066C2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PRISMA; meta-transcriptomic analysis</w:t>
            </w:r>
          </w:p>
        </w:tc>
        <w:tc>
          <w:tcPr>
            <w:tcW w:w="1364" w:type="dxa"/>
            <w:tcBorders>
              <w:top w:val="nil"/>
              <w:left w:val="nil"/>
              <w:bottom w:val="nil"/>
              <w:right w:val="nil"/>
            </w:tcBorders>
            <w:tcMar>
              <w:top w:w="45" w:type="dxa"/>
              <w:left w:w="45" w:type="dxa"/>
              <w:bottom w:w="45" w:type="dxa"/>
              <w:right w:w="45" w:type="dxa"/>
            </w:tcMar>
            <w:vAlign w:val="center"/>
          </w:tcPr>
          <w:p w14:paraId="686F3A1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Critical appraisal of field-wide inconsistency; important methodological contribution</w:t>
            </w:r>
          </w:p>
        </w:tc>
        <w:tc>
          <w:tcPr>
            <w:tcW w:w="1380" w:type="dxa"/>
            <w:tcBorders>
              <w:top w:val="nil"/>
              <w:left w:val="nil"/>
              <w:bottom w:val="nil"/>
              <w:right w:val="nil"/>
            </w:tcBorders>
            <w:tcMar>
              <w:top w:w="45" w:type="dxa"/>
              <w:left w:w="45" w:type="dxa"/>
              <w:bottom w:w="45" w:type="dxa"/>
              <w:right w:w="45" w:type="dxa"/>
            </w:tcMar>
            <w:vAlign w:val="center"/>
          </w:tcPr>
          <w:p w14:paraId="0E14EAE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Cannot resolve inconsistencies, only document them</w:t>
            </w:r>
          </w:p>
        </w:tc>
      </w:tr>
      <w:tr w:rsidR="00D7116D" w:rsidRPr="00D578DF" w14:paraId="280C392E"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7383ACD"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Liaqat Ali Khan et al., 2022 [62]</w:t>
            </w:r>
          </w:p>
        </w:tc>
        <w:tc>
          <w:tcPr>
            <w:tcW w:w="1114" w:type="dxa"/>
            <w:tcBorders>
              <w:top w:val="nil"/>
              <w:left w:val="nil"/>
              <w:bottom w:val="nil"/>
              <w:right w:val="nil"/>
            </w:tcBorders>
            <w:tcMar>
              <w:top w:w="45" w:type="dxa"/>
              <w:left w:w="45" w:type="dxa"/>
              <w:bottom w:w="45" w:type="dxa"/>
              <w:right w:w="45" w:type="dxa"/>
            </w:tcMar>
            <w:vAlign w:val="center"/>
          </w:tcPr>
          <w:p w14:paraId="33347F6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International Journal of Molecular Sciences</w:t>
            </w:r>
          </w:p>
        </w:tc>
        <w:tc>
          <w:tcPr>
            <w:tcW w:w="1189" w:type="dxa"/>
            <w:tcBorders>
              <w:top w:val="nil"/>
              <w:left w:val="nil"/>
              <w:bottom w:val="nil"/>
              <w:right w:val="nil"/>
            </w:tcBorders>
            <w:tcMar>
              <w:top w:w="45" w:type="dxa"/>
              <w:left w:w="45" w:type="dxa"/>
              <w:bottom w:w="45" w:type="dxa"/>
              <w:right w:w="45" w:type="dxa"/>
            </w:tcMar>
            <w:vAlign w:val="center"/>
          </w:tcPr>
          <w:p w14:paraId="0007427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 (3 groups)</w:t>
            </w:r>
          </w:p>
        </w:tc>
        <w:tc>
          <w:tcPr>
            <w:tcW w:w="1055" w:type="dxa"/>
            <w:tcBorders>
              <w:top w:val="nil"/>
              <w:left w:val="nil"/>
              <w:bottom w:val="nil"/>
              <w:right w:val="nil"/>
            </w:tcBorders>
            <w:tcMar>
              <w:top w:w="45" w:type="dxa"/>
              <w:left w:w="45" w:type="dxa"/>
              <w:bottom w:w="45" w:type="dxa"/>
              <w:right w:w="45" w:type="dxa"/>
            </w:tcMar>
            <w:vAlign w:val="center"/>
          </w:tcPr>
          <w:p w14:paraId="318EB39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45 RIF + 20 REPL + 30 controls</w:t>
            </w:r>
          </w:p>
        </w:tc>
        <w:tc>
          <w:tcPr>
            <w:tcW w:w="1787" w:type="dxa"/>
            <w:tcBorders>
              <w:top w:val="nil"/>
              <w:left w:val="nil"/>
              <w:bottom w:val="nil"/>
              <w:right w:val="nil"/>
            </w:tcBorders>
            <w:tcMar>
              <w:top w:w="45" w:type="dxa"/>
              <w:left w:w="45" w:type="dxa"/>
              <w:bottom w:w="45" w:type="dxa"/>
              <w:right w:w="45" w:type="dxa"/>
            </w:tcMar>
            <w:vAlign w:val="center"/>
          </w:tcPr>
          <w:p w14:paraId="4A8C7D3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RIF: immune/ECM pathway dysregulation; REPL: </w:t>
            </w:r>
            <w:proofErr w:type="spellStart"/>
            <w:r w:rsidRPr="00D578DF">
              <w:rPr>
                <w:rFonts w:ascii="Times New Roman" w:eastAsia="Calibri" w:hAnsi="Times New Roman" w:cs="Times New Roman"/>
                <w:color w:val="000000" w:themeColor="text1"/>
                <w:sz w:val="20"/>
                <w:szCs w:val="20"/>
              </w:rPr>
              <w:t>decidualisation</w:t>
            </w:r>
            <w:proofErr w:type="spellEnd"/>
            <w:r w:rsidRPr="00D578DF">
              <w:rPr>
                <w:rFonts w:ascii="Times New Roman" w:eastAsia="Calibri" w:hAnsi="Times New Roman" w:cs="Times New Roman"/>
                <w:color w:val="000000" w:themeColor="text1"/>
                <w:sz w:val="20"/>
                <w:szCs w:val="20"/>
              </w:rPr>
              <w:t xml:space="preserve"> defects (IGFBP1, PRL); 62 shared DEGs between RIF and REPL</w:t>
            </w:r>
          </w:p>
        </w:tc>
        <w:tc>
          <w:tcPr>
            <w:tcW w:w="2411" w:type="dxa"/>
            <w:tcBorders>
              <w:top w:val="nil"/>
              <w:left w:val="nil"/>
              <w:bottom w:val="nil"/>
              <w:right w:val="nil"/>
            </w:tcBorders>
            <w:tcMar>
              <w:top w:w="45" w:type="dxa"/>
              <w:left w:w="45" w:type="dxa"/>
              <w:bottom w:w="45" w:type="dxa"/>
              <w:right w:w="45" w:type="dxa"/>
            </w:tcMar>
            <w:vAlign w:val="center"/>
          </w:tcPr>
          <w:p w14:paraId="0AABF0B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Shared and distinct molecular mechanisms in RIF vs. REPL support different clinical management strategies</w:t>
            </w:r>
          </w:p>
        </w:tc>
        <w:tc>
          <w:tcPr>
            <w:tcW w:w="1738" w:type="dxa"/>
            <w:tcBorders>
              <w:top w:val="nil"/>
              <w:left w:val="nil"/>
              <w:bottom w:val="nil"/>
              <w:right w:val="nil"/>
            </w:tcBorders>
            <w:tcMar>
              <w:top w:w="45" w:type="dxa"/>
              <w:left w:w="45" w:type="dxa"/>
              <w:bottom w:w="45" w:type="dxa"/>
              <w:right w:w="45" w:type="dxa"/>
            </w:tcMar>
            <w:vAlign w:val="center"/>
          </w:tcPr>
          <w:p w14:paraId="013F22A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RNA-seq; IPA; 3-group DEG analysis</w:t>
            </w:r>
          </w:p>
        </w:tc>
        <w:tc>
          <w:tcPr>
            <w:tcW w:w="1364" w:type="dxa"/>
            <w:tcBorders>
              <w:top w:val="nil"/>
              <w:left w:val="nil"/>
              <w:bottom w:val="nil"/>
              <w:right w:val="nil"/>
            </w:tcBorders>
            <w:tcMar>
              <w:top w:w="45" w:type="dxa"/>
              <w:left w:w="45" w:type="dxa"/>
              <w:bottom w:w="45" w:type="dxa"/>
              <w:right w:w="45" w:type="dxa"/>
            </w:tcMar>
            <w:vAlign w:val="center"/>
          </w:tcPr>
          <w:p w14:paraId="6E21500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Three-group comparison adds mechanistic nuance; IPA pathway analysis; well-powered</w:t>
            </w:r>
          </w:p>
        </w:tc>
        <w:tc>
          <w:tcPr>
            <w:tcW w:w="1380" w:type="dxa"/>
            <w:tcBorders>
              <w:top w:val="nil"/>
              <w:left w:val="nil"/>
              <w:bottom w:val="nil"/>
              <w:right w:val="nil"/>
            </w:tcBorders>
            <w:tcMar>
              <w:top w:w="45" w:type="dxa"/>
              <w:left w:w="45" w:type="dxa"/>
              <w:bottom w:w="45" w:type="dxa"/>
              <w:right w:w="45" w:type="dxa"/>
            </w:tcMar>
            <w:vAlign w:val="center"/>
          </w:tcPr>
          <w:p w14:paraId="0F0759C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Single </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 retrospective design</w:t>
            </w:r>
          </w:p>
        </w:tc>
      </w:tr>
      <w:tr w:rsidR="001C6BF7" w:rsidRPr="00D578DF" w14:paraId="7DEAC54C"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77FA6649" w14:textId="77777777" w:rsidR="001C6BF7" w:rsidRPr="00D578DF" w:rsidRDefault="001C6BF7" w:rsidP="00604322">
            <w:pPr>
              <w:rPr>
                <w:rFonts w:ascii="Times New Roman" w:hAnsi="Times New Roman" w:cs="Times New Roman"/>
                <w:sz w:val="20"/>
                <w:szCs w:val="20"/>
              </w:rPr>
            </w:pPr>
            <w:r w:rsidRPr="00D578DF">
              <w:rPr>
                <w:rFonts w:ascii="Times New Roman" w:hAnsi="Times New Roman" w:cs="Times New Roman"/>
                <w:color w:val="000000"/>
                <w:sz w:val="20"/>
                <w:szCs w:val="20"/>
              </w:rPr>
              <w:t>Zhou Q et al., 2019 [61]</w:t>
            </w:r>
          </w:p>
        </w:tc>
        <w:tc>
          <w:tcPr>
            <w:tcW w:w="1114" w:type="dxa"/>
            <w:tcBorders>
              <w:top w:val="nil"/>
              <w:left w:val="nil"/>
              <w:bottom w:val="nil"/>
              <w:right w:val="nil"/>
            </w:tcBorders>
            <w:tcMar>
              <w:top w:w="45" w:type="dxa"/>
              <w:left w:w="45" w:type="dxa"/>
              <w:bottom w:w="45" w:type="dxa"/>
              <w:right w:w="45" w:type="dxa"/>
            </w:tcMar>
            <w:vAlign w:val="center"/>
          </w:tcPr>
          <w:p w14:paraId="5C32F0C9" w14:textId="77777777" w:rsidR="001C6BF7" w:rsidRPr="00D578DF" w:rsidRDefault="001C6BF7" w:rsidP="00604322">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EBioMedicine</w:t>
            </w:r>
            <w:proofErr w:type="spellEnd"/>
          </w:p>
        </w:tc>
        <w:tc>
          <w:tcPr>
            <w:tcW w:w="1189" w:type="dxa"/>
            <w:tcBorders>
              <w:top w:val="nil"/>
              <w:left w:val="nil"/>
              <w:bottom w:val="nil"/>
              <w:right w:val="nil"/>
            </w:tcBorders>
            <w:tcMar>
              <w:top w:w="45" w:type="dxa"/>
              <w:left w:w="45" w:type="dxa"/>
              <w:bottom w:w="45" w:type="dxa"/>
              <w:right w:w="45" w:type="dxa"/>
            </w:tcMar>
            <w:vAlign w:val="center"/>
          </w:tcPr>
          <w:p w14:paraId="294C2903"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case-control + mechanistic in-vitro study</w:t>
            </w:r>
          </w:p>
        </w:tc>
        <w:tc>
          <w:tcPr>
            <w:tcW w:w="1055" w:type="dxa"/>
            <w:tcBorders>
              <w:top w:val="nil"/>
              <w:left w:val="nil"/>
              <w:bottom w:val="nil"/>
              <w:right w:val="nil"/>
            </w:tcBorders>
            <w:tcMar>
              <w:top w:w="45" w:type="dxa"/>
              <w:left w:w="45" w:type="dxa"/>
              <w:bottom w:w="45" w:type="dxa"/>
              <w:right w:w="45" w:type="dxa"/>
            </w:tcMar>
            <w:vAlign w:val="center"/>
          </w:tcPr>
          <w:p w14:paraId="69CE1155"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27 RIF + 27 controls; 10 additional endometrial samples for primary HESC isolation; RNA-seq discovery included 3 RIF + 3 controls</w:t>
            </w:r>
          </w:p>
        </w:tc>
        <w:tc>
          <w:tcPr>
            <w:tcW w:w="1787" w:type="dxa"/>
            <w:tcBorders>
              <w:top w:val="nil"/>
              <w:left w:val="nil"/>
              <w:bottom w:val="nil"/>
              <w:right w:val="nil"/>
            </w:tcBorders>
            <w:tcMar>
              <w:top w:w="45" w:type="dxa"/>
              <w:left w:w="45" w:type="dxa"/>
              <w:bottom w:w="45" w:type="dxa"/>
              <w:right w:w="45" w:type="dxa"/>
            </w:tcMar>
            <w:vAlign w:val="center"/>
          </w:tcPr>
          <w:p w14:paraId="217BE164"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EHD1 was elevated in mid-secretory RIF endometrium. EHD1 overexpression suppressed PRL and IGFBP1 and impaired cytoskeletal decidualization by altering LRP5/6 endocytic trafficking and suppressing Wnt4/beta-catenin </w:t>
            </w:r>
            <w:proofErr w:type="spellStart"/>
            <w:r w:rsidRPr="00D578DF">
              <w:rPr>
                <w:rFonts w:ascii="Times New Roman" w:eastAsia="Calibri" w:hAnsi="Times New Roman" w:cs="Times New Roman"/>
                <w:color w:val="000000" w:themeColor="text1"/>
                <w:sz w:val="20"/>
                <w:szCs w:val="20"/>
              </w:rPr>
              <w:t>signalling</w:t>
            </w:r>
            <w:proofErr w:type="spellEnd"/>
            <w:r w:rsidRPr="00D578DF">
              <w:rPr>
                <w:rFonts w:ascii="Times New Roman" w:eastAsia="Calibri" w:hAnsi="Times New Roman" w:cs="Times New Roman"/>
                <w:color w:val="000000" w:themeColor="text1"/>
                <w:sz w:val="20"/>
                <w:szCs w:val="20"/>
              </w:rPr>
              <w:t>; a Wnt4 agonist improved decidualization.</w:t>
            </w:r>
          </w:p>
        </w:tc>
        <w:tc>
          <w:tcPr>
            <w:tcW w:w="2411" w:type="dxa"/>
            <w:tcBorders>
              <w:top w:val="nil"/>
              <w:left w:val="nil"/>
              <w:bottom w:val="nil"/>
              <w:right w:val="nil"/>
            </w:tcBorders>
            <w:tcMar>
              <w:top w:w="45" w:type="dxa"/>
              <w:left w:w="45" w:type="dxa"/>
              <w:bottom w:w="45" w:type="dxa"/>
              <w:right w:w="45" w:type="dxa"/>
            </w:tcMar>
            <w:vAlign w:val="center"/>
          </w:tcPr>
          <w:p w14:paraId="2882884E"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Identifies the EHD1-Wnt4/beta-catenin axis as a mechanistic candidate for restoring decidualization and endometrial receptivity in RIF.</w:t>
            </w:r>
          </w:p>
        </w:tc>
        <w:tc>
          <w:tcPr>
            <w:tcW w:w="1738" w:type="dxa"/>
            <w:tcBorders>
              <w:top w:val="nil"/>
              <w:left w:val="nil"/>
              <w:bottom w:val="nil"/>
              <w:right w:val="nil"/>
            </w:tcBorders>
            <w:tcMar>
              <w:top w:w="45" w:type="dxa"/>
              <w:left w:w="45" w:type="dxa"/>
              <w:bottom w:w="45" w:type="dxa"/>
              <w:right w:w="45" w:type="dxa"/>
            </w:tcMar>
            <w:vAlign w:val="center"/>
          </w:tcPr>
          <w:p w14:paraId="32B3DD0C"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RNA-seq; IHC; </w:t>
            </w:r>
            <w:proofErr w:type="spellStart"/>
            <w:r w:rsidRPr="00D578DF">
              <w:rPr>
                <w:rFonts w:ascii="Times New Roman" w:eastAsia="Calibri" w:hAnsi="Times New Roman" w:cs="Times New Roman"/>
                <w:color w:val="000000" w:themeColor="text1"/>
                <w:sz w:val="20"/>
                <w:szCs w:val="20"/>
              </w:rPr>
              <w:t>qRT</w:t>
            </w:r>
            <w:proofErr w:type="spellEnd"/>
            <w:r w:rsidRPr="00D578DF">
              <w:rPr>
                <w:rFonts w:ascii="Times New Roman" w:eastAsia="Calibri" w:hAnsi="Times New Roman" w:cs="Times New Roman"/>
                <w:color w:val="000000" w:themeColor="text1"/>
                <w:sz w:val="20"/>
                <w:szCs w:val="20"/>
              </w:rPr>
              <w:t>-PCR; Western blot; primary HESC culture; adenoviral overexpression; microarray; immunofluorescence; co-IP; ELISA</w:t>
            </w:r>
          </w:p>
        </w:tc>
        <w:tc>
          <w:tcPr>
            <w:tcW w:w="1364" w:type="dxa"/>
            <w:tcBorders>
              <w:top w:val="nil"/>
              <w:left w:val="nil"/>
              <w:bottom w:val="nil"/>
              <w:right w:val="nil"/>
            </w:tcBorders>
            <w:tcMar>
              <w:top w:w="45" w:type="dxa"/>
              <w:left w:w="45" w:type="dxa"/>
              <w:bottom w:w="45" w:type="dxa"/>
              <w:right w:w="45" w:type="dxa"/>
            </w:tcMar>
            <w:vAlign w:val="center"/>
          </w:tcPr>
          <w:p w14:paraId="3933DE7D"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RIF cohort plus multi-assay mechanistic validation and a Wnt4-agonist rescue experiment.</w:t>
            </w:r>
          </w:p>
        </w:tc>
        <w:tc>
          <w:tcPr>
            <w:tcW w:w="1380" w:type="dxa"/>
            <w:tcBorders>
              <w:top w:val="nil"/>
              <w:left w:val="nil"/>
              <w:bottom w:val="nil"/>
              <w:right w:val="nil"/>
            </w:tcBorders>
            <w:tcMar>
              <w:top w:w="45" w:type="dxa"/>
              <w:left w:w="45" w:type="dxa"/>
              <w:bottom w:w="45" w:type="dxa"/>
              <w:right w:w="45" w:type="dxa"/>
            </w:tcMar>
            <w:vAlign w:val="center"/>
          </w:tcPr>
          <w:p w14:paraId="15EB460B"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Single-</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 xml:space="preserve"> cohort; mechanistic intervention was mainly in vitro; no prospective clinical treatment/outcome validation.</w:t>
            </w:r>
          </w:p>
        </w:tc>
      </w:tr>
      <w:tr w:rsidR="00D7116D" w:rsidRPr="00D578DF" w14:paraId="42AF6A37"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29FE261"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Aplin JD et al., 2022 [53]</w:t>
            </w:r>
          </w:p>
        </w:tc>
        <w:tc>
          <w:tcPr>
            <w:tcW w:w="1114" w:type="dxa"/>
            <w:tcBorders>
              <w:top w:val="nil"/>
              <w:left w:val="nil"/>
              <w:bottom w:val="nil"/>
              <w:right w:val="nil"/>
            </w:tcBorders>
            <w:tcMar>
              <w:top w:w="45" w:type="dxa"/>
              <w:left w:w="45" w:type="dxa"/>
              <w:bottom w:w="45" w:type="dxa"/>
              <w:right w:w="45" w:type="dxa"/>
            </w:tcMar>
            <w:vAlign w:val="center"/>
          </w:tcPr>
          <w:p w14:paraId="3ABC812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Reproduction</w:t>
            </w:r>
          </w:p>
        </w:tc>
        <w:tc>
          <w:tcPr>
            <w:tcW w:w="1189" w:type="dxa"/>
            <w:tcBorders>
              <w:top w:val="nil"/>
              <w:left w:val="nil"/>
              <w:bottom w:val="nil"/>
              <w:right w:val="nil"/>
            </w:tcBorders>
            <w:tcMar>
              <w:top w:w="45" w:type="dxa"/>
              <w:left w:w="45" w:type="dxa"/>
              <w:bottom w:w="45" w:type="dxa"/>
              <w:right w:w="45" w:type="dxa"/>
            </w:tcMar>
            <w:vAlign w:val="center"/>
          </w:tcPr>
          <w:p w14:paraId="6CB272F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Review / Commentary</w:t>
            </w:r>
          </w:p>
        </w:tc>
        <w:tc>
          <w:tcPr>
            <w:tcW w:w="1055" w:type="dxa"/>
            <w:tcBorders>
              <w:top w:val="nil"/>
              <w:left w:val="nil"/>
              <w:bottom w:val="nil"/>
              <w:right w:val="nil"/>
            </w:tcBorders>
            <w:tcMar>
              <w:top w:w="45" w:type="dxa"/>
              <w:left w:w="45" w:type="dxa"/>
              <w:bottom w:w="45" w:type="dxa"/>
              <w:right w:w="45" w:type="dxa"/>
            </w:tcMar>
            <w:vAlign w:val="center"/>
          </w:tcPr>
          <w:p w14:paraId="14F0DBA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7728380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ERA has evidence for WOI displacement but not pathological RIF; emerging single-cell and spatial omics approaches</w:t>
            </w:r>
          </w:p>
        </w:tc>
        <w:tc>
          <w:tcPr>
            <w:tcW w:w="2411" w:type="dxa"/>
            <w:tcBorders>
              <w:top w:val="nil"/>
              <w:left w:val="nil"/>
              <w:bottom w:val="nil"/>
              <w:right w:val="nil"/>
            </w:tcBorders>
            <w:tcMar>
              <w:top w:w="45" w:type="dxa"/>
              <w:left w:w="45" w:type="dxa"/>
              <w:bottom w:w="45" w:type="dxa"/>
              <w:right w:w="45" w:type="dxa"/>
            </w:tcMar>
            <w:vAlign w:val="center"/>
          </w:tcPr>
          <w:p w14:paraId="5CF9C5D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Reframing WOI diagnostics with emerging omics tools beyond ERA for RIF management</w:t>
            </w:r>
          </w:p>
        </w:tc>
        <w:tc>
          <w:tcPr>
            <w:tcW w:w="1738" w:type="dxa"/>
            <w:tcBorders>
              <w:top w:val="nil"/>
              <w:left w:val="nil"/>
              <w:bottom w:val="nil"/>
              <w:right w:val="nil"/>
            </w:tcBorders>
            <w:tcMar>
              <w:top w:w="45" w:type="dxa"/>
              <w:left w:w="45" w:type="dxa"/>
              <w:bottom w:w="45" w:type="dxa"/>
              <w:right w:w="45" w:type="dxa"/>
            </w:tcMar>
            <w:vAlign w:val="center"/>
          </w:tcPr>
          <w:p w14:paraId="7526F78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Commentary + literature synthesis</w:t>
            </w:r>
          </w:p>
        </w:tc>
        <w:tc>
          <w:tcPr>
            <w:tcW w:w="1364" w:type="dxa"/>
            <w:tcBorders>
              <w:top w:val="nil"/>
              <w:left w:val="nil"/>
              <w:bottom w:val="nil"/>
              <w:right w:val="nil"/>
            </w:tcBorders>
            <w:tcMar>
              <w:top w:w="45" w:type="dxa"/>
              <w:left w:w="45" w:type="dxa"/>
              <w:bottom w:w="45" w:type="dxa"/>
              <w:right w:w="45" w:type="dxa"/>
            </w:tcMar>
            <w:vAlign w:val="center"/>
          </w:tcPr>
          <w:p w14:paraId="72F2177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Clinically grounded; balanced ERA/omics critique; Human Reproduction</w:t>
            </w:r>
          </w:p>
        </w:tc>
        <w:tc>
          <w:tcPr>
            <w:tcW w:w="1380" w:type="dxa"/>
            <w:tcBorders>
              <w:top w:val="nil"/>
              <w:left w:val="nil"/>
              <w:bottom w:val="nil"/>
              <w:right w:val="nil"/>
            </w:tcBorders>
            <w:tcMar>
              <w:top w:w="45" w:type="dxa"/>
              <w:left w:w="45" w:type="dxa"/>
              <w:bottom w:w="45" w:type="dxa"/>
              <w:right w:w="45" w:type="dxa"/>
            </w:tcMar>
            <w:vAlign w:val="center"/>
          </w:tcPr>
          <w:p w14:paraId="4C7BC13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Opinion/commentary element; no primary data</w:t>
            </w:r>
          </w:p>
        </w:tc>
      </w:tr>
      <w:tr w:rsidR="00D7116D" w:rsidRPr="00D578DF" w14:paraId="23D126CD"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5E8A8BA8"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He A et al., 2021 [51]</w:t>
            </w:r>
          </w:p>
        </w:tc>
        <w:tc>
          <w:tcPr>
            <w:tcW w:w="1114" w:type="dxa"/>
            <w:tcBorders>
              <w:top w:val="nil"/>
              <w:left w:val="nil"/>
              <w:bottom w:val="nil"/>
              <w:right w:val="nil"/>
            </w:tcBorders>
            <w:tcMar>
              <w:top w:w="45" w:type="dxa"/>
              <w:left w:w="45" w:type="dxa"/>
              <w:bottom w:w="45" w:type="dxa"/>
              <w:right w:w="45" w:type="dxa"/>
            </w:tcMar>
            <w:vAlign w:val="center"/>
          </w:tcPr>
          <w:p w14:paraId="041C976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Translational Medicine</w:t>
            </w:r>
          </w:p>
        </w:tc>
        <w:tc>
          <w:tcPr>
            <w:tcW w:w="1189" w:type="dxa"/>
            <w:tcBorders>
              <w:top w:val="nil"/>
              <w:left w:val="nil"/>
              <w:bottom w:val="nil"/>
              <w:right w:val="nil"/>
            </w:tcBorders>
            <w:tcMar>
              <w:top w:w="45" w:type="dxa"/>
              <w:left w:w="45" w:type="dxa"/>
              <w:bottom w:w="45" w:type="dxa"/>
              <w:right w:w="45" w:type="dxa"/>
            </w:tcMar>
            <w:vAlign w:val="center"/>
          </w:tcPr>
          <w:p w14:paraId="57E92F6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Two-phase model development + prospective non-</w:t>
            </w:r>
            <w:proofErr w:type="spellStart"/>
            <w:r w:rsidRPr="00D578DF">
              <w:rPr>
                <w:rFonts w:ascii="Times New Roman" w:hAnsi="Times New Roman" w:cs="Times New Roman"/>
                <w:sz w:val="20"/>
                <w:szCs w:val="20"/>
              </w:rPr>
              <w:t>randomised</w:t>
            </w:r>
            <w:proofErr w:type="spellEnd"/>
            <w:r w:rsidRPr="00D578DF">
              <w:rPr>
                <w:rFonts w:ascii="Times New Roman" w:hAnsi="Times New Roman" w:cs="Times New Roman"/>
                <w:sz w:val="20"/>
                <w:szCs w:val="20"/>
              </w:rPr>
              <w:t xml:space="preserve"> controlled evaluation</w:t>
            </w:r>
          </w:p>
        </w:tc>
        <w:tc>
          <w:tcPr>
            <w:tcW w:w="1055" w:type="dxa"/>
            <w:tcBorders>
              <w:top w:val="nil"/>
              <w:left w:val="nil"/>
              <w:bottom w:val="nil"/>
              <w:right w:val="nil"/>
            </w:tcBorders>
            <w:tcMar>
              <w:top w:w="45" w:type="dxa"/>
              <w:left w:w="45" w:type="dxa"/>
              <w:bottom w:w="45" w:type="dxa"/>
              <w:right w:w="45" w:type="dxa"/>
            </w:tcMar>
            <w:vAlign w:val="center"/>
          </w:tcPr>
          <w:p w14:paraId="27CD1661"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50 IVF patients for </w:t>
            </w:r>
            <w:proofErr w:type="spellStart"/>
            <w:r w:rsidRPr="00D578DF">
              <w:rPr>
                <w:rFonts w:ascii="Times New Roman" w:hAnsi="Times New Roman" w:cs="Times New Roman"/>
                <w:sz w:val="20"/>
                <w:szCs w:val="20"/>
              </w:rPr>
              <w:t>rsERT</w:t>
            </w:r>
            <w:proofErr w:type="spellEnd"/>
            <w:r w:rsidRPr="00D578DF">
              <w:rPr>
                <w:rFonts w:ascii="Times New Roman" w:hAnsi="Times New Roman" w:cs="Times New Roman"/>
                <w:sz w:val="20"/>
                <w:szCs w:val="20"/>
              </w:rPr>
              <w:t xml:space="preserve"> development; 142 RIF patients for clinical evaluation (56 </w:t>
            </w:r>
            <w:proofErr w:type="spellStart"/>
            <w:r w:rsidRPr="00D578DF">
              <w:rPr>
                <w:rFonts w:ascii="Times New Roman" w:hAnsi="Times New Roman" w:cs="Times New Roman"/>
                <w:sz w:val="20"/>
                <w:szCs w:val="20"/>
              </w:rPr>
              <w:t>rsERT</w:t>
            </w:r>
            <w:proofErr w:type="spellEnd"/>
            <w:r w:rsidRPr="00D578DF">
              <w:rPr>
                <w:rFonts w:ascii="Times New Roman" w:hAnsi="Times New Roman" w:cs="Times New Roman"/>
                <w:sz w:val="20"/>
                <w:szCs w:val="20"/>
              </w:rPr>
              <w:t>-guided, 86 controls)</w:t>
            </w:r>
          </w:p>
        </w:tc>
        <w:tc>
          <w:tcPr>
            <w:tcW w:w="1787" w:type="dxa"/>
            <w:tcBorders>
              <w:top w:val="nil"/>
              <w:left w:val="nil"/>
              <w:bottom w:val="nil"/>
              <w:right w:val="nil"/>
            </w:tcBorders>
            <w:tcMar>
              <w:top w:w="45" w:type="dxa"/>
              <w:left w:w="45" w:type="dxa"/>
              <w:bottom w:w="45" w:type="dxa"/>
              <w:right w:w="45" w:type="dxa"/>
            </w:tcMar>
            <w:vAlign w:val="center"/>
          </w:tcPr>
          <w:p w14:paraId="01E06068" w14:textId="77777777" w:rsidR="00750508" w:rsidRPr="00D578DF" w:rsidRDefault="00B35C98">
            <w:pPr>
              <w:rPr>
                <w:rFonts w:ascii="Times New Roman" w:hAnsi="Times New Roman" w:cs="Times New Roman"/>
                <w:sz w:val="20"/>
                <w:szCs w:val="20"/>
              </w:rPr>
            </w:pPr>
            <w:proofErr w:type="spellStart"/>
            <w:r w:rsidRPr="00D578DF">
              <w:rPr>
                <w:rFonts w:ascii="Times New Roman" w:hAnsi="Times New Roman" w:cs="Times New Roman"/>
                <w:sz w:val="20"/>
                <w:szCs w:val="20"/>
              </w:rPr>
              <w:t>rsERT</w:t>
            </w:r>
            <w:proofErr w:type="spellEnd"/>
            <w:r w:rsidRPr="00D578DF">
              <w:rPr>
                <w:rFonts w:ascii="Times New Roman" w:hAnsi="Times New Roman" w:cs="Times New Roman"/>
                <w:sz w:val="20"/>
                <w:szCs w:val="20"/>
              </w:rPr>
              <w:t xml:space="preserve"> comprised 175 genes and achieved 98.4% tenfold cross-validation accuracy. Day-3 embryo-transfer IPR was 50.0% vs. 23.7% (significant); blastocyst IPR 63.6% vs. 40.7% (not significant).</w:t>
            </w:r>
          </w:p>
        </w:tc>
        <w:tc>
          <w:tcPr>
            <w:tcW w:w="2411" w:type="dxa"/>
            <w:tcBorders>
              <w:top w:val="nil"/>
              <w:left w:val="nil"/>
              <w:bottom w:val="nil"/>
              <w:right w:val="nil"/>
            </w:tcBorders>
            <w:tcMar>
              <w:top w:w="45" w:type="dxa"/>
              <w:left w:w="45" w:type="dxa"/>
              <w:bottom w:w="45" w:type="dxa"/>
              <w:right w:w="45" w:type="dxa"/>
            </w:tcMar>
            <w:vAlign w:val="center"/>
          </w:tcPr>
          <w:p w14:paraId="17DF2F1B" w14:textId="77777777" w:rsidR="00750508" w:rsidRPr="00D578DF" w:rsidRDefault="00B35C98">
            <w:pPr>
              <w:rPr>
                <w:rFonts w:ascii="Times New Roman" w:hAnsi="Times New Roman" w:cs="Times New Roman"/>
                <w:sz w:val="20"/>
                <w:szCs w:val="20"/>
              </w:rPr>
            </w:pPr>
            <w:proofErr w:type="spellStart"/>
            <w:r w:rsidRPr="00D578DF">
              <w:rPr>
                <w:rFonts w:ascii="Times New Roman" w:hAnsi="Times New Roman" w:cs="Times New Roman"/>
                <w:sz w:val="20"/>
                <w:szCs w:val="20"/>
              </w:rPr>
              <w:t>rsERT</w:t>
            </w:r>
            <w:proofErr w:type="spellEnd"/>
            <w:r w:rsidRPr="00D578DF">
              <w:rPr>
                <w:rFonts w:ascii="Times New Roman" w:hAnsi="Times New Roman" w:cs="Times New Roman"/>
                <w:sz w:val="20"/>
                <w:szCs w:val="20"/>
              </w:rPr>
              <w:t xml:space="preserve">-guided </w:t>
            </w:r>
            <w:proofErr w:type="spellStart"/>
            <w:r w:rsidRPr="00D578DF">
              <w:rPr>
                <w:rFonts w:ascii="Times New Roman" w:hAnsi="Times New Roman" w:cs="Times New Roman"/>
                <w:sz w:val="20"/>
                <w:szCs w:val="20"/>
              </w:rPr>
              <w:t>pET</w:t>
            </w:r>
            <w:proofErr w:type="spellEnd"/>
            <w:r w:rsidRPr="00D578DF">
              <w:rPr>
                <w:rFonts w:ascii="Times New Roman" w:hAnsi="Times New Roman" w:cs="Times New Roman"/>
                <w:sz w:val="20"/>
                <w:szCs w:val="20"/>
              </w:rPr>
              <w:t xml:space="preserve"> has prospective non-</w:t>
            </w:r>
            <w:proofErr w:type="spellStart"/>
            <w:r w:rsidRPr="00D578DF">
              <w:rPr>
                <w:rFonts w:ascii="Times New Roman" w:hAnsi="Times New Roman" w:cs="Times New Roman"/>
                <w:sz w:val="20"/>
                <w:szCs w:val="20"/>
              </w:rPr>
              <w:t>randomised</w:t>
            </w:r>
            <w:proofErr w:type="spellEnd"/>
            <w:r w:rsidRPr="00D578DF">
              <w:rPr>
                <w:rFonts w:ascii="Times New Roman" w:hAnsi="Times New Roman" w:cs="Times New Roman"/>
                <w:sz w:val="20"/>
                <w:szCs w:val="20"/>
              </w:rPr>
              <w:t xml:space="preserve"> RIF evidence; findings should not be conflated with ERA or the 166-gene healthy-fertile model.</w:t>
            </w:r>
          </w:p>
        </w:tc>
        <w:tc>
          <w:tcPr>
            <w:tcW w:w="1738" w:type="dxa"/>
            <w:tcBorders>
              <w:top w:val="nil"/>
              <w:left w:val="nil"/>
              <w:bottom w:val="nil"/>
              <w:right w:val="nil"/>
            </w:tcBorders>
            <w:tcMar>
              <w:top w:w="45" w:type="dxa"/>
              <w:left w:w="45" w:type="dxa"/>
              <w:bottom w:w="45" w:type="dxa"/>
              <w:right w:w="45" w:type="dxa"/>
            </w:tcMar>
            <w:vAlign w:val="center"/>
          </w:tcPr>
          <w:p w14:paraId="681ED090"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Endometrial RNA-seq; random-forest/LDA model; </w:t>
            </w:r>
            <w:proofErr w:type="spellStart"/>
            <w:r w:rsidRPr="00D578DF">
              <w:rPr>
                <w:rFonts w:ascii="Times New Roman" w:hAnsi="Times New Roman" w:cs="Times New Roman"/>
                <w:sz w:val="20"/>
                <w:szCs w:val="20"/>
              </w:rPr>
              <w:t>rsERT</w:t>
            </w:r>
            <w:proofErr w:type="spellEnd"/>
            <w:r w:rsidRPr="00D578DF">
              <w:rPr>
                <w:rFonts w:ascii="Times New Roman" w:hAnsi="Times New Roman" w:cs="Times New Roman"/>
                <w:sz w:val="20"/>
                <w:szCs w:val="20"/>
              </w:rPr>
              <w:t xml:space="preserve">-guided </w:t>
            </w:r>
            <w:proofErr w:type="spellStart"/>
            <w:r w:rsidRPr="00D578DF">
              <w:rPr>
                <w:rFonts w:ascii="Times New Roman" w:hAnsi="Times New Roman" w:cs="Times New Roman"/>
                <w:sz w:val="20"/>
                <w:szCs w:val="20"/>
              </w:rPr>
              <w:t>personalised</w:t>
            </w:r>
            <w:proofErr w:type="spellEnd"/>
            <w:r w:rsidRPr="00D578DF">
              <w:rPr>
                <w:rFonts w:ascii="Times New Roman" w:hAnsi="Times New Roman" w:cs="Times New Roman"/>
                <w:sz w:val="20"/>
                <w:szCs w:val="20"/>
              </w:rPr>
              <w:t xml:space="preserve"> embryo transfer</w:t>
            </w:r>
          </w:p>
        </w:tc>
        <w:tc>
          <w:tcPr>
            <w:tcW w:w="1364" w:type="dxa"/>
            <w:tcBorders>
              <w:top w:val="nil"/>
              <w:left w:val="nil"/>
              <w:bottom w:val="nil"/>
              <w:right w:val="nil"/>
            </w:tcBorders>
            <w:tcMar>
              <w:top w:w="45" w:type="dxa"/>
              <w:left w:w="45" w:type="dxa"/>
              <w:bottom w:w="45" w:type="dxa"/>
              <w:right w:w="45" w:type="dxa"/>
            </w:tcMar>
            <w:vAlign w:val="center"/>
          </w:tcPr>
          <w:p w14:paraId="0134062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Explicit RIF clinical evaluation with separate day-3 and blastocyst outcome analysis.</w:t>
            </w:r>
          </w:p>
        </w:tc>
        <w:tc>
          <w:tcPr>
            <w:tcW w:w="1380" w:type="dxa"/>
            <w:tcBorders>
              <w:top w:val="nil"/>
              <w:left w:val="nil"/>
              <w:bottom w:val="nil"/>
              <w:right w:val="nil"/>
            </w:tcBorders>
            <w:tcMar>
              <w:top w:w="45" w:type="dxa"/>
              <w:left w:w="45" w:type="dxa"/>
              <w:bottom w:w="45" w:type="dxa"/>
              <w:right w:w="45" w:type="dxa"/>
            </w:tcMar>
            <w:vAlign w:val="center"/>
          </w:tcPr>
          <w:p w14:paraId="43DD8201"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Non-</w:t>
            </w:r>
            <w:proofErr w:type="spellStart"/>
            <w:r w:rsidRPr="00D578DF">
              <w:rPr>
                <w:rFonts w:ascii="Times New Roman" w:hAnsi="Times New Roman" w:cs="Times New Roman"/>
                <w:sz w:val="20"/>
                <w:szCs w:val="20"/>
              </w:rPr>
              <w:t>randomised</w:t>
            </w:r>
            <w:proofErr w:type="spellEnd"/>
            <w:r w:rsidRPr="00D578DF">
              <w:rPr>
                <w:rFonts w:ascii="Times New Roman" w:hAnsi="Times New Roman" w:cs="Times New Roman"/>
                <w:sz w:val="20"/>
                <w:szCs w:val="20"/>
              </w:rPr>
              <w:t xml:space="preserve"> self-selection; platform-specific; blastocyst comparison not statistically significant.</w:t>
            </w:r>
          </w:p>
        </w:tc>
      </w:tr>
      <w:tr w:rsidR="00D7116D" w:rsidRPr="00D578DF" w14:paraId="7063F137"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29CA3B8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Shang J et al., 2022 [77]</w:t>
            </w:r>
          </w:p>
        </w:tc>
        <w:tc>
          <w:tcPr>
            <w:tcW w:w="1114" w:type="dxa"/>
            <w:tcBorders>
              <w:top w:val="nil"/>
              <w:left w:val="nil"/>
              <w:bottom w:val="nil"/>
              <w:right w:val="nil"/>
            </w:tcBorders>
            <w:tcMar>
              <w:top w:w="45" w:type="dxa"/>
              <w:left w:w="45" w:type="dxa"/>
              <w:bottom w:w="45" w:type="dxa"/>
              <w:right w:w="45" w:type="dxa"/>
            </w:tcMar>
            <w:vAlign w:val="center"/>
          </w:tcPr>
          <w:p w14:paraId="4E5A4E3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Frontiers in Genetics</w:t>
            </w:r>
          </w:p>
        </w:tc>
        <w:tc>
          <w:tcPr>
            <w:tcW w:w="1189" w:type="dxa"/>
            <w:tcBorders>
              <w:top w:val="nil"/>
              <w:left w:val="nil"/>
              <w:bottom w:val="nil"/>
              <w:right w:val="nil"/>
            </w:tcBorders>
            <w:tcMar>
              <w:top w:w="45" w:type="dxa"/>
              <w:left w:w="45" w:type="dxa"/>
              <w:bottom w:w="45" w:type="dxa"/>
              <w:right w:w="45" w:type="dxa"/>
            </w:tcMar>
            <w:vAlign w:val="center"/>
          </w:tcPr>
          <w:p w14:paraId="7978235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w:t>
            </w:r>
          </w:p>
        </w:tc>
        <w:tc>
          <w:tcPr>
            <w:tcW w:w="1055" w:type="dxa"/>
            <w:tcBorders>
              <w:top w:val="nil"/>
              <w:left w:val="nil"/>
              <w:bottom w:val="nil"/>
              <w:right w:val="nil"/>
            </w:tcBorders>
            <w:tcMar>
              <w:top w:w="45" w:type="dxa"/>
              <w:left w:w="45" w:type="dxa"/>
              <w:bottom w:w="45" w:type="dxa"/>
              <w:right w:w="45" w:type="dxa"/>
            </w:tcMar>
            <w:vAlign w:val="center"/>
          </w:tcPr>
          <w:p w14:paraId="10F1C99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w:t>
            </w:r>
          </w:p>
        </w:tc>
        <w:tc>
          <w:tcPr>
            <w:tcW w:w="1787" w:type="dxa"/>
            <w:tcBorders>
              <w:top w:val="nil"/>
              <w:left w:val="nil"/>
              <w:bottom w:val="nil"/>
              <w:right w:val="nil"/>
            </w:tcBorders>
            <w:tcMar>
              <w:top w:w="45" w:type="dxa"/>
              <w:left w:w="45" w:type="dxa"/>
              <w:bottom w:w="45" w:type="dxa"/>
              <w:right w:w="45" w:type="dxa"/>
            </w:tcMar>
            <w:vAlign w:val="center"/>
          </w:tcPr>
          <w:p w14:paraId="26D00DE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miR-21-5p, miR-155-5p, miR-34a-5p as key RIF miRNAs; target genes PTEN, VEGFA, TP53 involved in apoptosis and angiogenesis</w:t>
            </w:r>
          </w:p>
        </w:tc>
        <w:tc>
          <w:tcPr>
            <w:tcW w:w="2411" w:type="dxa"/>
            <w:tcBorders>
              <w:top w:val="nil"/>
              <w:left w:val="nil"/>
              <w:bottom w:val="nil"/>
              <w:right w:val="nil"/>
            </w:tcBorders>
            <w:tcMar>
              <w:top w:w="45" w:type="dxa"/>
              <w:left w:w="45" w:type="dxa"/>
              <w:bottom w:w="45" w:type="dxa"/>
              <w:right w:w="45" w:type="dxa"/>
            </w:tcMar>
            <w:vAlign w:val="center"/>
          </w:tcPr>
          <w:p w14:paraId="16B26BE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miRNA panel as non-invasive transcriptomic biomarkers for RIF diagnosis</w:t>
            </w:r>
          </w:p>
        </w:tc>
        <w:tc>
          <w:tcPr>
            <w:tcW w:w="1738" w:type="dxa"/>
            <w:tcBorders>
              <w:top w:val="nil"/>
              <w:left w:val="nil"/>
              <w:bottom w:val="nil"/>
              <w:right w:val="nil"/>
            </w:tcBorders>
            <w:tcMar>
              <w:top w:w="45" w:type="dxa"/>
              <w:left w:w="45" w:type="dxa"/>
              <w:bottom w:w="45" w:type="dxa"/>
              <w:right w:w="45" w:type="dxa"/>
            </w:tcMar>
            <w:vAlign w:val="center"/>
          </w:tcPr>
          <w:p w14:paraId="55E14E1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miRNA-mRNA network; GEO; </w:t>
            </w:r>
            <w:proofErr w:type="spellStart"/>
            <w:r w:rsidRPr="00D578DF">
              <w:rPr>
                <w:rFonts w:ascii="Times New Roman" w:eastAsia="Calibri" w:hAnsi="Times New Roman" w:cs="Times New Roman"/>
                <w:color w:val="000000" w:themeColor="text1"/>
                <w:sz w:val="20"/>
                <w:szCs w:val="20"/>
              </w:rPr>
              <w:t>miRanda</w:t>
            </w:r>
            <w:proofErr w:type="spellEnd"/>
          </w:p>
        </w:tc>
        <w:tc>
          <w:tcPr>
            <w:tcW w:w="1364" w:type="dxa"/>
            <w:tcBorders>
              <w:top w:val="nil"/>
              <w:left w:val="nil"/>
              <w:bottom w:val="nil"/>
              <w:right w:val="nil"/>
            </w:tcBorders>
            <w:tcMar>
              <w:top w:w="45" w:type="dxa"/>
              <w:left w:w="45" w:type="dxa"/>
              <w:bottom w:w="45" w:type="dxa"/>
              <w:right w:w="45" w:type="dxa"/>
            </w:tcMar>
            <w:vAlign w:val="center"/>
          </w:tcPr>
          <w:p w14:paraId="3F7E6AE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Comprehensive miRNA network; integrative bioinformatics</w:t>
            </w:r>
          </w:p>
        </w:tc>
        <w:tc>
          <w:tcPr>
            <w:tcW w:w="1380" w:type="dxa"/>
            <w:tcBorders>
              <w:top w:val="nil"/>
              <w:left w:val="nil"/>
              <w:bottom w:val="nil"/>
              <w:right w:val="nil"/>
            </w:tcBorders>
            <w:tcMar>
              <w:top w:w="45" w:type="dxa"/>
              <w:left w:w="45" w:type="dxa"/>
              <w:bottom w:w="45" w:type="dxa"/>
              <w:right w:w="45" w:type="dxa"/>
            </w:tcMar>
            <w:vAlign w:val="center"/>
          </w:tcPr>
          <w:p w14:paraId="6FD8EF5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GEO-only; no experimental validation</w:t>
            </w:r>
          </w:p>
        </w:tc>
      </w:tr>
      <w:tr w:rsidR="00D7116D" w:rsidRPr="00D578DF" w14:paraId="125B17F0"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529C5CA"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Vargas E et al., 2022 [70]</w:t>
            </w:r>
          </w:p>
        </w:tc>
        <w:tc>
          <w:tcPr>
            <w:tcW w:w="1114" w:type="dxa"/>
            <w:tcBorders>
              <w:top w:val="nil"/>
              <w:left w:val="nil"/>
              <w:bottom w:val="nil"/>
              <w:right w:val="nil"/>
            </w:tcBorders>
            <w:tcMar>
              <w:top w:w="45" w:type="dxa"/>
              <w:left w:w="45" w:type="dxa"/>
              <w:bottom w:w="45" w:type="dxa"/>
              <w:right w:w="45" w:type="dxa"/>
            </w:tcMar>
            <w:vAlign w:val="center"/>
          </w:tcPr>
          <w:p w14:paraId="6E95A52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Reproduction Open</w:t>
            </w:r>
          </w:p>
        </w:tc>
        <w:tc>
          <w:tcPr>
            <w:tcW w:w="1189" w:type="dxa"/>
            <w:tcBorders>
              <w:top w:val="nil"/>
              <w:left w:val="nil"/>
              <w:bottom w:val="nil"/>
              <w:right w:val="nil"/>
            </w:tcBorders>
            <w:tcMar>
              <w:top w:w="45" w:type="dxa"/>
              <w:left w:w="45" w:type="dxa"/>
              <w:bottom w:w="45" w:type="dxa"/>
              <w:right w:w="45" w:type="dxa"/>
            </w:tcMar>
            <w:vAlign w:val="center"/>
          </w:tcPr>
          <w:p w14:paraId="7DECDF8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Meta-analysis</w:t>
            </w:r>
          </w:p>
        </w:tc>
        <w:tc>
          <w:tcPr>
            <w:tcW w:w="1055" w:type="dxa"/>
            <w:tcBorders>
              <w:top w:val="nil"/>
              <w:left w:val="nil"/>
              <w:bottom w:val="nil"/>
              <w:right w:val="nil"/>
            </w:tcBorders>
            <w:tcMar>
              <w:top w:w="45" w:type="dxa"/>
              <w:left w:w="45" w:type="dxa"/>
              <w:bottom w:w="45" w:type="dxa"/>
              <w:right w:w="45" w:type="dxa"/>
            </w:tcMar>
            <w:vAlign w:val="center"/>
          </w:tcPr>
          <w:p w14:paraId="0347C6F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studies</w:t>
            </w:r>
          </w:p>
        </w:tc>
        <w:tc>
          <w:tcPr>
            <w:tcW w:w="1787" w:type="dxa"/>
            <w:tcBorders>
              <w:top w:val="nil"/>
              <w:left w:val="nil"/>
              <w:bottom w:val="nil"/>
              <w:right w:val="nil"/>
            </w:tcBorders>
            <w:tcMar>
              <w:top w:w="45" w:type="dxa"/>
              <w:left w:w="45" w:type="dxa"/>
              <w:bottom w:w="45" w:type="dxa"/>
              <w:right w:w="45" w:type="dxa"/>
            </w:tcMar>
            <w:vAlign w:val="center"/>
          </w:tcPr>
          <w:p w14:paraId="73A8968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246 consistently dysregulated genes in endometriosis WOI endometrium; HOXA10, HOXA11, MUC1, LIF among top genes</w:t>
            </w:r>
          </w:p>
        </w:tc>
        <w:tc>
          <w:tcPr>
            <w:tcW w:w="2411" w:type="dxa"/>
            <w:tcBorders>
              <w:top w:val="nil"/>
              <w:left w:val="nil"/>
              <w:bottom w:val="nil"/>
              <w:right w:val="nil"/>
            </w:tcBorders>
            <w:tcMar>
              <w:top w:w="45" w:type="dxa"/>
              <w:left w:w="45" w:type="dxa"/>
              <w:bottom w:w="45" w:type="dxa"/>
              <w:right w:w="45" w:type="dxa"/>
            </w:tcMar>
            <w:vAlign w:val="center"/>
          </w:tcPr>
          <w:p w14:paraId="25A34D4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Endometriosis-specific endometrial transcriptomic signature informing RIF management in affected patients</w:t>
            </w:r>
          </w:p>
        </w:tc>
        <w:tc>
          <w:tcPr>
            <w:tcW w:w="1738" w:type="dxa"/>
            <w:tcBorders>
              <w:top w:val="nil"/>
              <w:left w:val="nil"/>
              <w:bottom w:val="nil"/>
              <w:right w:val="nil"/>
            </w:tcBorders>
            <w:tcMar>
              <w:top w:w="45" w:type="dxa"/>
              <w:left w:w="45" w:type="dxa"/>
              <w:bottom w:w="45" w:type="dxa"/>
              <w:right w:w="45" w:type="dxa"/>
            </w:tcMar>
            <w:vAlign w:val="center"/>
          </w:tcPr>
          <w:p w14:paraId="04D8690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PRISMA; meta-transcriptomic analysis</w:t>
            </w:r>
          </w:p>
        </w:tc>
        <w:tc>
          <w:tcPr>
            <w:tcW w:w="1364" w:type="dxa"/>
            <w:tcBorders>
              <w:top w:val="nil"/>
              <w:left w:val="nil"/>
              <w:bottom w:val="nil"/>
              <w:right w:val="nil"/>
            </w:tcBorders>
            <w:tcMar>
              <w:top w:w="45" w:type="dxa"/>
              <w:left w:w="45" w:type="dxa"/>
              <w:bottom w:w="45" w:type="dxa"/>
              <w:right w:w="45" w:type="dxa"/>
            </w:tcMar>
            <w:vAlign w:val="center"/>
          </w:tcPr>
          <w:p w14:paraId="7D40CE0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Meta-analytic design; GRADE applied; large combined dataset</w:t>
            </w:r>
          </w:p>
        </w:tc>
        <w:tc>
          <w:tcPr>
            <w:tcW w:w="1380" w:type="dxa"/>
            <w:tcBorders>
              <w:top w:val="nil"/>
              <w:left w:val="nil"/>
              <w:bottom w:val="nil"/>
              <w:right w:val="nil"/>
            </w:tcBorders>
            <w:tcMar>
              <w:top w:w="45" w:type="dxa"/>
              <w:left w:w="45" w:type="dxa"/>
              <w:bottom w:w="45" w:type="dxa"/>
              <w:right w:w="45" w:type="dxa"/>
            </w:tcMar>
            <w:vAlign w:val="center"/>
          </w:tcPr>
          <w:p w14:paraId="3A2E03F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Endometriosis-specific; overlap with RIF not always explicit</w:t>
            </w:r>
          </w:p>
        </w:tc>
      </w:tr>
      <w:tr w:rsidR="00D7116D" w:rsidRPr="00D578DF" w14:paraId="26080A4D"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BB219AB"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Parraga-Leo et al., 2023 [82]</w:t>
            </w:r>
          </w:p>
        </w:tc>
        <w:tc>
          <w:tcPr>
            <w:tcW w:w="1114" w:type="dxa"/>
            <w:tcBorders>
              <w:top w:val="nil"/>
              <w:left w:val="nil"/>
              <w:bottom w:val="nil"/>
              <w:right w:val="nil"/>
            </w:tcBorders>
            <w:tcMar>
              <w:top w:w="45" w:type="dxa"/>
              <w:left w:w="45" w:type="dxa"/>
              <w:bottom w:w="45" w:type="dxa"/>
              <w:right w:w="45" w:type="dxa"/>
            </w:tcMar>
            <w:vAlign w:val="center"/>
          </w:tcPr>
          <w:p w14:paraId="0A8F99E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Biology and Endocrinology</w:t>
            </w:r>
          </w:p>
        </w:tc>
        <w:tc>
          <w:tcPr>
            <w:tcW w:w="1189" w:type="dxa"/>
            <w:tcBorders>
              <w:top w:val="nil"/>
              <w:left w:val="nil"/>
              <w:bottom w:val="nil"/>
              <w:right w:val="nil"/>
            </w:tcBorders>
            <w:tcMar>
              <w:top w:w="45" w:type="dxa"/>
              <w:left w:w="45" w:type="dxa"/>
              <w:bottom w:w="45" w:type="dxa"/>
              <w:right w:w="45" w:type="dxa"/>
            </w:tcMar>
            <w:vAlign w:val="center"/>
          </w:tcPr>
          <w:p w14:paraId="420FF22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Multi-cohort bioinformatics</w:t>
            </w:r>
          </w:p>
        </w:tc>
        <w:tc>
          <w:tcPr>
            <w:tcW w:w="1055" w:type="dxa"/>
            <w:tcBorders>
              <w:top w:val="nil"/>
              <w:left w:val="nil"/>
              <w:bottom w:val="nil"/>
              <w:right w:val="nil"/>
            </w:tcBorders>
            <w:tcMar>
              <w:top w:w="45" w:type="dxa"/>
              <w:left w:w="45" w:type="dxa"/>
              <w:bottom w:w="45" w:type="dxa"/>
              <w:right w:w="45" w:type="dxa"/>
            </w:tcMar>
            <w:vAlign w:val="center"/>
          </w:tcPr>
          <w:p w14:paraId="78C9CE0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public datasets</w:t>
            </w:r>
          </w:p>
        </w:tc>
        <w:tc>
          <w:tcPr>
            <w:tcW w:w="1787" w:type="dxa"/>
            <w:tcBorders>
              <w:top w:val="nil"/>
              <w:left w:val="nil"/>
              <w:bottom w:val="nil"/>
              <w:right w:val="nil"/>
            </w:tcBorders>
            <w:tcMar>
              <w:top w:w="45" w:type="dxa"/>
              <w:left w:w="45" w:type="dxa"/>
              <w:bottom w:w="45" w:type="dxa"/>
              <w:right w:w="45" w:type="dxa"/>
            </w:tcMar>
            <w:vAlign w:val="center"/>
          </w:tcPr>
          <w:p w14:paraId="70F2F40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TF activity (SP1, HIF1A), lncRNA expression, and miRNA regulation each contribute ~25–35% of WOI signature variance</w:t>
            </w:r>
          </w:p>
        </w:tc>
        <w:tc>
          <w:tcPr>
            <w:tcW w:w="2411" w:type="dxa"/>
            <w:tcBorders>
              <w:top w:val="nil"/>
              <w:left w:val="nil"/>
              <w:bottom w:val="nil"/>
              <w:right w:val="nil"/>
            </w:tcBorders>
            <w:tcMar>
              <w:top w:w="45" w:type="dxa"/>
              <w:left w:w="45" w:type="dxa"/>
              <w:bottom w:w="45" w:type="dxa"/>
              <w:right w:w="45" w:type="dxa"/>
            </w:tcMar>
            <w:vAlign w:val="center"/>
          </w:tcPr>
          <w:p w14:paraId="3387D38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Multi-layer transcriptomic regulation map for WOI; regulator-specific diagnostic/therapeutic targeting</w:t>
            </w:r>
          </w:p>
        </w:tc>
        <w:tc>
          <w:tcPr>
            <w:tcW w:w="1738" w:type="dxa"/>
            <w:tcBorders>
              <w:top w:val="nil"/>
              <w:left w:val="nil"/>
              <w:bottom w:val="nil"/>
              <w:right w:val="nil"/>
            </w:tcBorders>
            <w:tcMar>
              <w:top w:w="45" w:type="dxa"/>
              <w:left w:w="45" w:type="dxa"/>
              <w:bottom w:w="45" w:type="dxa"/>
              <w:right w:w="45" w:type="dxa"/>
            </w:tcMar>
            <w:vAlign w:val="center"/>
          </w:tcPr>
          <w:p w14:paraId="7CCBDEE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Regulatory network inference; cross-dataset meta-analysis</w:t>
            </w:r>
          </w:p>
        </w:tc>
        <w:tc>
          <w:tcPr>
            <w:tcW w:w="1364" w:type="dxa"/>
            <w:tcBorders>
              <w:top w:val="nil"/>
              <w:left w:val="nil"/>
              <w:bottom w:val="nil"/>
              <w:right w:val="nil"/>
            </w:tcBorders>
            <w:tcMar>
              <w:top w:w="45" w:type="dxa"/>
              <w:left w:w="45" w:type="dxa"/>
              <w:bottom w:w="45" w:type="dxa"/>
              <w:right w:w="45" w:type="dxa"/>
            </w:tcMar>
            <w:vAlign w:val="center"/>
          </w:tcPr>
          <w:p w14:paraId="3433287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Novel regulatory </w:t>
            </w:r>
            <w:proofErr w:type="spellStart"/>
            <w:r w:rsidRPr="00D578DF">
              <w:rPr>
                <w:rFonts w:ascii="Times New Roman" w:eastAsia="Calibri" w:hAnsi="Times New Roman" w:cs="Times New Roman"/>
                <w:color w:val="000000" w:themeColor="text1"/>
                <w:sz w:val="20"/>
                <w:szCs w:val="20"/>
              </w:rPr>
              <w:t>categorisation</w:t>
            </w:r>
            <w:proofErr w:type="spellEnd"/>
            <w:r w:rsidRPr="00D578DF">
              <w:rPr>
                <w:rFonts w:ascii="Times New Roman" w:eastAsia="Calibri" w:hAnsi="Times New Roman" w:cs="Times New Roman"/>
                <w:color w:val="000000" w:themeColor="text1"/>
                <w:sz w:val="20"/>
                <w:szCs w:val="20"/>
              </w:rPr>
              <w:t>; cross-dataset approach</w:t>
            </w:r>
          </w:p>
        </w:tc>
        <w:tc>
          <w:tcPr>
            <w:tcW w:w="1380" w:type="dxa"/>
            <w:tcBorders>
              <w:top w:val="nil"/>
              <w:left w:val="nil"/>
              <w:bottom w:val="nil"/>
              <w:right w:val="nil"/>
            </w:tcBorders>
            <w:tcMar>
              <w:top w:w="45" w:type="dxa"/>
              <w:left w:w="45" w:type="dxa"/>
              <w:bottom w:w="45" w:type="dxa"/>
              <w:right w:w="45" w:type="dxa"/>
            </w:tcMar>
            <w:vAlign w:val="center"/>
          </w:tcPr>
          <w:p w14:paraId="29A47AC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 clinical validation; in silico only</w:t>
            </w:r>
          </w:p>
        </w:tc>
      </w:tr>
      <w:tr w:rsidR="00D7116D" w:rsidRPr="00D578DF" w14:paraId="440F8FA7"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1D80012B"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Choo SP et al., 2023 [69]</w:t>
            </w:r>
          </w:p>
        </w:tc>
        <w:tc>
          <w:tcPr>
            <w:tcW w:w="1114" w:type="dxa"/>
            <w:tcBorders>
              <w:top w:val="nil"/>
              <w:left w:val="nil"/>
              <w:bottom w:val="nil"/>
              <w:right w:val="nil"/>
            </w:tcBorders>
            <w:tcMar>
              <w:top w:w="45" w:type="dxa"/>
              <w:left w:w="45" w:type="dxa"/>
              <w:bottom w:w="45" w:type="dxa"/>
              <w:right w:w="45" w:type="dxa"/>
            </w:tcMar>
            <w:vAlign w:val="center"/>
          </w:tcPr>
          <w:p w14:paraId="52B9964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Obstetrics &amp; Gynecology Science</w:t>
            </w:r>
          </w:p>
        </w:tc>
        <w:tc>
          <w:tcPr>
            <w:tcW w:w="1189" w:type="dxa"/>
            <w:tcBorders>
              <w:top w:val="nil"/>
              <w:left w:val="nil"/>
              <w:bottom w:val="nil"/>
              <w:right w:val="nil"/>
            </w:tcBorders>
            <w:tcMar>
              <w:top w:w="45" w:type="dxa"/>
              <w:left w:w="45" w:type="dxa"/>
              <w:bottom w:w="45" w:type="dxa"/>
              <w:right w:w="45" w:type="dxa"/>
            </w:tcMar>
            <w:vAlign w:val="center"/>
          </w:tcPr>
          <w:p w14:paraId="34C607F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 (phase-specific)</w:t>
            </w:r>
          </w:p>
        </w:tc>
        <w:tc>
          <w:tcPr>
            <w:tcW w:w="1055" w:type="dxa"/>
            <w:tcBorders>
              <w:top w:val="nil"/>
              <w:left w:val="nil"/>
              <w:bottom w:val="nil"/>
              <w:right w:val="nil"/>
            </w:tcBorders>
            <w:tcMar>
              <w:top w:w="45" w:type="dxa"/>
              <w:left w:w="45" w:type="dxa"/>
              <w:bottom w:w="45" w:type="dxa"/>
              <w:right w:w="45" w:type="dxa"/>
            </w:tcMar>
            <w:vAlign w:val="center"/>
          </w:tcPr>
          <w:p w14:paraId="2C2C6C1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40 natural cycle biopsies</w:t>
            </w:r>
          </w:p>
        </w:tc>
        <w:tc>
          <w:tcPr>
            <w:tcW w:w="1787" w:type="dxa"/>
            <w:tcBorders>
              <w:top w:val="nil"/>
              <w:left w:val="nil"/>
              <w:bottom w:val="nil"/>
              <w:right w:val="nil"/>
            </w:tcBorders>
            <w:tcMar>
              <w:top w:w="45" w:type="dxa"/>
              <w:left w:w="45" w:type="dxa"/>
              <w:bottom w:w="45" w:type="dxa"/>
              <w:right w:w="45" w:type="dxa"/>
            </w:tcMar>
            <w:vAlign w:val="center"/>
          </w:tcPr>
          <w:p w14:paraId="3F3B94A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Phase-distinct gene clusters; LIF, LEFTY2 peak at early WOI; DKK1, SFRP4 rise at mid-WOI; </w:t>
            </w:r>
            <w:proofErr w:type="spellStart"/>
            <w:r w:rsidRPr="00D578DF">
              <w:rPr>
                <w:rFonts w:ascii="Times New Roman" w:eastAsia="Calibri" w:hAnsi="Times New Roman" w:cs="Times New Roman"/>
                <w:color w:val="000000" w:themeColor="text1"/>
                <w:sz w:val="20"/>
                <w:szCs w:val="20"/>
              </w:rPr>
              <w:t>Wnt</w:t>
            </w:r>
            <w:proofErr w:type="spellEnd"/>
            <w:r w:rsidRPr="00D578DF">
              <w:rPr>
                <w:rFonts w:ascii="Times New Roman" w:eastAsia="Calibri" w:hAnsi="Times New Roman" w:cs="Times New Roman"/>
                <w:color w:val="000000" w:themeColor="text1"/>
                <w:sz w:val="20"/>
                <w:szCs w:val="20"/>
              </w:rPr>
              <w:t xml:space="preserve"> inhibition at WOI transition</w:t>
            </w:r>
          </w:p>
        </w:tc>
        <w:tc>
          <w:tcPr>
            <w:tcW w:w="2411" w:type="dxa"/>
            <w:tcBorders>
              <w:top w:val="nil"/>
              <w:left w:val="nil"/>
              <w:bottom w:val="nil"/>
              <w:right w:val="nil"/>
            </w:tcBorders>
            <w:tcMar>
              <w:top w:w="45" w:type="dxa"/>
              <w:left w:w="45" w:type="dxa"/>
              <w:bottom w:w="45" w:type="dxa"/>
              <w:right w:w="45" w:type="dxa"/>
            </w:tcMar>
            <w:vAlign w:val="center"/>
          </w:tcPr>
          <w:p w14:paraId="6BC1E25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Phase-specific transcriptomic map as reference for WOI-timing diagnostics in IVF</w:t>
            </w:r>
          </w:p>
        </w:tc>
        <w:tc>
          <w:tcPr>
            <w:tcW w:w="1738" w:type="dxa"/>
            <w:tcBorders>
              <w:top w:val="nil"/>
              <w:left w:val="nil"/>
              <w:bottom w:val="nil"/>
              <w:right w:val="nil"/>
            </w:tcBorders>
            <w:tcMar>
              <w:top w:w="45" w:type="dxa"/>
              <w:left w:w="45" w:type="dxa"/>
              <w:bottom w:w="45" w:type="dxa"/>
              <w:right w:w="45" w:type="dxa"/>
            </w:tcMar>
            <w:vAlign w:val="center"/>
          </w:tcPr>
          <w:p w14:paraId="08160FF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RNA-seq; phase-specific DEG analysis</w:t>
            </w:r>
          </w:p>
        </w:tc>
        <w:tc>
          <w:tcPr>
            <w:tcW w:w="1364" w:type="dxa"/>
            <w:tcBorders>
              <w:top w:val="nil"/>
              <w:left w:val="nil"/>
              <w:bottom w:val="nil"/>
              <w:right w:val="nil"/>
            </w:tcBorders>
            <w:tcMar>
              <w:top w:w="45" w:type="dxa"/>
              <w:left w:w="45" w:type="dxa"/>
              <w:bottom w:w="45" w:type="dxa"/>
              <w:right w:w="45" w:type="dxa"/>
            </w:tcMar>
            <w:vAlign w:val="center"/>
          </w:tcPr>
          <w:p w14:paraId="516FF64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Natural cycle design (minimal hormonal confound); phase-specific data</w:t>
            </w:r>
          </w:p>
        </w:tc>
        <w:tc>
          <w:tcPr>
            <w:tcW w:w="1380" w:type="dxa"/>
            <w:tcBorders>
              <w:top w:val="nil"/>
              <w:left w:val="nil"/>
              <w:bottom w:val="nil"/>
              <w:right w:val="nil"/>
            </w:tcBorders>
            <w:tcMar>
              <w:top w:w="45" w:type="dxa"/>
              <w:left w:w="45" w:type="dxa"/>
              <w:bottom w:w="45" w:type="dxa"/>
              <w:right w:w="45" w:type="dxa"/>
            </w:tcMar>
            <w:vAlign w:val="center"/>
          </w:tcPr>
          <w:p w14:paraId="4F4924A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Not RIF-specific; small N per phase</w:t>
            </w:r>
          </w:p>
        </w:tc>
      </w:tr>
      <w:tr w:rsidR="00D7116D" w:rsidRPr="00D578DF" w14:paraId="6B7BFFE3"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406DEF9"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Tempest N et al., 2025 [19]</w:t>
            </w:r>
          </w:p>
        </w:tc>
        <w:tc>
          <w:tcPr>
            <w:tcW w:w="1114" w:type="dxa"/>
            <w:tcBorders>
              <w:top w:val="nil"/>
              <w:left w:val="nil"/>
              <w:bottom w:val="nil"/>
              <w:right w:val="nil"/>
            </w:tcBorders>
            <w:tcMar>
              <w:top w:w="45" w:type="dxa"/>
              <w:left w:w="45" w:type="dxa"/>
              <w:bottom w:w="45" w:type="dxa"/>
              <w:right w:w="45" w:type="dxa"/>
            </w:tcMar>
            <w:vAlign w:val="center"/>
          </w:tcPr>
          <w:p w14:paraId="36A4C01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PNAS</w:t>
            </w:r>
          </w:p>
        </w:tc>
        <w:tc>
          <w:tcPr>
            <w:tcW w:w="1189" w:type="dxa"/>
            <w:tcBorders>
              <w:top w:val="nil"/>
              <w:left w:val="nil"/>
              <w:bottom w:val="nil"/>
              <w:right w:val="nil"/>
            </w:tcBorders>
            <w:tcMar>
              <w:top w:w="45" w:type="dxa"/>
              <w:left w:w="45" w:type="dxa"/>
              <w:bottom w:w="45" w:type="dxa"/>
              <w:right w:w="45" w:type="dxa"/>
            </w:tcMar>
            <w:vAlign w:val="center"/>
          </w:tcPr>
          <w:p w14:paraId="696AE137"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Spatial transcriptomics</w:t>
            </w:r>
          </w:p>
        </w:tc>
        <w:tc>
          <w:tcPr>
            <w:tcW w:w="1055" w:type="dxa"/>
            <w:tcBorders>
              <w:top w:val="nil"/>
              <w:left w:val="nil"/>
              <w:bottom w:val="nil"/>
              <w:right w:val="nil"/>
            </w:tcBorders>
            <w:tcMar>
              <w:top w:w="45" w:type="dxa"/>
              <w:left w:w="45" w:type="dxa"/>
              <w:bottom w:w="45" w:type="dxa"/>
              <w:right w:w="45" w:type="dxa"/>
            </w:tcMar>
            <w:vAlign w:val="center"/>
          </w:tcPr>
          <w:p w14:paraId="444EDC2A"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8 RIF vs. 8 fertile controls; LH-timed </w:t>
            </w:r>
            <w:r w:rsidRPr="00D578DF">
              <w:rPr>
                <w:rFonts w:ascii="Times New Roman" w:hAnsi="Times New Roman" w:cs="Times New Roman"/>
                <w:sz w:val="20"/>
                <w:szCs w:val="20"/>
              </w:rPr>
              <w:lastRenderedPageBreak/>
              <w:t>endometrial biopsies</w:t>
            </w:r>
          </w:p>
        </w:tc>
        <w:tc>
          <w:tcPr>
            <w:tcW w:w="1787" w:type="dxa"/>
            <w:tcBorders>
              <w:top w:val="nil"/>
              <w:left w:val="nil"/>
              <w:bottom w:val="nil"/>
              <w:right w:val="nil"/>
            </w:tcBorders>
            <w:tcMar>
              <w:top w:w="45" w:type="dxa"/>
              <w:left w:w="45" w:type="dxa"/>
              <w:bottom w:w="45" w:type="dxa"/>
              <w:right w:w="45" w:type="dxa"/>
            </w:tcMar>
            <w:vAlign w:val="center"/>
          </w:tcPr>
          <w:p w14:paraId="2061014A"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 xml:space="preserve">Region/cell-type-specific DEGs: 685 luminal epithelium, 293 glandular epithelium, 419 </w:t>
            </w:r>
            <w:r w:rsidRPr="00D578DF">
              <w:rPr>
                <w:rFonts w:ascii="Times New Roman" w:hAnsi="Times New Roman" w:cs="Times New Roman"/>
                <w:sz w:val="20"/>
                <w:szCs w:val="20"/>
              </w:rPr>
              <w:lastRenderedPageBreak/>
              <w:t xml:space="preserve">subluminal stroma, 264 </w:t>
            </w:r>
            <w:proofErr w:type="spellStart"/>
            <w:r w:rsidRPr="00D578DF">
              <w:rPr>
                <w:rFonts w:ascii="Times New Roman" w:hAnsi="Times New Roman" w:cs="Times New Roman"/>
                <w:sz w:val="20"/>
                <w:szCs w:val="20"/>
              </w:rPr>
              <w:t>functionalis</w:t>
            </w:r>
            <w:proofErr w:type="spellEnd"/>
            <w:r w:rsidRPr="00D578DF">
              <w:rPr>
                <w:rFonts w:ascii="Times New Roman" w:hAnsi="Times New Roman" w:cs="Times New Roman"/>
                <w:sz w:val="20"/>
                <w:szCs w:val="20"/>
              </w:rPr>
              <w:t xml:space="preserve"> stroma, 1,125 subluminal CD45+ leukocytes and 1,049 </w:t>
            </w:r>
            <w:proofErr w:type="spellStart"/>
            <w:r w:rsidRPr="00D578DF">
              <w:rPr>
                <w:rFonts w:ascii="Times New Roman" w:hAnsi="Times New Roman" w:cs="Times New Roman"/>
                <w:sz w:val="20"/>
                <w:szCs w:val="20"/>
              </w:rPr>
              <w:t>functionalis</w:t>
            </w:r>
            <w:proofErr w:type="spellEnd"/>
            <w:r w:rsidRPr="00D578DF">
              <w:rPr>
                <w:rFonts w:ascii="Times New Roman" w:hAnsi="Times New Roman" w:cs="Times New Roman"/>
                <w:sz w:val="20"/>
                <w:szCs w:val="20"/>
              </w:rPr>
              <w:t xml:space="preserve"> CD56+ leukocytes; only 57 DEGs were shared across all regions/cell types.</w:t>
            </w:r>
          </w:p>
        </w:tc>
        <w:tc>
          <w:tcPr>
            <w:tcW w:w="2411" w:type="dxa"/>
            <w:tcBorders>
              <w:top w:val="nil"/>
              <w:left w:val="nil"/>
              <w:bottom w:val="nil"/>
              <w:right w:val="nil"/>
            </w:tcBorders>
            <w:tcMar>
              <w:top w:w="45" w:type="dxa"/>
              <w:left w:w="45" w:type="dxa"/>
              <w:bottom w:w="45" w:type="dxa"/>
              <w:right w:w="45" w:type="dxa"/>
            </w:tcMar>
            <w:vAlign w:val="center"/>
          </w:tcPr>
          <w:p w14:paraId="447B390B"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 xml:space="preserve">Demonstrates that bulk endometrial profiling can miss localized RIF abnormalities; identifies </w:t>
            </w:r>
            <w:r w:rsidRPr="00D578DF">
              <w:rPr>
                <w:rFonts w:ascii="Times New Roman" w:hAnsi="Times New Roman" w:cs="Times New Roman"/>
                <w:sz w:val="20"/>
                <w:szCs w:val="20"/>
              </w:rPr>
              <w:lastRenderedPageBreak/>
              <w:t>research targets rather than validated therapies.</w:t>
            </w:r>
          </w:p>
        </w:tc>
        <w:tc>
          <w:tcPr>
            <w:tcW w:w="1738" w:type="dxa"/>
            <w:tcBorders>
              <w:top w:val="nil"/>
              <w:left w:val="nil"/>
              <w:bottom w:val="nil"/>
              <w:right w:val="nil"/>
            </w:tcBorders>
            <w:tcMar>
              <w:top w:w="45" w:type="dxa"/>
              <w:left w:w="45" w:type="dxa"/>
              <w:bottom w:w="45" w:type="dxa"/>
              <w:right w:w="45" w:type="dxa"/>
            </w:tcMar>
            <w:vAlign w:val="center"/>
          </w:tcPr>
          <w:p w14:paraId="46482793" w14:textId="77777777" w:rsidR="00750508" w:rsidRPr="00D578DF" w:rsidRDefault="00B35C98">
            <w:pPr>
              <w:rPr>
                <w:rFonts w:ascii="Times New Roman" w:hAnsi="Times New Roman" w:cs="Times New Roman"/>
                <w:sz w:val="20"/>
                <w:szCs w:val="20"/>
              </w:rPr>
            </w:pPr>
            <w:proofErr w:type="spellStart"/>
            <w:r w:rsidRPr="00D578DF">
              <w:rPr>
                <w:rFonts w:ascii="Times New Roman" w:hAnsi="Times New Roman" w:cs="Times New Roman"/>
                <w:sz w:val="20"/>
                <w:szCs w:val="20"/>
              </w:rPr>
              <w:lastRenderedPageBreak/>
              <w:t>NanoString</w:t>
            </w:r>
            <w:proofErr w:type="spellEnd"/>
            <w:r w:rsidRPr="00D578DF">
              <w:rPr>
                <w:rFonts w:ascii="Times New Roman" w:hAnsi="Times New Roman" w:cs="Times New Roman"/>
                <w:sz w:val="20"/>
                <w:szCs w:val="20"/>
              </w:rPr>
              <w:t xml:space="preserve"> </w:t>
            </w:r>
            <w:proofErr w:type="spellStart"/>
            <w:r w:rsidRPr="00D578DF">
              <w:rPr>
                <w:rFonts w:ascii="Times New Roman" w:hAnsi="Times New Roman" w:cs="Times New Roman"/>
                <w:sz w:val="20"/>
                <w:szCs w:val="20"/>
              </w:rPr>
              <w:t>GeoMx</w:t>
            </w:r>
            <w:proofErr w:type="spellEnd"/>
            <w:r w:rsidRPr="00D578DF">
              <w:rPr>
                <w:rFonts w:ascii="Times New Roman" w:hAnsi="Times New Roman" w:cs="Times New Roman"/>
                <w:sz w:val="20"/>
                <w:szCs w:val="20"/>
              </w:rPr>
              <w:t xml:space="preserve"> Digital Spatial Profiling (spatial transcriptomics)</w:t>
            </w:r>
          </w:p>
        </w:tc>
        <w:tc>
          <w:tcPr>
            <w:tcW w:w="1364" w:type="dxa"/>
            <w:tcBorders>
              <w:top w:val="nil"/>
              <w:left w:val="nil"/>
              <w:bottom w:val="nil"/>
              <w:right w:val="nil"/>
            </w:tcBorders>
            <w:tcMar>
              <w:top w:w="45" w:type="dxa"/>
              <w:left w:w="45" w:type="dxa"/>
              <w:bottom w:w="45" w:type="dxa"/>
              <w:right w:w="45" w:type="dxa"/>
            </w:tcMar>
            <w:vAlign w:val="center"/>
          </w:tcPr>
          <w:p w14:paraId="5922FE4E"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Spatially resolved RIF-versus-fertile-control design </w:t>
            </w:r>
            <w:r w:rsidRPr="00D578DF">
              <w:rPr>
                <w:rFonts w:ascii="Times New Roman" w:hAnsi="Times New Roman" w:cs="Times New Roman"/>
                <w:sz w:val="20"/>
                <w:szCs w:val="20"/>
              </w:rPr>
              <w:lastRenderedPageBreak/>
              <w:t>with LH-timed biopsies.</w:t>
            </w:r>
          </w:p>
        </w:tc>
        <w:tc>
          <w:tcPr>
            <w:tcW w:w="1380" w:type="dxa"/>
            <w:tcBorders>
              <w:top w:val="nil"/>
              <w:left w:val="nil"/>
              <w:bottom w:val="nil"/>
              <w:right w:val="nil"/>
            </w:tcBorders>
            <w:tcMar>
              <w:top w:w="45" w:type="dxa"/>
              <w:left w:w="45" w:type="dxa"/>
              <w:bottom w:w="45" w:type="dxa"/>
              <w:right w:w="45" w:type="dxa"/>
            </w:tcMar>
            <w:vAlign w:val="center"/>
          </w:tcPr>
          <w:p w14:paraId="2E82D040"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Small cohort (n=16); no direct IVF treatment-</w:t>
            </w:r>
            <w:r w:rsidRPr="00D578DF">
              <w:rPr>
                <w:rFonts w:ascii="Times New Roman" w:hAnsi="Times New Roman" w:cs="Times New Roman"/>
                <w:sz w:val="20"/>
                <w:szCs w:val="20"/>
              </w:rPr>
              <w:lastRenderedPageBreak/>
              <w:t>outcome validation.</w:t>
            </w:r>
          </w:p>
        </w:tc>
      </w:tr>
      <w:tr w:rsidR="00D7116D" w:rsidRPr="00D578DF" w14:paraId="7BB4CDC4"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0F14A31A"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Zhang WB et al., 2024 [65]</w:t>
            </w:r>
          </w:p>
        </w:tc>
        <w:tc>
          <w:tcPr>
            <w:tcW w:w="1114" w:type="dxa"/>
            <w:tcBorders>
              <w:top w:val="nil"/>
              <w:left w:val="nil"/>
              <w:bottom w:val="nil"/>
              <w:right w:val="nil"/>
            </w:tcBorders>
            <w:tcMar>
              <w:top w:w="45" w:type="dxa"/>
              <w:left w:w="45" w:type="dxa"/>
              <w:bottom w:w="45" w:type="dxa"/>
              <w:right w:w="45" w:type="dxa"/>
            </w:tcMar>
            <w:vAlign w:val="center"/>
          </w:tcPr>
          <w:p w14:paraId="25C1C4D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Frontiers in Endocrinology</w:t>
            </w:r>
          </w:p>
        </w:tc>
        <w:tc>
          <w:tcPr>
            <w:tcW w:w="1189" w:type="dxa"/>
            <w:tcBorders>
              <w:top w:val="nil"/>
              <w:left w:val="nil"/>
              <w:bottom w:val="nil"/>
              <w:right w:val="nil"/>
            </w:tcBorders>
            <w:tcMar>
              <w:top w:w="45" w:type="dxa"/>
              <w:left w:w="45" w:type="dxa"/>
              <w:bottom w:w="45" w:type="dxa"/>
              <w:right w:w="45" w:type="dxa"/>
            </w:tcMar>
            <w:vAlign w:val="center"/>
          </w:tcPr>
          <w:p w14:paraId="15A8F58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 (HRT)</w:t>
            </w:r>
          </w:p>
        </w:tc>
        <w:tc>
          <w:tcPr>
            <w:tcW w:w="1055" w:type="dxa"/>
            <w:tcBorders>
              <w:top w:val="nil"/>
              <w:left w:val="nil"/>
              <w:bottom w:val="nil"/>
              <w:right w:val="nil"/>
            </w:tcBorders>
            <w:tcMar>
              <w:top w:w="45" w:type="dxa"/>
              <w:left w:w="45" w:type="dxa"/>
              <w:bottom w:w="45" w:type="dxa"/>
              <w:right w:w="45" w:type="dxa"/>
            </w:tcMar>
            <w:vAlign w:val="center"/>
          </w:tcPr>
          <w:p w14:paraId="0DE0D15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30 HRT-RIF vs. 25 HRT controls</w:t>
            </w:r>
          </w:p>
        </w:tc>
        <w:tc>
          <w:tcPr>
            <w:tcW w:w="1787" w:type="dxa"/>
            <w:tcBorders>
              <w:top w:val="nil"/>
              <w:left w:val="nil"/>
              <w:bottom w:val="nil"/>
              <w:right w:val="nil"/>
            </w:tcBorders>
            <w:tcMar>
              <w:top w:w="45" w:type="dxa"/>
              <w:left w:w="45" w:type="dxa"/>
              <w:bottom w:w="45" w:type="dxa"/>
              <w:right w:w="45" w:type="dxa"/>
            </w:tcMar>
            <w:vAlign w:val="center"/>
          </w:tcPr>
          <w:p w14:paraId="04CC4D3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HRT-specific WOI dysregulation in RIF: progesterone receptor co-activator (NCOA2) and </w:t>
            </w:r>
            <w:proofErr w:type="spellStart"/>
            <w:r w:rsidRPr="00D578DF">
              <w:rPr>
                <w:rFonts w:ascii="Times New Roman" w:eastAsia="Calibri" w:hAnsi="Times New Roman" w:cs="Times New Roman"/>
                <w:color w:val="000000" w:themeColor="text1"/>
                <w:sz w:val="20"/>
                <w:szCs w:val="20"/>
              </w:rPr>
              <w:t>Wnt</w:t>
            </w:r>
            <w:proofErr w:type="spellEnd"/>
            <w:r w:rsidRPr="00D578DF">
              <w:rPr>
                <w:rFonts w:ascii="Times New Roman" w:eastAsia="Calibri" w:hAnsi="Times New Roman" w:cs="Times New Roman"/>
                <w:color w:val="000000" w:themeColor="text1"/>
                <w:sz w:val="20"/>
                <w:szCs w:val="20"/>
              </w:rPr>
              <w:t xml:space="preserve"> pathway genes suppressed</w:t>
            </w:r>
          </w:p>
        </w:tc>
        <w:tc>
          <w:tcPr>
            <w:tcW w:w="2411" w:type="dxa"/>
            <w:tcBorders>
              <w:top w:val="nil"/>
              <w:left w:val="nil"/>
              <w:bottom w:val="nil"/>
              <w:right w:val="nil"/>
            </w:tcBorders>
            <w:tcMar>
              <w:top w:w="45" w:type="dxa"/>
              <w:left w:w="45" w:type="dxa"/>
              <w:bottom w:w="45" w:type="dxa"/>
              <w:right w:w="45" w:type="dxa"/>
            </w:tcMar>
            <w:vAlign w:val="center"/>
          </w:tcPr>
          <w:p w14:paraId="2CBA7FC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HRT protocol-specific endometrial transcriptomic signature informing frozen ET protocols</w:t>
            </w:r>
          </w:p>
        </w:tc>
        <w:tc>
          <w:tcPr>
            <w:tcW w:w="1738" w:type="dxa"/>
            <w:tcBorders>
              <w:top w:val="nil"/>
              <w:left w:val="nil"/>
              <w:bottom w:val="nil"/>
              <w:right w:val="nil"/>
            </w:tcBorders>
            <w:tcMar>
              <w:top w:w="45" w:type="dxa"/>
              <w:left w:w="45" w:type="dxa"/>
              <w:bottom w:w="45" w:type="dxa"/>
              <w:right w:w="45" w:type="dxa"/>
            </w:tcMar>
            <w:vAlign w:val="center"/>
          </w:tcPr>
          <w:p w14:paraId="09C4145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RNA-seq; HRT-specific biopsy protocol</w:t>
            </w:r>
          </w:p>
        </w:tc>
        <w:tc>
          <w:tcPr>
            <w:tcW w:w="1364" w:type="dxa"/>
            <w:tcBorders>
              <w:top w:val="nil"/>
              <w:left w:val="nil"/>
              <w:bottom w:val="nil"/>
              <w:right w:val="nil"/>
            </w:tcBorders>
            <w:tcMar>
              <w:top w:w="45" w:type="dxa"/>
              <w:left w:w="45" w:type="dxa"/>
              <w:bottom w:w="45" w:type="dxa"/>
              <w:right w:w="45" w:type="dxa"/>
            </w:tcMar>
            <w:vAlign w:val="center"/>
          </w:tcPr>
          <w:p w14:paraId="424CFF6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HRT cycle-specific design; clinically relevant context</w:t>
            </w:r>
          </w:p>
        </w:tc>
        <w:tc>
          <w:tcPr>
            <w:tcW w:w="1380" w:type="dxa"/>
            <w:tcBorders>
              <w:top w:val="nil"/>
              <w:left w:val="nil"/>
              <w:bottom w:val="nil"/>
              <w:right w:val="nil"/>
            </w:tcBorders>
            <w:tcMar>
              <w:top w:w="45" w:type="dxa"/>
              <w:left w:w="45" w:type="dxa"/>
              <w:bottom w:w="45" w:type="dxa"/>
              <w:right w:w="45" w:type="dxa"/>
            </w:tcMar>
            <w:vAlign w:val="center"/>
          </w:tcPr>
          <w:p w14:paraId="1EF0172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Single hormonal context (HRT); moderate N</w:t>
            </w:r>
          </w:p>
        </w:tc>
      </w:tr>
      <w:tr w:rsidR="00D7116D" w:rsidRPr="00D578DF" w14:paraId="6C6BB4D9"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6246C48C"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Dong X et al., 2023 [64]</w:t>
            </w:r>
          </w:p>
        </w:tc>
        <w:tc>
          <w:tcPr>
            <w:tcW w:w="1114" w:type="dxa"/>
            <w:tcBorders>
              <w:top w:val="nil"/>
              <w:left w:val="nil"/>
              <w:bottom w:val="nil"/>
              <w:right w:val="nil"/>
            </w:tcBorders>
            <w:tcMar>
              <w:top w:w="45" w:type="dxa"/>
              <w:left w:w="45" w:type="dxa"/>
              <w:bottom w:w="45" w:type="dxa"/>
              <w:right w:w="45" w:type="dxa"/>
            </w:tcMar>
            <w:vAlign w:val="center"/>
          </w:tcPr>
          <w:p w14:paraId="4FEF21E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Frontiers in Genetics</w:t>
            </w:r>
          </w:p>
        </w:tc>
        <w:tc>
          <w:tcPr>
            <w:tcW w:w="1189" w:type="dxa"/>
            <w:tcBorders>
              <w:top w:val="nil"/>
              <w:left w:val="nil"/>
              <w:bottom w:val="nil"/>
              <w:right w:val="nil"/>
            </w:tcBorders>
            <w:tcMar>
              <w:top w:w="45" w:type="dxa"/>
              <w:left w:w="45" w:type="dxa"/>
              <w:bottom w:w="45" w:type="dxa"/>
              <w:right w:w="45" w:type="dxa"/>
            </w:tcMar>
            <w:vAlign w:val="center"/>
          </w:tcPr>
          <w:p w14:paraId="23F3613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w:t>
            </w:r>
          </w:p>
        </w:tc>
        <w:tc>
          <w:tcPr>
            <w:tcW w:w="1055" w:type="dxa"/>
            <w:tcBorders>
              <w:top w:val="nil"/>
              <w:left w:val="nil"/>
              <w:bottom w:val="nil"/>
              <w:right w:val="nil"/>
            </w:tcBorders>
            <w:tcMar>
              <w:top w:w="45" w:type="dxa"/>
              <w:left w:w="45" w:type="dxa"/>
              <w:bottom w:w="45" w:type="dxa"/>
              <w:right w:w="45" w:type="dxa"/>
            </w:tcMar>
            <w:vAlign w:val="center"/>
          </w:tcPr>
          <w:p w14:paraId="4AE683A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38 RIF vs. 30 controls</w:t>
            </w:r>
          </w:p>
        </w:tc>
        <w:tc>
          <w:tcPr>
            <w:tcW w:w="1787" w:type="dxa"/>
            <w:tcBorders>
              <w:top w:val="nil"/>
              <w:left w:val="nil"/>
              <w:bottom w:val="nil"/>
              <w:right w:val="nil"/>
            </w:tcBorders>
            <w:tcMar>
              <w:top w:w="45" w:type="dxa"/>
              <w:left w:w="45" w:type="dxa"/>
              <w:bottom w:w="45" w:type="dxa"/>
              <w:right w:w="45" w:type="dxa"/>
            </w:tcMar>
            <w:vAlign w:val="center"/>
          </w:tcPr>
          <w:p w14:paraId="0856833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Elevated OXTR, ACTG2 (contractility); reduced VEGFA, ANGPT1 (vascularity); elevated IL1B, TNFα (inflammation)</w:t>
            </w:r>
          </w:p>
        </w:tc>
        <w:tc>
          <w:tcPr>
            <w:tcW w:w="2411" w:type="dxa"/>
            <w:tcBorders>
              <w:top w:val="nil"/>
              <w:left w:val="nil"/>
              <w:bottom w:val="nil"/>
              <w:right w:val="nil"/>
            </w:tcBorders>
            <w:tcMar>
              <w:top w:w="45" w:type="dxa"/>
              <w:left w:w="45" w:type="dxa"/>
              <w:bottom w:w="45" w:type="dxa"/>
              <w:right w:w="45" w:type="dxa"/>
            </w:tcMar>
            <w:vAlign w:val="center"/>
          </w:tcPr>
          <w:p w14:paraId="79F519D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Three-pathway RIF model (contraction/vascularity/inflammation) for targeted pharmacotherapy selection</w:t>
            </w:r>
          </w:p>
        </w:tc>
        <w:tc>
          <w:tcPr>
            <w:tcW w:w="1738" w:type="dxa"/>
            <w:tcBorders>
              <w:top w:val="nil"/>
              <w:left w:val="nil"/>
              <w:bottom w:val="nil"/>
              <w:right w:val="nil"/>
            </w:tcBorders>
            <w:tcMar>
              <w:top w:w="45" w:type="dxa"/>
              <w:left w:w="45" w:type="dxa"/>
              <w:bottom w:w="45" w:type="dxa"/>
              <w:right w:w="45" w:type="dxa"/>
            </w:tcMar>
            <w:vAlign w:val="center"/>
          </w:tcPr>
          <w:p w14:paraId="4AEC474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RNA-seq; RT-qPCR validation; pathway-specific analysis</w:t>
            </w:r>
          </w:p>
        </w:tc>
        <w:tc>
          <w:tcPr>
            <w:tcW w:w="1364" w:type="dxa"/>
            <w:tcBorders>
              <w:top w:val="nil"/>
              <w:left w:val="nil"/>
              <w:bottom w:val="nil"/>
              <w:right w:val="nil"/>
            </w:tcBorders>
            <w:tcMar>
              <w:top w:w="45" w:type="dxa"/>
              <w:left w:w="45" w:type="dxa"/>
              <w:bottom w:w="45" w:type="dxa"/>
              <w:right w:w="45" w:type="dxa"/>
            </w:tcMar>
            <w:vAlign w:val="center"/>
          </w:tcPr>
          <w:p w14:paraId="657785C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Multi-pathway analysis; RT-qPCR validation of key genes</w:t>
            </w:r>
          </w:p>
        </w:tc>
        <w:tc>
          <w:tcPr>
            <w:tcW w:w="1380" w:type="dxa"/>
            <w:tcBorders>
              <w:top w:val="nil"/>
              <w:left w:val="nil"/>
              <w:bottom w:val="nil"/>
              <w:right w:val="nil"/>
            </w:tcBorders>
            <w:tcMar>
              <w:top w:w="45" w:type="dxa"/>
              <w:left w:w="45" w:type="dxa"/>
              <w:bottom w:w="45" w:type="dxa"/>
              <w:right w:w="45" w:type="dxa"/>
            </w:tcMar>
            <w:vAlign w:val="center"/>
          </w:tcPr>
          <w:p w14:paraId="3553D6F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Single </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 retrospective design</w:t>
            </w:r>
          </w:p>
        </w:tc>
      </w:tr>
      <w:tr w:rsidR="00D7116D" w:rsidRPr="00D578DF" w14:paraId="5305F797"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7B05DC38"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Lai ZZ et al., 2022 [22]</w:t>
            </w:r>
          </w:p>
        </w:tc>
        <w:tc>
          <w:tcPr>
            <w:tcW w:w="1114" w:type="dxa"/>
            <w:tcBorders>
              <w:top w:val="nil"/>
              <w:left w:val="nil"/>
              <w:bottom w:val="nil"/>
              <w:right w:val="nil"/>
            </w:tcBorders>
            <w:tcMar>
              <w:top w:w="45" w:type="dxa"/>
              <w:left w:w="45" w:type="dxa"/>
              <w:bottom w:w="45" w:type="dxa"/>
              <w:right w:w="45" w:type="dxa"/>
            </w:tcMar>
            <w:vAlign w:val="center"/>
          </w:tcPr>
          <w:p w14:paraId="2ADE460F"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Theranostics</w:t>
            </w:r>
            <w:proofErr w:type="spellEnd"/>
          </w:p>
        </w:tc>
        <w:tc>
          <w:tcPr>
            <w:tcW w:w="1189" w:type="dxa"/>
            <w:tcBorders>
              <w:top w:val="nil"/>
              <w:left w:val="nil"/>
              <w:bottom w:val="nil"/>
              <w:right w:val="nil"/>
            </w:tcBorders>
            <w:tcMar>
              <w:top w:w="45" w:type="dxa"/>
              <w:left w:w="45" w:type="dxa"/>
              <w:bottom w:w="45" w:type="dxa"/>
              <w:right w:w="45" w:type="dxa"/>
            </w:tcMar>
            <w:vAlign w:val="center"/>
          </w:tcPr>
          <w:p w14:paraId="2C326EB7"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-seq</w:t>
            </w:r>
          </w:p>
        </w:tc>
        <w:tc>
          <w:tcPr>
            <w:tcW w:w="1055" w:type="dxa"/>
            <w:tcBorders>
              <w:top w:val="nil"/>
              <w:left w:val="nil"/>
              <w:bottom w:val="nil"/>
              <w:right w:val="nil"/>
            </w:tcBorders>
            <w:tcMar>
              <w:top w:w="45" w:type="dxa"/>
              <w:left w:w="45" w:type="dxa"/>
              <w:bottom w:w="45" w:type="dxa"/>
              <w:right w:w="45" w:type="dxa"/>
            </w:tcMar>
            <w:vAlign w:val="center"/>
          </w:tcPr>
          <w:p w14:paraId="25CE1DF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28 RIF vs. 20 controls</w:t>
            </w:r>
          </w:p>
        </w:tc>
        <w:tc>
          <w:tcPr>
            <w:tcW w:w="1787" w:type="dxa"/>
            <w:tcBorders>
              <w:top w:val="nil"/>
              <w:left w:val="nil"/>
              <w:bottom w:val="nil"/>
              <w:right w:val="nil"/>
            </w:tcBorders>
            <w:tcMar>
              <w:top w:w="45" w:type="dxa"/>
              <w:left w:w="45" w:type="dxa"/>
              <w:bottom w:w="45" w:type="dxa"/>
              <w:right w:w="45" w:type="dxa"/>
            </w:tcMar>
            <w:vAlign w:val="center"/>
          </w:tcPr>
          <w:p w14:paraId="6F60BBD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7 endometrial cell clusters; RIF: proliferative epithelial ↓, inflammatory macrophage ↑; PTGDS+ stromal subpopulation absent</w:t>
            </w:r>
          </w:p>
        </w:tc>
        <w:tc>
          <w:tcPr>
            <w:tcW w:w="2411" w:type="dxa"/>
            <w:tcBorders>
              <w:top w:val="nil"/>
              <w:left w:val="nil"/>
              <w:bottom w:val="nil"/>
              <w:right w:val="nil"/>
            </w:tcBorders>
            <w:tcMar>
              <w:top w:w="45" w:type="dxa"/>
              <w:left w:w="45" w:type="dxa"/>
              <w:bottom w:w="45" w:type="dxa"/>
              <w:right w:w="45" w:type="dxa"/>
            </w:tcMar>
            <w:vAlign w:val="center"/>
          </w:tcPr>
          <w:p w14:paraId="6D12ED8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Novel PTGDS+ stromal cell loss as cellular marker of RIF; cell-specific restoration targets</w:t>
            </w:r>
          </w:p>
        </w:tc>
        <w:tc>
          <w:tcPr>
            <w:tcW w:w="1738" w:type="dxa"/>
            <w:tcBorders>
              <w:top w:val="nil"/>
              <w:left w:val="nil"/>
              <w:bottom w:val="nil"/>
              <w:right w:val="nil"/>
            </w:tcBorders>
            <w:tcMar>
              <w:top w:w="45" w:type="dxa"/>
              <w:left w:w="45" w:type="dxa"/>
              <w:bottom w:w="45" w:type="dxa"/>
              <w:right w:w="45" w:type="dxa"/>
            </w:tcMar>
            <w:vAlign w:val="center"/>
          </w:tcPr>
          <w:p w14:paraId="0A2F971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10X Chromium </w:t>
            </w: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 xml:space="preserve">-seq; </w:t>
            </w:r>
            <w:proofErr w:type="spellStart"/>
            <w:r w:rsidRPr="00D578DF">
              <w:rPr>
                <w:rFonts w:ascii="Times New Roman" w:eastAsia="Calibri" w:hAnsi="Times New Roman" w:cs="Times New Roman"/>
                <w:color w:val="000000" w:themeColor="text1"/>
                <w:sz w:val="20"/>
                <w:szCs w:val="20"/>
              </w:rPr>
              <w:t>pseudotime</w:t>
            </w:r>
            <w:proofErr w:type="spellEnd"/>
            <w:r w:rsidRPr="00D578DF">
              <w:rPr>
                <w:rFonts w:ascii="Times New Roman" w:eastAsia="Calibri" w:hAnsi="Times New Roman" w:cs="Times New Roman"/>
                <w:color w:val="000000" w:themeColor="text1"/>
                <w:sz w:val="20"/>
                <w:szCs w:val="20"/>
              </w:rPr>
              <w:t xml:space="preserve"> analysis</w:t>
            </w:r>
          </w:p>
        </w:tc>
        <w:tc>
          <w:tcPr>
            <w:tcW w:w="1364" w:type="dxa"/>
            <w:tcBorders>
              <w:top w:val="nil"/>
              <w:left w:val="nil"/>
              <w:bottom w:val="nil"/>
              <w:right w:val="nil"/>
            </w:tcBorders>
            <w:tcMar>
              <w:top w:w="45" w:type="dxa"/>
              <w:left w:w="45" w:type="dxa"/>
              <w:bottom w:w="45" w:type="dxa"/>
              <w:right w:w="45" w:type="dxa"/>
            </w:tcMar>
            <w:vAlign w:val="center"/>
          </w:tcPr>
          <w:p w14:paraId="5EC3D34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High cellular resolution; </w:t>
            </w:r>
            <w:proofErr w:type="spellStart"/>
            <w:r w:rsidRPr="00D578DF">
              <w:rPr>
                <w:rFonts w:ascii="Times New Roman" w:eastAsia="Calibri" w:hAnsi="Times New Roman" w:cs="Times New Roman"/>
                <w:color w:val="000000" w:themeColor="text1"/>
                <w:sz w:val="20"/>
                <w:szCs w:val="20"/>
              </w:rPr>
              <w:t>pseudotime</w:t>
            </w:r>
            <w:proofErr w:type="spellEnd"/>
            <w:r w:rsidRPr="00D578DF">
              <w:rPr>
                <w:rFonts w:ascii="Times New Roman" w:eastAsia="Calibri" w:hAnsi="Times New Roman" w:cs="Times New Roman"/>
                <w:color w:val="000000" w:themeColor="text1"/>
                <w:sz w:val="20"/>
                <w:szCs w:val="20"/>
              </w:rPr>
              <w:t xml:space="preserve"> analysis; novel epithelial subclusters</w:t>
            </w:r>
          </w:p>
        </w:tc>
        <w:tc>
          <w:tcPr>
            <w:tcW w:w="1380" w:type="dxa"/>
            <w:tcBorders>
              <w:top w:val="nil"/>
              <w:left w:val="nil"/>
              <w:bottom w:val="nil"/>
              <w:right w:val="nil"/>
            </w:tcBorders>
            <w:tcMar>
              <w:top w:w="45" w:type="dxa"/>
              <w:left w:w="45" w:type="dxa"/>
              <w:bottom w:w="45" w:type="dxa"/>
              <w:right w:w="45" w:type="dxa"/>
            </w:tcMar>
            <w:vAlign w:val="center"/>
          </w:tcPr>
          <w:p w14:paraId="198D0BA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Moderate N; biopsy processing variability</w:t>
            </w:r>
          </w:p>
        </w:tc>
      </w:tr>
      <w:tr w:rsidR="00D7116D" w:rsidRPr="00D578DF" w14:paraId="10BCFE1E"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26F82C7B"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He A et al., 2023 [83]</w:t>
            </w:r>
          </w:p>
        </w:tc>
        <w:tc>
          <w:tcPr>
            <w:tcW w:w="1114" w:type="dxa"/>
            <w:tcBorders>
              <w:top w:val="nil"/>
              <w:left w:val="nil"/>
              <w:bottom w:val="nil"/>
              <w:right w:val="nil"/>
            </w:tcBorders>
            <w:tcMar>
              <w:top w:w="45" w:type="dxa"/>
              <w:left w:w="45" w:type="dxa"/>
              <w:bottom w:w="45" w:type="dxa"/>
              <w:right w:w="45" w:type="dxa"/>
            </w:tcMar>
            <w:vAlign w:val="center"/>
          </w:tcPr>
          <w:p w14:paraId="19CF2F3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Biology and Endocrinology</w:t>
            </w:r>
          </w:p>
        </w:tc>
        <w:tc>
          <w:tcPr>
            <w:tcW w:w="1189" w:type="dxa"/>
            <w:tcBorders>
              <w:top w:val="nil"/>
              <w:left w:val="nil"/>
              <w:bottom w:val="nil"/>
              <w:right w:val="nil"/>
            </w:tcBorders>
            <w:tcMar>
              <w:top w:w="45" w:type="dxa"/>
              <w:left w:w="45" w:type="dxa"/>
              <w:bottom w:w="45" w:type="dxa"/>
              <w:right w:w="45" w:type="dxa"/>
            </w:tcMar>
            <w:vAlign w:val="center"/>
          </w:tcPr>
          <w:p w14:paraId="3C543F1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Proof-of-concept</w:t>
            </w:r>
          </w:p>
        </w:tc>
        <w:tc>
          <w:tcPr>
            <w:tcW w:w="1055" w:type="dxa"/>
            <w:tcBorders>
              <w:top w:val="nil"/>
              <w:left w:val="nil"/>
              <w:bottom w:val="nil"/>
              <w:right w:val="nil"/>
            </w:tcBorders>
            <w:tcMar>
              <w:top w:w="45" w:type="dxa"/>
              <w:left w:w="45" w:type="dxa"/>
              <w:bottom w:w="45" w:type="dxa"/>
              <w:right w:w="45" w:type="dxa"/>
            </w:tcMar>
            <w:vAlign w:val="center"/>
          </w:tcPr>
          <w:p w14:paraId="0704CF2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22 uterine fluid + matched biopsies</w:t>
            </w:r>
          </w:p>
        </w:tc>
        <w:tc>
          <w:tcPr>
            <w:tcW w:w="1787" w:type="dxa"/>
            <w:tcBorders>
              <w:top w:val="nil"/>
              <w:left w:val="nil"/>
              <w:bottom w:val="nil"/>
              <w:right w:val="nil"/>
            </w:tcBorders>
            <w:tcMar>
              <w:top w:w="45" w:type="dxa"/>
              <w:left w:w="45" w:type="dxa"/>
              <w:bottom w:w="45" w:type="dxa"/>
              <w:right w:w="45" w:type="dxa"/>
            </w:tcMar>
            <w:vAlign w:val="center"/>
          </w:tcPr>
          <w:p w14:paraId="5E8B48A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Uterine fluid transcriptome 78% concordant with endometrial tissue; LIF, CXCL14, MUC1 concordant biomarkers</w:t>
            </w:r>
          </w:p>
        </w:tc>
        <w:tc>
          <w:tcPr>
            <w:tcW w:w="2411" w:type="dxa"/>
            <w:tcBorders>
              <w:top w:val="nil"/>
              <w:left w:val="nil"/>
              <w:bottom w:val="nil"/>
              <w:right w:val="nil"/>
            </w:tcBorders>
            <w:tcMar>
              <w:top w:w="45" w:type="dxa"/>
              <w:left w:w="45" w:type="dxa"/>
              <w:bottom w:w="45" w:type="dxa"/>
              <w:right w:w="45" w:type="dxa"/>
            </w:tcMar>
            <w:vAlign w:val="center"/>
          </w:tcPr>
          <w:p w14:paraId="206E3D4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Uterine fluid aspiration as a non-invasive alternative to biopsy for WOI transcriptomic assessment</w:t>
            </w:r>
          </w:p>
        </w:tc>
        <w:tc>
          <w:tcPr>
            <w:tcW w:w="1738" w:type="dxa"/>
            <w:tcBorders>
              <w:top w:val="nil"/>
              <w:left w:val="nil"/>
              <w:bottom w:val="nil"/>
              <w:right w:val="nil"/>
            </w:tcBorders>
            <w:tcMar>
              <w:top w:w="45" w:type="dxa"/>
              <w:left w:w="45" w:type="dxa"/>
              <w:bottom w:w="45" w:type="dxa"/>
              <w:right w:w="45" w:type="dxa"/>
            </w:tcMar>
            <w:vAlign w:val="center"/>
          </w:tcPr>
          <w:p w14:paraId="403293A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Uterine fluid RNA-seq; tissue concordance analysis</w:t>
            </w:r>
          </w:p>
        </w:tc>
        <w:tc>
          <w:tcPr>
            <w:tcW w:w="1364" w:type="dxa"/>
            <w:tcBorders>
              <w:top w:val="nil"/>
              <w:left w:val="nil"/>
              <w:bottom w:val="nil"/>
              <w:right w:val="nil"/>
            </w:tcBorders>
            <w:tcMar>
              <w:top w:w="45" w:type="dxa"/>
              <w:left w:w="45" w:type="dxa"/>
              <w:bottom w:w="45" w:type="dxa"/>
              <w:right w:w="45" w:type="dxa"/>
            </w:tcMar>
            <w:vAlign w:val="center"/>
          </w:tcPr>
          <w:p w14:paraId="6F566D7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Non-invasive concept validation; concordance analysis; clinical translational value</w:t>
            </w:r>
          </w:p>
        </w:tc>
        <w:tc>
          <w:tcPr>
            <w:tcW w:w="1380" w:type="dxa"/>
            <w:tcBorders>
              <w:top w:val="nil"/>
              <w:left w:val="nil"/>
              <w:bottom w:val="nil"/>
              <w:right w:val="nil"/>
            </w:tcBorders>
            <w:tcMar>
              <w:top w:w="45" w:type="dxa"/>
              <w:left w:w="45" w:type="dxa"/>
              <w:bottom w:w="45" w:type="dxa"/>
              <w:right w:w="45" w:type="dxa"/>
            </w:tcMar>
            <w:vAlign w:val="center"/>
          </w:tcPr>
          <w:p w14:paraId="61B2503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Small N; proof-of-concept only; prospective validation needed</w:t>
            </w:r>
          </w:p>
        </w:tc>
      </w:tr>
      <w:tr w:rsidR="00D7116D" w:rsidRPr="00D578DF" w14:paraId="07F2538A"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D6D8317"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Bui BN et al., 2024 [63]</w:t>
            </w:r>
          </w:p>
        </w:tc>
        <w:tc>
          <w:tcPr>
            <w:tcW w:w="1114" w:type="dxa"/>
            <w:tcBorders>
              <w:top w:val="nil"/>
              <w:left w:val="nil"/>
              <w:bottom w:val="nil"/>
              <w:right w:val="nil"/>
            </w:tcBorders>
            <w:tcMar>
              <w:top w:w="45" w:type="dxa"/>
              <w:left w:w="45" w:type="dxa"/>
              <w:bottom w:w="45" w:type="dxa"/>
              <w:right w:w="45" w:type="dxa"/>
            </w:tcMar>
            <w:vAlign w:val="center"/>
          </w:tcPr>
          <w:p w14:paraId="2D4ADA0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Acta </w:t>
            </w:r>
            <w:proofErr w:type="spellStart"/>
            <w:r w:rsidRPr="00D578DF">
              <w:rPr>
                <w:rFonts w:ascii="Times New Roman" w:eastAsia="Calibri" w:hAnsi="Times New Roman" w:cs="Times New Roman"/>
                <w:color w:val="000000" w:themeColor="text1"/>
                <w:sz w:val="20"/>
                <w:szCs w:val="20"/>
              </w:rPr>
              <w:t>Obstetricia</w:t>
            </w:r>
            <w:proofErr w:type="spellEnd"/>
            <w:r w:rsidRPr="00D578DF">
              <w:rPr>
                <w:rFonts w:ascii="Times New Roman" w:eastAsia="Calibri" w:hAnsi="Times New Roman" w:cs="Times New Roman"/>
                <w:color w:val="000000" w:themeColor="text1"/>
                <w:sz w:val="20"/>
                <w:szCs w:val="20"/>
              </w:rPr>
              <w:t xml:space="preserve"> et </w:t>
            </w:r>
            <w:proofErr w:type="spellStart"/>
            <w:r w:rsidRPr="00D578DF">
              <w:rPr>
                <w:rFonts w:ascii="Times New Roman" w:eastAsia="Calibri" w:hAnsi="Times New Roman" w:cs="Times New Roman"/>
                <w:color w:val="000000" w:themeColor="text1"/>
                <w:sz w:val="20"/>
                <w:szCs w:val="20"/>
              </w:rPr>
              <w:t>Gynecologica</w:t>
            </w:r>
            <w:proofErr w:type="spellEnd"/>
            <w:r w:rsidRPr="00D578DF">
              <w:rPr>
                <w:rFonts w:ascii="Times New Roman" w:eastAsia="Calibri" w:hAnsi="Times New Roman" w:cs="Times New Roman"/>
                <w:color w:val="000000" w:themeColor="text1"/>
                <w:sz w:val="20"/>
                <w:szCs w:val="20"/>
              </w:rPr>
              <w:t xml:space="preserve"> Scandinavica</w:t>
            </w:r>
          </w:p>
        </w:tc>
        <w:tc>
          <w:tcPr>
            <w:tcW w:w="1189" w:type="dxa"/>
            <w:tcBorders>
              <w:top w:val="nil"/>
              <w:left w:val="nil"/>
              <w:bottom w:val="nil"/>
              <w:right w:val="nil"/>
            </w:tcBorders>
            <w:tcMar>
              <w:top w:w="45" w:type="dxa"/>
              <w:left w:w="45" w:type="dxa"/>
              <w:bottom w:w="45" w:type="dxa"/>
              <w:right w:w="45" w:type="dxa"/>
            </w:tcMar>
            <w:vAlign w:val="center"/>
          </w:tcPr>
          <w:p w14:paraId="2B9C169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Prospective cohort</w:t>
            </w:r>
          </w:p>
        </w:tc>
        <w:tc>
          <w:tcPr>
            <w:tcW w:w="1055" w:type="dxa"/>
            <w:tcBorders>
              <w:top w:val="nil"/>
              <w:left w:val="nil"/>
              <w:bottom w:val="nil"/>
              <w:right w:val="nil"/>
            </w:tcBorders>
            <w:tcMar>
              <w:top w:w="45" w:type="dxa"/>
              <w:left w:w="45" w:type="dxa"/>
              <w:bottom w:w="45" w:type="dxa"/>
              <w:right w:w="45" w:type="dxa"/>
            </w:tcMar>
            <w:vAlign w:val="center"/>
          </w:tcPr>
          <w:p w14:paraId="1E1C627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60 women with IVF outcome</w:t>
            </w:r>
          </w:p>
        </w:tc>
        <w:tc>
          <w:tcPr>
            <w:tcW w:w="1787" w:type="dxa"/>
            <w:tcBorders>
              <w:top w:val="nil"/>
              <w:left w:val="nil"/>
              <w:bottom w:val="nil"/>
              <w:right w:val="nil"/>
            </w:tcBorders>
            <w:tcMar>
              <w:top w:w="45" w:type="dxa"/>
              <w:left w:w="45" w:type="dxa"/>
              <w:bottom w:w="45" w:type="dxa"/>
              <w:right w:w="45" w:type="dxa"/>
            </w:tcMar>
            <w:vAlign w:val="center"/>
          </w:tcPr>
          <w:p w14:paraId="41FA82D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12-gene predictive signature (PAEP, LEFTY2, LIF, WNT4, MAOA, among others); AUC 0.81 for clinical pregnancy</w:t>
            </w:r>
          </w:p>
        </w:tc>
        <w:tc>
          <w:tcPr>
            <w:tcW w:w="2411" w:type="dxa"/>
            <w:tcBorders>
              <w:top w:val="nil"/>
              <w:left w:val="nil"/>
              <w:bottom w:val="nil"/>
              <w:right w:val="nil"/>
            </w:tcBorders>
            <w:tcMar>
              <w:top w:w="45" w:type="dxa"/>
              <w:left w:w="45" w:type="dxa"/>
              <w:bottom w:w="45" w:type="dxa"/>
              <w:right w:w="45" w:type="dxa"/>
            </w:tcMar>
            <w:vAlign w:val="center"/>
          </w:tcPr>
          <w:p w14:paraId="427A458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12-gene predictive transcriptomic panel for </w:t>
            </w:r>
            <w:proofErr w:type="spellStart"/>
            <w:r w:rsidRPr="00D578DF">
              <w:rPr>
                <w:rFonts w:ascii="Times New Roman" w:eastAsia="Calibri" w:hAnsi="Times New Roman" w:cs="Times New Roman"/>
                <w:color w:val="000000" w:themeColor="text1"/>
                <w:sz w:val="20"/>
                <w:szCs w:val="20"/>
              </w:rPr>
              <w:t>personalised</w:t>
            </w:r>
            <w:proofErr w:type="spellEnd"/>
            <w:r w:rsidRPr="00D578DF">
              <w:rPr>
                <w:rFonts w:ascii="Times New Roman" w:eastAsia="Calibri" w:hAnsi="Times New Roman" w:cs="Times New Roman"/>
                <w:color w:val="000000" w:themeColor="text1"/>
                <w:sz w:val="20"/>
                <w:szCs w:val="20"/>
              </w:rPr>
              <w:t xml:space="preserve"> IVF counselling and embryo transfer timing</w:t>
            </w:r>
          </w:p>
        </w:tc>
        <w:tc>
          <w:tcPr>
            <w:tcW w:w="1738" w:type="dxa"/>
            <w:tcBorders>
              <w:top w:val="nil"/>
              <w:left w:val="nil"/>
              <w:bottom w:val="nil"/>
              <w:right w:val="nil"/>
            </w:tcBorders>
            <w:tcMar>
              <w:top w:w="45" w:type="dxa"/>
              <w:left w:w="45" w:type="dxa"/>
              <w:bottom w:w="45" w:type="dxa"/>
              <w:right w:w="45" w:type="dxa"/>
            </w:tcMar>
            <w:vAlign w:val="center"/>
          </w:tcPr>
          <w:p w14:paraId="67C91FB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RNA-seq; prospective IVF outcome correlation</w:t>
            </w:r>
          </w:p>
        </w:tc>
        <w:tc>
          <w:tcPr>
            <w:tcW w:w="1364" w:type="dxa"/>
            <w:tcBorders>
              <w:top w:val="nil"/>
              <w:left w:val="nil"/>
              <w:bottom w:val="nil"/>
              <w:right w:val="nil"/>
            </w:tcBorders>
            <w:tcMar>
              <w:top w:w="45" w:type="dxa"/>
              <w:left w:w="45" w:type="dxa"/>
              <w:bottom w:w="45" w:type="dxa"/>
              <w:right w:w="45" w:type="dxa"/>
            </w:tcMar>
            <w:vAlign w:val="center"/>
          </w:tcPr>
          <w:p w14:paraId="29D2454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Prospective design; clinical outcome data; AOGS journal</w:t>
            </w:r>
          </w:p>
        </w:tc>
        <w:tc>
          <w:tcPr>
            <w:tcW w:w="1380" w:type="dxa"/>
            <w:tcBorders>
              <w:top w:val="nil"/>
              <w:left w:val="nil"/>
              <w:bottom w:val="nil"/>
              <w:right w:val="nil"/>
            </w:tcBorders>
            <w:tcMar>
              <w:top w:w="45" w:type="dxa"/>
              <w:left w:w="45" w:type="dxa"/>
              <w:bottom w:w="45" w:type="dxa"/>
              <w:right w:w="45" w:type="dxa"/>
            </w:tcMar>
            <w:vAlign w:val="center"/>
          </w:tcPr>
          <w:p w14:paraId="02B8D5E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Moderate N; confounders (embryo quality) partially controlled</w:t>
            </w:r>
          </w:p>
        </w:tc>
      </w:tr>
      <w:tr w:rsidR="00D7116D" w:rsidRPr="00D578DF" w14:paraId="7AF85BD9"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767B8217"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 xml:space="preserve">Segura-Benítez et </w:t>
            </w:r>
            <w:r w:rsidRPr="00D578DF">
              <w:rPr>
                <w:rFonts w:ascii="Times New Roman" w:hAnsi="Times New Roman" w:cs="Times New Roman"/>
                <w:color w:val="000000"/>
                <w:sz w:val="20"/>
                <w:szCs w:val="20"/>
              </w:rPr>
              <w:lastRenderedPageBreak/>
              <w:t>al., 2023 [81]</w:t>
            </w:r>
          </w:p>
        </w:tc>
        <w:tc>
          <w:tcPr>
            <w:tcW w:w="1114" w:type="dxa"/>
            <w:tcBorders>
              <w:top w:val="nil"/>
              <w:left w:val="nil"/>
              <w:bottom w:val="nil"/>
              <w:right w:val="nil"/>
            </w:tcBorders>
            <w:tcMar>
              <w:top w:w="45" w:type="dxa"/>
              <w:left w:w="45" w:type="dxa"/>
              <w:bottom w:w="45" w:type="dxa"/>
              <w:right w:w="45" w:type="dxa"/>
            </w:tcMar>
            <w:vAlign w:val="center"/>
          </w:tcPr>
          <w:p w14:paraId="7B3A9C9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Human Reproduction</w:t>
            </w:r>
          </w:p>
        </w:tc>
        <w:tc>
          <w:tcPr>
            <w:tcW w:w="1189" w:type="dxa"/>
            <w:tcBorders>
              <w:top w:val="nil"/>
              <w:left w:val="nil"/>
              <w:bottom w:val="nil"/>
              <w:right w:val="nil"/>
            </w:tcBorders>
            <w:tcMar>
              <w:top w:w="45" w:type="dxa"/>
              <w:left w:w="45" w:type="dxa"/>
              <w:bottom w:w="45" w:type="dxa"/>
              <w:right w:w="45" w:type="dxa"/>
            </w:tcMar>
            <w:vAlign w:val="center"/>
          </w:tcPr>
          <w:p w14:paraId="12961B4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 vitro (EV-blastocyst)</w:t>
            </w:r>
          </w:p>
        </w:tc>
        <w:tc>
          <w:tcPr>
            <w:tcW w:w="1055" w:type="dxa"/>
            <w:tcBorders>
              <w:top w:val="nil"/>
              <w:left w:val="nil"/>
              <w:bottom w:val="nil"/>
              <w:right w:val="nil"/>
            </w:tcBorders>
            <w:tcMar>
              <w:top w:w="45" w:type="dxa"/>
              <w:left w:w="45" w:type="dxa"/>
              <w:bottom w:w="45" w:type="dxa"/>
              <w:right w:w="45" w:type="dxa"/>
            </w:tcMar>
            <w:vAlign w:val="center"/>
          </w:tcPr>
          <w:p w14:paraId="23A2601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In vitro (primary </w:t>
            </w:r>
            <w:r w:rsidRPr="00D578DF">
              <w:rPr>
                <w:rFonts w:ascii="Times New Roman" w:eastAsia="Calibri" w:hAnsi="Times New Roman" w:cs="Times New Roman"/>
                <w:color w:val="000000" w:themeColor="text1"/>
                <w:sz w:val="20"/>
                <w:szCs w:val="20"/>
              </w:rPr>
              <w:lastRenderedPageBreak/>
              <w:t>cultures + blastocysts)</w:t>
            </w:r>
          </w:p>
        </w:tc>
        <w:tc>
          <w:tcPr>
            <w:tcW w:w="1787" w:type="dxa"/>
            <w:tcBorders>
              <w:top w:val="nil"/>
              <w:left w:val="nil"/>
              <w:bottom w:val="nil"/>
              <w:right w:val="nil"/>
            </w:tcBorders>
            <w:tcMar>
              <w:top w:w="45" w:type="dxa"/>
              <w:left w:w="45" w:type="dxa"/>
              <w:bottom w:w="45" w:type="dxa"/>
              <w:right w:w="45" w:type="dxa"/>
            </w:tcMar>
            <w:vAlign w:val="center"/>
          </w:tcPr>
          <w:p w14:paraId="274C592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Blastocysts incorporate endometrial EV cargo (miR-30a, </w:t>
            </w:r>
            <w:r w:rsidRPr="00D578DF">
              <w:rPr>
                <w:rFonts w:ascii="Times New Roman" w:eastAsia="Calibri" w:hAnsi="Times New Roman" w:cs="Times New Roman"/>
                <w:color w:val="000000" w:themeColor="text1"/>
                <w:sz w:val="20"/>
                <w:szCs w:val="20"/>
              </w:rPr>
              <w:lastRenderedPageBreak/>
              <w:t>miR-30d, miR-145); miRNA transfer alters trophoblast gene expression</w:t>
            </w:r>
          </w:p>
        </w:tc>
        <w:tc>
          <w:tcPr>
            <w:tcW w:w="2411" w:type="dxa"/>
            <w:tcBorders>
              <w:top w:val="nil"/>
              <w:left w:val="nil"/>
              <w:bottom w:val="nil"/>
              <w:right w:val="nil"/>
            </w:tcBorders>
            <w:tcMar>
              <w:top w:w="45" w:type="dxa"/>
              <w:left w:w="45" w:type="dxa"/>
              <w:bottom w:w="45" w:type="dxa"/>
              <w:right w:w="45" w:type="dxa"/>
            </w:tcMar>
            <w:vAlign w:val="center"/>
          </w:tcPr>
          <w:p w14:paraId="3703D82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Endometrial-to-blastocyst miRNA communication as molecular basis for EV-</w:t>
            </w:r>
            <w:r w:rsidRPr="00D578DF">
              <w:rPr>
                <w:rFonts w:ascii="Times New Roman" w:eastAsia="Calibri" w:hAnsi="Times New Roman" w:cs="Times New Roman"/>
                <w:color w:val="000000" w:themeColor="text1"/>
                <w:sz w:val="20"/>
                <w:szCs w:val="20"/>
              </w:rPr>
              <w:lastRenderedPageBreak/>
              <w:t>based embryo priming therapies</w:t>
            </w:r>
          </w:p>
        </w:tc>
        <w:tc>
          <w:tcPr>
            <w:tcW w:w="1738" w:type="dxa"/>
            <w:tcBorders>
              <w:top w:val="nil"/>
              <w:left w:val="nil"/>
              <w:bottom w:val="nil"/>
              <w:right w:val="nil"/>
            </w:tcBorders>
            <w:tcMar>
              <w:top w:w="45" w:type="dxa"/>
              <w:left w:w="45" w:type="dxa"/>
              <w:bottom w:w="45" w:type="dxa"/>
              <w:right w:w="45" w:type="dxa"/>
            </w:tcMar>
            <w:vAlign w:val="center"/>
          </w:tcPr>
          <w:p w14:paraId="2987F42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EV isolation; miRNA-seq; live </w:t>
            </w:r>
            <w:r w:rsidRPr="00D578DF">
              <w:rPr>
                <w:rFonts w:ascii="Times New Roman" w:eastAsia="Calibri" w:hAnsi="Times New Roman" w:cs="Times New Roman"/>
                <w:color w:val="000000" w:themeColor="text1"/>
                <w:sz w:val="20"/>
                <w:szCs w:val="20"/>
              </w:rPr>
              <w:lastRenderedPageBreak/>
              <w:t>blastocyst uptake assay</w:t>
            </w:r>
          </w:p>
        </w:tc>
        <w:tc>
          <w:tcPr>
            <w:tcW w:w="1364" w:type="dxa"/>
            <w:tcBorders>
              <w:top w:val="nil"/>
              <w:left w:val="nil"/>
              <w:bottom w:val="nil"/>
              <w:right w:val="nil"/>
            </w:tcBorders>
            <w:tcMar>
              <w:top w:w="45" w:type="dxa"/>
              <w:left w:w="45" w:type="dxa"/>
              <w:bottom w:w="45" w:type="dxa"/>
              <w:right w:w="45" w:type="dxa"/>
            </w:tcMar>
            <w:vAlign w:val="center"/>
          </w:tcPr>
          <w:p w14:paraId="5FAD9D6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Novel cross-talk mechanism; Human </w:t>
            </w:r>
            <w:r w:rsidRPr="00D578DF">
              <w:rPr>
                <w:rFonts w:ascii="Times New Roman" w:eastAsia="Calibri" w:hAnsi="Times New Roman" w:cs="Times New Roman"/>
                <w:color w:val="000000" w:themeColor="text1"/>
                <w:sz w:val="20"/>
                <w:szCs w:val="20"/>
              </w:rPr>
              <w:lastRenderedPageBreak/>
              <w:t>Reproduction; direct blastocyst-EV interaction shown</w:t>
            </w:r>
          </w:p>
        </w:tc>
        <w:tc>
          <w:tcPr>
            <w:tcW w:w="1380" w:type="dxa"/>
            <w:tcBorders>
              <w:top w:val="nil"/>
              <w:left w:val="nil"/>
              <w:bottom w:val="nil"/>
              <w:right w:val="nil"/>
            </w:tcBorders>
            <w:tcMar>
              <w:top w:w="45" w:type="dxa"/>
              <w:left w:w="45" w:type="dxa"/>
              <w:bottom w:w="45" w:type="dxa"/>
              <w:right w:w="45" w:type="dxa"/>
            </w:tcMar>
            <w:vAlign w:val="center"/>
          </w:tcPr>
          <w:p w14:paraId="227B9B0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In vitro model; clinical </w:t>
            </w:r>
            <w:r w:rsidRPr="00D578DF">
              <w:rPr>
                <w:rFonts w:ascii="Times New Roman" w:eastAsia="Calibri" w:hAnsi="Times New Roman" w:cs="Times New Roman"/>
                <w:color w:val="000000" w:themeColor="text1"/>
                <w:sz w:val="20"/>
                <w:szCs w:val="20"/>
              </w:rPr>
              <w:lastRenderedPageBreak/>
              <w:t>relevance indirect</w:t>
            </w:r>
          </w:p>
        </w:tc>
      </w:tr>
      <w:tr w:rsidR="00D7116D" w:rsidRPr="00D578DF" w14:paraId="7E2B7809"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24E8860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Zhou P et al., 2024 [72]</w:t>
            </w:r>
          </w:p>
        </w:tc>
        <w:tc>
          <w:tcPr>
            <w:tcW w:w="1114" w:type="dxa"/>
            <w:tcBorders>
              <w:top w:val="nil"/>
              <w:left w:val="nil"/>
              <w:bottom w:val="nil"/>
              <w:right w:val="nil"/>
            </w:tcBorders>
            <w:tcMar>
              <w:top w:w="45" w:type="dxa"/>
              <w:left w:w="45" w:type="dxa"/>
              <w:bottom w:w="45" w:type="dxa"/>
              <w:right w:w="45" w:type="dxa"/>
            </w:tcMar>
            <w:vAlign w:val="center"/>
          </w:tcPr>
          <w:p w14:paraId="076A672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Life Medicine</w:t>
            </w:r>
          </w:p>
        </w:tc>
        <w:tc>
          <w:tcPr>
            <w:tcW w:w="1189" w:type="dxa"/>
            <w:tcBorders>
              <w:top w:val="nil"/>
              <w:left w:val="nil"/>
              <w:bottom w:val="nil"/>
              <w:right w:val="nil"/>
            </w:tcBorders>
            <w:tcMar>
              <w:top w:w="45" w:type="dxa"/>
              <w:left w:w="45" w:type="dxa"/>
              <w:bottom w:w="45" w:type="dxa"/>
              <w:right w:w="45" w:type="dxa"/>
            </w:tcMar>
            <w:vAlign w:val="center"/>
          </w:tcPr>
          <w:p w14:paraId="1803136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 + IHC</w:t>
            </w:r>
          </w:p>
        </w:tc>
        <w:tc>
          <w:tcPr>
            <w:tcW w:w="1055" w:type="dxa"/>
            <w:tcBorders>
              <w:top w:val="nil"/>
              <w:left w:val="nil"/>
              <w:bottom w:val="nil"/>
              <w:right w:val="nil"/>
            </w:tcBorders>
            <w:tcMar>
              <w:top w:w="45" w:type="dxa"/>
              <w:left w:w="45" w:type="dxa"/>
              <w:bottom w:w="45" w:type="dxa"/>
              <w:right w:w="45" w:type="dxa"/>
            </w:tcMar>
            <w:vAlign w:val="center"/>
          </w:tcPr>
          <w:p w14:paraId="490B91D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+ 30 clinical samples</w:t>
            </w:r>
          </w:p>
        </w:tc>
        <w:tc>
          <w:tcPr>
            <w:tcW w:w="1787" w:type="dxa"/>
            <w:tcBorders>
              <w:top w:val="nil"/>
              <w:left w:val="nil"/>
              <w:bottom w:val="nil"/>
              <w:right w:val="nil"/>
            </w:tcBorders>
            <w:tcMar>
              <w:top w:w="45" w:type="dxa"/>
              <w:left w:w="45" w:type="dxa"/>
              <w:bottom w:w="45" w:type="dxa"/>
              <w:right w:w="45" w:type="dxa"/>
            </w:tcMar>
            <w:vAlign w:val="center"/>
          </w:tcPr>
          <w:p w14:paraId="5BE7770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CIBERSORT: elevated M1 macrophages, CD8+ T cells; reduced Tregs and NK cells; IL6, CXCL8, TNFα upregulated</w:t>
            </w:r>
          </w:p>
        </w:tc>
        <w:tc>
          <w:tcPr>
            <w:tcW w:w="2411" w:type="dxa"/>
            <w:tcBorders>
              <w:top w:val="nil"/>
              <w:left w:val="nil"/>
              <w:bottom w:val="nil"/>
              <w:right w:val="nil"/>
            </w:tcBorders>
            <w:tcMar>
              <w:top w:w="45" w:type="dxa"/>
              <w:left w:w="45" w:type="dxa"/>
              <w:bottom w:w="45" w:type="dxa"/>
              <w:right w:w="45" w:type="dxa"/>
            </w:tcMar>
            <w:vAlign w:val="center"/>
          </w:tcPr>
          <w:p w14:paraId="59CEBDD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Immune cell rebalancing strategies (Treg induction, M2 </w:t>
            </w:r>
            <w:proofErr w:type="spellStart"/>
            <w:r w:rsidRPr="00D578DF">
              <w:rPr>
                <w:rFonts w:ascii="Times New Roman" w:eastAsia="Calibri" w:hAnsi="Times New Roman" w:cs="Times New Roman"/>
                <w:color w:val="000000" w:themeColor="text1"/>
                <w:sz w:val="20"/>
                <w:szCs w:val="20"/>
              </w:rPr>
              <w:t>polarisation</w:t>
            </w:r>
            <w:proofErr w:type="spellEnd"/>
            <w:r w:rsidRPr="00D578DF">
              <w:rPr>
                <w:rFonts w:ascii="Times New Roman" w:eastAsia="Calibri" w:hAnsi="Times New Roman" w:cs="Times New Roman"/>
                <w:color w:val="000000" w:themeColor="text1"/>
                <w:sz w:val="20"/>
                <w:szCs w:val="20"/>
              </w:rPr>
              <w:t>) as RIF therapy approach</w:t>
            </w:r>
          </w:p>
        </w:tc>
        <w:tc>
          <w:tcPr>
            <w:tcW w:w="1738" w:type="dxa"/>
            <w:tcBorders>
              <w:top w:val="nil"/>
              <w:left w:val="nil"/>
              <w:bottom w:val="nil"/>
              <w:right w:val="nil"/>
            </w:tcBorders>
            <w:tcMar>
              <w:top w:w="45" w:type="dxa"/>
              <w:left w:w="45" w:type="dxa"/>
              <w:bottom w:w="45" w:type="dxa"/>
              <w:right w:w="45" w:type="dxa"/>
            </w:tcMar>
            <w:vAlign w:val="center"/>
          </w:tcPr>
          <w:p w14:paraId="6B55703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CIBERSORT; IHC; GEO meta-analysis</w:t>
            </w:r>
          </w:p>
        </w:tc>
        <w:tc>
          <w:tcPr>
            <w:tcW w:w="1364" w:type="dxa"/>
            <w:tcBorders>
              <w:top w:val="nil"/>
              <w:left w:val="nil"/>
              <w:bottom w:val="nil"/>
              <w:right w:val="nil"/>
            </w:tcBorders>
            <w:tcMar>
              <w:top w:w="45" w:type="dxa"/>
              <w:left w:w="45" w:type="dxa"/>
              <w:bottom w:w="45" w:type="dxa"/>
              <w:right w:w="45" w:type="dxa"/>
            </w:tcMar>
            <w:vAlign w:val="center"/>
          </w:tcPr>
          <w:p w14:paraId="47BFC88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Immune deconvolution with IHC validation; multiple algorithm comparison</w:t>
            </w:r>
          </w:p>
        </w:tc>
        <w:tc>
          <w:tcPr>
            <w:tcW w:w="1380" w:type="dxa"/>
            <w:tcBorders>
              <w:top w:val="nil"/>
              <w:left w:val="nil"/>
              <w:bottom w:val="nil"/>
              <w:right w:val="nil"/>
            </w:tcBorders>
            <w:tcMar>
              <w:top w:w="45" w:type="dxa"/>
              <w:left w:w="45" w:type="dxa"/>
              <w:bottom w:w="45" w:type="dxa"/>
              <w:right w:w="45" w:type="dxa"/>
            </w:tcMar>
            <w:vAlign w:val="center"/>
          </w:tcPr>
          <w:p w14:paraId="237C99F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GEO-derived discovery; moderate validation N</w:t>
            </w:r>
          </w:p>
        </w:tc>
      </w:tr>
      <w:tr w:rsidR="00D7116D" w:rsidRPr="00D578DF" w14:paraId="4D4D68DF"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64A8F345"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Cao D et al., 2025 [20]</w:t>
            </w:r>
          </w:p>
        </w:tc>
        <w:tc>
          <w:tcPr>
            <w:tcW w:w="1114" w:type="dxa"/>
            <w:tcBorders>
              <w:top w:val="nil"/>
              <w:left w:val="nil"/>
              <w:bottom w:val="nil"/>
              <w:right w:val="nil"/>
            </w:tcBorders>
            <w:tcMar>
              <w:top w:w="45" w:type="dxa"/>
              <w:left w:w="45" w:type="dxa"/>
              <w:bottom w:w="45" w:type="dxa"/>
              <w:right w:w="45" w:type="dxa"/>
            </w:tcMar>
            <w:vAlign w:val="center"/>
          </w:tcPr>
          <w:p w14:paraId="40897D9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Nature Communications</w:t>
            </w:r>
          </w:p>
        </w:tc>
        <w:tc>
          <w:tcPr>
            <w:tcW w:w="1189" w:type="dxa"/>
            <w:tcBorders>
              <w:top w:val="nil"/>
              <w:left w:val="nil"/>
              <w:bottom w:val="nil"/>
              <w:right w:val="nil"/>
            </w:tcBorders>
            <w:tcMar>
              <w:top w:w="45" w:type="dxa"/>
              <w:left w:w="45" w:type="dxa"/>
              <w:bottom w:w="45" w:type="dxa"/>
              <w:right w:w="45" w:type="dxa"/>
            </w:tcMar>
            <w:vAlign w:val="center"/>
          </w:tcPr>
          <w:p w14:paraId="75A4471F"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-seq (longitudinal, 4 timepoints)</w:t>
            </w:r>
          </w:p>
        </w:tc>
        <w:tc>
          <w:tcPr>
            <w:tcW w:w="1055" w:type="dxa"/>
            <w:tcBorders>
              <w:top w:val="nil"/>
              <w:left w:val="nil"/>
              <w:bottom w:val="nil"/>
              <w:right w:val="nil"/>
            </w:tcBorders>
            <w:tcMar>
              <w:top w:w="45" w:type="dxa"/>
              <w:left w:w="45" w:type="dxa"/>
              <w:bottom w:w="45" w:type="dxa"/>
              <w:right w:w="45" w:type="dxa"/>
            </w:tcMar>
            <w:vAlign w:val="center"/>
          </w:tcPr>
          <w:p w14:paraId="3A4969B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40 RIF vs. 35 controls</w:t>
            </w:r>
          </w:p>
        </w:tc>
        <w:tc>
          <w:tcPr>
            <w:tcW w:w="1787" w:type="dxa"/>
            <w:tcBorders>
              <w:top w:val="nil"/>
              <w:left w:val="nil"/>
              <w:bottom w:val="nil"/>
              <w:right w:val="nil"/>
            </w:tcBorders>
            <w:tcMar>
              <w:top w:w="45" w:type="dxa"/>
              <w:left w:w="45" w:type="dxa"/>
              <w:bottom w:w="45" w:type="dxa"/>
              <w:right w:w="45" w:type="dxa"/>
            </w:tcMar>
            <w:vAlign w:val="center"/>
          </w:tcPr>
          <w:p w14:paraId="2D69A29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Dynamic dysregulation in decidual stromal cells (IGFBP1, PRL trajectory disrupted); </w:t>
            </w:r>
            <w:proofErr w:type="spellStart"/>
            <w:r w:rsidRPr="00D578DF">
              <w:rPr>
                <w:rFonts w:ascii="Times New Roman" w:eastAsia="Calibri" w:hAnsi="Times New Roman" w:cs="Times New Roman"/>
                <w:color w:val="000000" w:themeColor="text1"/>
                <w:sz w:val="20"/>
                <w:szCs w:val="20"/>
              </w:rPr>
              <w:t>uNK</w:t>
            </w:r>
            <w:proofErr w:type="spellEnd"/>
            <w:r w:rsidRPr="00D578DF">
              <w:rPr>
                <w:rFonts w:ascii="Times New Roman" w:eastAsia="Calibri" w:hAnsi="Times New Roman" w:cs="Times New Roman"/>
                <w:color w:val="000000" w:themeColor="text1"/>
                <w:sz w:val="20"/>
                <w:szCs w:val="20"/>
              </w:rPr>
              <w:t xml:space="preserve"> cell exhaustion signature; temporal immune-stromal crosstalk breakdown</w:t>
            </w:r>
          </w:p>
        </w:tc>
        <w:tc>
          <w:tcPr>
            <w:tcW w:w="2411" w:type="dxa"/>
            <w:tcBorders>
              <w:top w:val="nil"/>
              <w:left w:val="nil"/>
              <w:bottom w:val="nil"/>
              <w:right w:val="nil"/>
            </w:tcBorders>
            <w:tcMar>
              <w:top w:w="45" w:type="dxa"/>
              <w:left w:w="45" w:type="dxa"/>
              <w:bottom w:w="45" w:type="dxa"/>
              <w:right w:w="45" w:type="dxa"/>
            </w:tcMar>
            <w:vAlign w:val="center"/>
          </w:tcPr>
          <w:p w14:paraId="48905B0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Time-critical therapeutic window for stromal and </w:t>
            </w:r>
            <w:proofErr w:type="spellStart"/>
            <w:r w:rsidRPr="00D578DF">
              <w:rPr>
                <w:rFonts w:ascii="Times New Roman" w:eastAsia="Calibri" w:hAnsi="Times New Roman" w:cs="Times New Roman"/>
                <w:color w:val="000000" w:themeColor="text1"/>
                <w:sz w:val="20"/>
                <w:szCs w:val="20"/>
              </w:rPr>
              <w:t>uNK</w:t>
            </w:r>
            <w:proofErr w:type="spellEnd"/>
            <w:r w:rsidRPr="00D578DF">
              <w:rPr>
                <w:rFonts w:ascii="Times New Roman" w:eastAsia="Calibri" w:hAnsi="Times New Roman" w:cs="Times New Roman"/>
                <w:color w:val="000000" w:themeColor="text1"/>
                <w:sz w:val="20"/>
                <w:szCs w:val="20"/>
              </w:rPr>
              <w:t xml:space="preserve"> cell correction; </w:t>
            </w:r>
            <w:proofErr w:type="spellStart"/>
            <w:r w:rsidRPr="00D578DF">
              <w:rPr>
                <w:rFonts w:ascii="Times New Roman" w:eastAsia="Calibri" w:hAnsi="Times New Roman" w:cs="Times New Roman"/>
                <w:color w:val="000000" w:themeColor="text1"/>
                <w:sz w:val="20"/>
                <w:szCs w:val="20"/>
              </w:rPr>
              <w:t>personalisable</w:t>
            </w:r>
            <w:proofErr w:type="spellEnd"/>
            <w:r w:rsidRPr="00D578DF">
              <w:rPr>
                <w:rFonts w:ascii="Times New Roman" w:eastAsia="Calibri" w:hAnsi="Times New Roman" w:cs="Times New Roman"/>
                <w:color w:val="000000" w:themeColor="text1"/>
                <w:sz w:val="20"/>
                <w:szCs w:val="20"/>
              </w:rPr>
              <w:t xml:space="preserve"> WOI intervention timing</w:t>
            </w:r>
          </w:p>
        </w:tc>
        <w:tc>
          <w:tcPr>
            <w:tcW w:w="1738" w:type="dxa"/>
            <w:tcBorders>
              <w:top w:val="nil"/>
              <w:left w:val="nil"/>
              <w:bottom w:val="nil"/>
              <w:right w:val="nil"/>
            </w:tcBorders>
            <w:tcMar>
              <w:top w:w="45" w:type="dxa"/>
              <w:left w:w="45" w:type="dxa"/>
              <w:bottom w:w="45" w:type="dxa"/>
              <w:right w:w="45" w:type="dxa"/>
            </w:tcMar>
            <w:vAlign w:val="center"/>
          </w:tcPr>
          <w:p w14:paraId="65009D9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10X </w:t>
            </w: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-seq; trajectory analysis (Monocle); time-series clustering</w:t>
            </w:r>
          </w:p>
        </w:tc>
        <w:tc>
          <w:tcPr>
            <w:tcW w:w="1364" w:type="dxa"/>
            <w:tcBorders>
              <w:top w:val="nil"/>
              <w:left w:val="nil"/>
              <w:bottom w:val="nil"/>
              <w:right w:val="nil"/>
            </w:tcBorders>
            <w:tcMar>
              <w:top w:w="45" w:type="dxa"/>
              <w:left w:w="45" w:type="dxa"/>
              <w:bottom w:w="45" w:type="dxa"/>
              <w:right w:w="45" w:type="dxa"/>
            </w:tcMar>
            <w:vAlign w:val="center"/>
          </w:tcPr>
          <w:p w14:paraId="63A999D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Landmark longitudinal </w:t>
            </w: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-seq; trajectory analysis; Nature Communications; novel temporal dysregulation</w:t>
            </w:r>
          </w:p>
        </w:tc>
        <w:tc>
          <w:tcPr>
            <w:tcW w:w="1380" w:type="dxa"/>
            <w:tcBorders>
              <w:top w:val="nil"/>
              <w:left w:val="nil"/>
              <w:bottom w:val="nil"/>
              <w:right w:val="nil"/>
            </w:tcBorders>
            <w:tcMar>
              <w:top w:w="45" w:type="dxa"/>
              <w:left w:w="45" w:type="dxa"/>
              <w:bottom w:w="45" w:type="dxa"/>
              <w:right w:w="45" w:type="dxa"/>
            </w:tcMar>
            <w:vAlign w:val="center"/>
          </w:tcPr>
          <w:p w14:paraId="7C7FC8F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Expensive; technically demanding; limited clinical sites</w:t>
            </w:r>
          </w:p>
        </w:tc>
      </w:tr>
      <w:tr w:rsidR="00D7116D" w:rsidRPr="00D578DF" w14:paraId="2E16805E"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DBD153F"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Yang J et al., 2025 [71]</w:t>
            </w:r>
          </w:p>
        </w:tc>
        <w:tc>
          <w:tcPr>
            <w:tcW w:w="1114" w:type="dxa"/>
            <w:tcBorders>
              <w:top w:val="nil"/>
              <w:left w:val="nil"/>
              <w:bottom w:val="nil"/>
              <w:right w:val="nil"/>
            </w:tcBorders>
            <w:tcMar>
              <w:top w:w="45" w:type="dxa"/>
              <w:left w:w="45" w:type="dxa"/>
              <w:bottom w:w="45" w:type="dxa"/>
              <w:right w:w="45" w:type="dxa"/>
            </w:tcMar>
            <w:vAlign w:val="center"/>
          </w:tcPr>
          <w:p w14:paraId="49E4CA6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Translational Medicine</w:t>
            </w:r>
          </w:p>
        </w:tc>
        <w:tc>
          <w:tcPr>
            <w:tcW w:w="1189" w:type="dxa"/>
            <w:tcBorders>
              <w:top w:val="nil"/>
              <w:left w:val="nil"/>
              <w:bottom w:val="nil"/>
              <w:right w:val="nil"/>
            </w:tcBorders>
            <w:tcMar>
              <w:top w:w="45" w:type="dxa"/>
              <w:left w:w="45" w:type="dxa"/>
              <w:bottom w:w="45" w:type="dxa"/>
              <w:right w:w="45" w:type="dxa"/>
            </w:tcMar>
            <w:vAlign w:val="center"/>
          </w:tcPr>
          <w:p w14:paraId="6934E9CA"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-seq + multi-cohort</w:t>
            </w:r>
          </w:p>
        </w:tc>
        <w:tc>
          <w:tcPr>
            <w:tcW w:w="1055" w:type="dxa"/>
            <w:tcBorders>
              <w:top w:val="nil"/>
              <w:left w:val="nil"/>
              <w:bottom w:val="nil"/>
              <w:right w:val="nil"/>
            </w:tcBorders>
            <w:tcMar>
              <w:top w:w="45" w:type="dxa"/>
              <w:left w:w="45" w:type="dxa"/>
              <w:bottom w:w="45" w:type="dxa"/>
              <w:right w:w="45" w:type="dxa"/>
            </w:tcMar>
            <w:vAlign w:val="center"/>
          </w:tcPr>
          <w:p w14:paraId="2DF9E29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60 RIF (multi-</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w:t>
            </w:r>
          </w:p>
        </w:tc>
        <w:tc>
          <w:tcPr>
            <w:tcW w:w="1787" w:type="dxa"/>
            <w:tcBorders>
              <w:top w:val="nil"/>
              <w:left w:val="nil"/>
              <w:bottom w:val="nil"/>
              <w:right w:val="nil"/>
            </w:tcBorders>
            <w:tcMar>
              <w:top w:w="45" w:type="dxa"/>
              <w:left w:w="45" w:type="dxa"/>
              <w:bottom w:w="45" w:type="dxa"/>
              <w:right w:w="45" w:type="dxa"/>
            </w:tcMar>
            <w:vAlign w:val="center"/>
          </w:tcPr>
          <w:p w14:paraId="6675BC0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3 RIF molecular subtypes: immune-dysregulated, </w:t>
            </w:r>
            <w:proofErr w:type="spellStart"/>
            <w:r w:rsidRPr="00D578DF">
              <w:rPr>
                <w:rFonts w:ascii="Times New Roman" w:eastAsia="Calibri" w:hAnsi="Times New Roman" w:cs="Times New Roman"/>
                <w:color w:val="000000" w:themeColor="text1"/>
                <w:sz w:val="20"/>
                <w:szCs w:val="20"/>
              </w:rPr>
              <w:t>decidualisation</w:t>
            </w:r>
            <w:proofErr w:type="spellEnd"/>
            <w:r w:rsidRPr="00D578DF">
              <w:rPr>
                <w:rFonts w:ascii="Times New Roman" w:eastAsia="Calibri" w:hAnsi="Times New Roman" w:cs="Times New Roman"/>
                <w:color w:val="000000" w:themeColor="text1"/>
                <w:sz w:val="20"/>
                <w:szCs w:val="20"/>
              </w:rPr>
              <w:t>-deficient, epithelial-</w:t>
            </w:r>
            <w:r w:rsidRPr="00D578DF">
              <w:rPr>
                <w:rFonts w:ascii="Times New Roman" w:eastAsia="Calibri" w:hAnsi="Times New Roman" w:cs="Times New Roman"/>
                <w:color w:val="000000" w:themeColor="text1"/>
                <w:sz w:val="20"/>
                <w:szCs w:val="20"/>
              </w:rPr>
              <w:lastRenderedPageBreak/>
              <w:t>barrier-compromised; subtype-specific gene signatures</w:t>
            </w:r>
          </w:p>
        </w:tc>
        <w:tc>
          <w:tcPr>
            <w:tcW w:w="2411" w:type="dxa"/>
            <w:tcBorders>
              <w:top w:val="nil"/>
              <w:left w:val="nil"/>
              <w:bottom w:val="nil"/>
              <w:right w:val="nil"/>
            </w:tcBorders>
            <w:tcMar>
              <w:top w:w="45" w:type="dxa"/>
              <w:left w:w="45" w:type="dxa"/>
              <w:bottom w:w="45" w:type="dxa"/>
              <w:right w:w="45" w:type="dxa"/>
            </w:tcMar>
            <w:vAlign w:val="center"/>
          </w:tcPr>
          <w:p w14:paraId="4DBA385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Subtype-directed treatment protocols (immunosuppression, progesterone </w:t>
            </w:r>
            <w:proofErr w:type="spellStart"/>
            <w:r w:rsidRPr="00D578DF">
              <w:rPr>
                <w:rFonts w:ascii="Times New Roman" w:eastAsia="Calibri" w:hAnsi="Times New Roman" w:cs="Times New Roman"/>
                <w:color w:val="000000" w:themeColor="text1"/>
                <w:sz w:val="20"/>
                <w:szCs w:val="20"/>
              </w:rPr>
              <w:t>sensitisation</w:t>
            </w:r>
            <w:proofErr w:type="spellEnd"/>
            <w:r w:rsidRPr="00D578DF">
              <w:rPr>
                <w:rFonts w:ascii="Times New Roman" w:eastAsia="Calibri" w:hAnsi="Times New Roman" w:cs="Times New Roman"/>
                <w:color w:val="000000" w:themeColor="text1"/>
                <w:sz w:val="20"/>
                <w:szCs w:val="20"/>
              </w:rPr>
              <w:t xml:space="preserve">, </w:t>
            </w:r>
            <w:r w:rsidRPr="00D578DF">
              <w:rPr>
                <w:rFonts w:ascii="Times New Roman" w:eastAsia="Calibri" w:hAnsi="Times New Roman" w:cs="Times New Roman"/>
                <w:color w:val="000000" w:themeColor="text1"/>
                <w:sz w:val="20"/>
                <w:szCs w:val="20"/>
              </w:rPr>
              <w:lastRenderedPageBreak/>
              <w:t>barrier repair) for precision RIF management</w:t>
            </w:r>
          </w:p>
        </w:tc>
        <w:tc>
          <w:tcPr>
            <w:tcW w:w="1738" w:type="dxa"/>
            <w:tcBorders>
              <w:top w:val="nil"/>
              <w:left w:val="nil"/>
              <w:bottom w:val="nil"/>
              <w:right w:val="nil"/>
            </w:tcBorders>
            <w:tcMar>
              <w:top w:w="45" w:type="dxa"/>
              <w:left w:w="45" w:type="dxa"/>
              <w:bottom w:w="45" w:type="dxa"/>
              <w:right w:w="45" w:type="dxa"/>
            </w:tcMar>
            <w:vAlign w:val="center"/>
          </w:tcPr>
          <w:p w14:paraId="7C107AD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10X </w:t>
            </w: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-seq; multi-</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 xml:space="preserve"> clustering; subtype </w:t>
            </w:r>
            <w:r w:rsidRPr="00D578DF">
              <w:rPr>
                <w:rFonts w:ascii="Times New Roman" w:eastAsia="Calibri" w:hAnsi="Times New Roman" w:cs="Times New Roman"/>
                <w:color w:val="000000" w:themeColor="text1"/>
                <w:sz w:val="20"/>
                <w:szCs w:val="20"/>
              </w:rPr>
              <w:lastRenderedPageBreak/>
              <w:t>classification algorithm</w:t>
            </w:r>
          </w:p>
        </w:tc>
        <w:tc>
          <w:tcPr>
            <w:tcW w:w="1364" w:type="dxa"/>
            <w:tcBorders>
              <w:top w:val="nil"/>
              <w:left w:val="nil"/>
              <w:bottom w:val="nil"/>
              <w:right w:val="nil"/>
            </w:tcBorders>
            <w:tcMar>
              <w:top w:w="45" w:type="dxa"/>
              <w:left w:w="45" w:type="dxa"/>
              <w:bottom w:w="45" w:type="dxa"/>
              <w:right w:w="45" w:type="dxa"/>
            </w:tcMar>
            <w:vAlign w:val="center"/>
          </w:tcPr>
          <w:p w14:paraId="1F4528A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Multi-</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 xml:space="preserve">; clinically actionable subtypes; therapeutic </w:t>
            </w:r>
            <w:r w:rsidRPr="00D578DF">
              <w:rPr>
                <w:rFonts w:ascii="Times New Roman" w:eastAsia="Calibri" w:hAnsi="Times New Roman" w:cs="Times New Roman"/>
                <w:color w:val="000000" w:themeColor="text1"/>
                <w:sz w:val="20"/>
                <w:szCs w:val="20"/>
              </w:rPr>
              <w:lastRenderedPageBreak/>
              <w:t>implications; Journal of Translational Medicine</w:t>
            </w:r>
          </w:p>
        </w:tc>
        <w:tc>
          <w:tcPr>
            <w:tcW w:w="1380" w:type="dxa"/>
            <w:tcBorders>
              <w:top w:val="nil"/>
              <w:left w:val="nil"/>
              <w:bottom w:val="nil"/>
              <w:right w:val="nil"/>
            </w:tcBorders>
            <w:tcMar>
              <w:top w:w="45" w:type="dxa"/>
              <w:left w:w="45" w:type="dxa"/>
              <w:bottom w:w="45" w:type="dxa"/>
              <w:right w:w="45" w:type="dxa"/>
            </w:tcMar>
            <w:vAlign w:val="center"/>
          </w:tcPr>
          <w:p w14:paraId="3B3652E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Subtype validation in prospective trials pending</w:t>
            </w:r>
          </w:p>
        </w:tc>
      </w:tr>
      <w:tr w:rsidR="001C6BF7" w:rsidRPr="00D578DF" w14:paraId="572AFC42"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0476EF1" w14:textId="77777777" w:rsidR="001C6BF7" w:rsidRPr="00D578DF" w:rsidRDefault="001C6BF7" w:rsidP="00604322">
            <w:pPr>
              <w:rPr>
                <w:rFonts w:ascii="Times New Roman" w:hAnsi="Times New Roman" w:cs="Times New Roman"/>
                <w:sz w:val="20"/>
                <w:szCs w:val="20"/>
              </w:rPr>
            </w:pPr>
            <w:r w:rsidRPr="00D578DF">
              <w:rPr>
                <w:rFonts w:ascii="Times New Roman" w:hAnsi="Times New Roman" w:cs="Times New Roman"/>
                <w:color w:val="000000"/>
                <w:sz w:val="20"/>
                <w:szCs w:val="20"/>
              </w:rPr>
              <w:t>Feng X et al., 2022 [74]</w:t>
            </w:r>
          </w:p>
        </w:tc>
        <w:tc>
          <w:tcPr>
            <w:tcW w:w="1114" w:type="dxa"/>
            <w:tcBorders>
              <w:top w:val="nil"/>
              <w:left w:val="nil"/>
              <w:bottom w:val="nil"/>
              <w:right w:val="nil"/>
            </w:tcBorders>
            <w:tcMar>
              <w:top w:w="45" w:type="dxa"/>
              <w:left w:w="45" w:type="dxa"/>
              <w:bottom w:w="45" w:type="dxa"/>
              <w:right w:w="45" w:type="dxa"/>
            </w:tcMar>
            <w:vAlign w:val="center"/>
          </w:tcPr>
          <w:p w14:paraId="3F77D065"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American Journal of Reproductive Immunology</w:t>
            </w:r>
          </w:p>
        </w:tc>
        <w:tc>
          <w:tcPr>
            <w:tcW w:w="1189" w:type="dxa"/>
            <w:tcBorders>
              <w:top w:val="nil"/>
              <w:left w:val="nil"/>
              <w:bottom w:val="nil"/>
              <w:right w:val="nil"/>
            </w:tcBorders>
            <w:tcMar>
              <w:top w:w="45" w:type="dxa"/>
              <w:left w:w="45" w:type="dxa"/>
              <w:bottom w:w="45" w:type="dxa"/>
              <w:right w:w="45" w:type="dxa"/>
            </w:tcMar>
            <w:vAlign w:val="center"/>
          </w:tcPr>
          <w:p w14:paraId="7282790C"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Integrated bioinformatics / multi-microarray analysis</w:t>
            </w:r>
          </w:p>
        </w:tc>
        <w:tc>
          <w:tcPr>
            <w:tcW w:w="1055" w:type="dxa"/>
            <w:tcBorders>
              <w:top w:val="nil"/>
              <w:left w:val="nil"/>
              <w:bottom w:val="nil"/>
              <w:right w:val="nil"/>
            </w:tcBorders>
            <w:tcMar>
              <w:top w:w="45" w:type="dxa"/>
              <w:left w:w="45" w:type="dxa"/>
              <w:bottom w:w="45" w:type="dxa"/>
              <w:right w:w="45" w:type="dxa"/>
            </w:tcMar>
            <w:vAlign w:val="center"/>
          </w:tcPr>
          <w:p w14:paraId="126AB0B5"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4 GEO endometrial datasets: 39 RIF + 37 controls; hub genes additionally checked in 2 external endometrial datasets</w:t>
            </w:r>
          </w:p>
        </w:tc>
        <w:tc>
          <w:tcPr>
            <w:tcW w:w="1787" w:type="dxa"/>
            <w:tcBorders>
              <w:top w:val="nil"/>
              <w:left w:val="nil"/>
              <w:bottom w:val="nil"/>
              <w:right w:val="nil"/>
            </w:tcBorders>
            <w:tcMar>
              <w:top w:w="45" w:type="dxa"/>
              <w:left w:w="45" w:type="dxa"/>
              <w:bottom w:w="45" w:type="dxa"/>
              <w:right w:w="45" w:type="dxa"/>
            </w:tcMar>
            <w:vAlign w:val="center"/>
          </w:tcPr>
          <w:p w14:paraId="2209C03C"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236 DEGs were identified, enriched in immune response, TNF </w:t>
            </w:r>
            <w:proofErr w:type="spellStart"/>
            <w:r w:rsidRPr="00D578DF">
              <w:rPr>
                <w:rFonts w:ascii="Times New Roman" w:eastAsia="Calibri" w:hAnsi="Times New Roman" w:cs="Times New Roman"/>
                <w:color w:val="000000" w:themeColor="text1"/>
                <w:sz w:val="20"/>
                <w:szCs w:val="20"/>
              </w:rPr>
              <w:t>signalling</w:t>
            </w:r>
            <w:proofErr w:type="spellEnd"/>
            <w:r w:rsidRPr="00D578DF">
              <w:rPr>
                <w:rFonts w:ascii="Times New Roman" w:eastAsia="Calibri" w:hAnsi="Times New Roman" w:cs="Times New Roman"/>
                <w:color w:val="000000" w:themeColor="text1"/>
                <w:sz w:val="20"/>
                <w:szCs w:val="20"/>
              </w:rPr>
              <w:t xml:space="preserve"> and complement/coagulation pathways. gamma-delta T cells were decreased in RIF. Hub genes included PTGS2, FGB, MUC1, SST, VCAM1, MMP7, ERBB4, FOLR1 and C3.</w:t>
            </w:r>
          </w:p>
        </w:tc>
        <w:tc>
          <w:tcPr>
            <w:tcW w:w="2411" w:type="dxa"/>
            <w:tcBorders>
              <w:top w:val="nil"/>
              <w:left w:val="nil"/>
              <w:bottom w:val="nil"/>
              <w:right w:val="nil"/>
            </w:tcBorders>
            <w:tcMar>
              <w:top w:w="45" w:type="dxa"/>
              <w:left w:w="45" w:type="dxa"/>
              <w:bottom w:w="45" w:type="dxa"/>
              <w:right w:w="45" w:type="dxa"/>
            </w:tcMar>
            <w:vAlign w:val="center"/>
          </w:tcPr>
          <w:p w14:paraId="6B208547"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Supports endometrial immune dysregulation and gamma-delta T-cell alteration as RIF features; hub genes are candidate biomarkers/targets rather than clinically validated tests.</w:t>
            </w:r>
          </w:p>
        </w:tc>
        <w:tc>
          <w:tcPr>
            <w:tcW w:w="1738" w:type="dxa"/>
            <w:tcBorders>
              <w:top w:val="nil"/>
              <w:left w:val="nil"/>
              <w:bottom w:val="nil"/>
              <w:right w:val="nil"/>
            </w:tcBorders>
            <w:tcMar>
              <w:top w:w="45" w:type="dxa"/>
              <w:left w:w="45" w:type="dxa"/>
              <w:bottom w:w="45" w:type="dxa"/>
              <w:right w:w="45" w:type="dxa"/>
            </w:tcMar>
            <w:vAlign w:val="center"/>
          </w:tcPr>
          <w:p w14:paraId="59A5D992" w14:textId="77777777" w:rsidR="001C6BF7" w:rsidRPr="00D578DF" w:rsidRDefault="001C6BF7" w:rsidP="00604322">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sva</w:t>
            </w:r>
            <w:proofErr w:type="spellEnd"/>
            <w:r w:rsidRPr="00D578DF">
              <w:rPr>
                <w:rFonts w:ascii="Times New Roman" w:eastAsia="Calibri" w:hAnsi="Times New Roman" w:cs="Times New Roman"/>
                <w:color w:val="000000" w:themeColor="text1"/>
                <w:sz w:val="20"/>
                <w:szCs w:val="20"/>
              </w:rPr>
              <w:t>/</w:t>
            </w:r>
            <w:proofErr w:type="spellStart"/>
            <w:r w:rsidRPr="00D578DF">
              <w:rPr>
                <w:rFonts w:ascii="Times New Roman" w:eastAsia="Calibri" w:hAnsi="Times New Roman" w:cs="Times New Roman"/>
                <w:color w:val="000000" w:themeColor="text1"/>
                <w:sz w:val="20"/>
                <w:szCs w:val="20"/>
              </w:rPr>
              <w:t>ComBat</w:t>
            </w:r>
            <w:proofErr w:type="spellEnd"/>
            <w:r w:rsidRPr="00D578DF">
              <w:rPr>
                <w:rFonts w:ascii="Times New Roman" w:eastAsia="Calibri" w:hAnsi="Times New Roman" w:cs="Times New Roman"/>
                <w:color w:val="000000" w:themeColor="text1"/>
                <w:sz w:val="20"/>
                <w:szCs w:val="20"/>
              </w:rPr>
              <w:t xml:space="preserve">; </w:t>
            </w:r>
            <w:proofErr w:type="spellStart"/>
            <w:r w:rsidRPr="00D578DF">
              <w:rPr>
                <w:rFonts w:ascii="Times New Roman" w:eastAsia="Calibri" w:hAnsi="Times New Roman" w:cs="Times New Roman"/>
                <w:color w:val="000000" w:themeColor="text1"/>
                <w:sz w:val="20"/>
                <w:szCs w:val="20"/>
              </w:rPr>
              <w:t>limma</w:t>
            </w:r>
            <w:proofErr w:type="spellEnd"/>
            <w:r w:rsidRPr="00D578DF">
              <w:rPr>
                <w:rFonts w:ascii="Times New Roman" w:eastAsia="Calibri" w:hAnsi="Times New Roman" w:cs="Times New Roman"/>
                <w:color w:val="000000" w:themeColor="text1"/>
                <w:sz w:val="20"/>
                <w:szCs w:val="20"/>
              </w:rPr>
              <w:t>; DAVID GO/KEGG; GSEA; GSVA; CIBERSORT-LM22; STRING/</w:t>
            </w:r>
            <w:proofErr w:type="spellStart"/>
            <w:r w:rsidRPr="00D578DF">
              <w:rPr>
                <w:rFonts w:ascii="Times New Roman" w:eastAsia="Calibri" w:hAnsi="Times New Roman" w:cs="Times New Roman"/>
                <w:color w:val="000000" w:themeColor="text1"/>
                <w:sz w:val="20"/>
                <w:szCs w:val="20"/>
              </w:rPr>
              <w:t>Cytoscape-CytoHubba</w:t>
            </w:r>
            <w:proofErr w:type="spellEnd"/>
          </w:p>
        </w:tc>
        <w:tc>
          <w:tcPr>
            <w:tcW w:w="1364" w:type="dxa"/>
            <w:tcBorders>
              <w:top w:val="nil"/>
              <w:left w:val="nil"/>
              <w:bottom w:val="nil"/>
              <w:right w:val="nil"/>
            </w:tcBorders>
            <w:tcMar>
              <w:top w:w="45" w:type="dxa"/>
              <w:left w:w="45" w:type="dxa"/>
              <w:bottom w:w="45" w:type="dxa"/>
              <w:right w:w="45" w:type="dxa"/>
            </w:tcMar>
            <w:vAlign w:val="center"/>
          </w:tcPr>
          <w:p w14:paraId="4A989BB7"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Integrates four independent microarray cohorts with batch correction, immune deconvolution and external endometrial-data verification.</w:t>
            </w:r>
          </w:p>
        </w:tc>
        <w:tc>
          <w:tcPr>
            <w:tcW w:w="1380" w:type="dxa"/>
            <w:tcBorders>
              <w:top w:val="nil"/>
              <w:left w:val="nil"/>
              <w:bottom w:val="nil"/>
              <w:right w:val="nil"/>
            </w:tcBorders>
            <w:tcMar>
              <w:top w:w="45" w:type="dxa"/>
              <w:left w:w="45" w:type="dxa"/>
              <w:bottom w:w="45" w:type="dxa"/>
              <w:right w:w="45" w:type="dxa"/>
            </w:tcMar>
            <w:vAlign w:val="center"/>
          </w:tcPr>
          <w:p w14:paraId="5B9AA7FA"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Retrospective public microarrays; cross-platform heterogeneity; immune-cell fractions are computational estimates; no independent wet-lab or prospective clinical validation.</w:t>
            </w:r>
          </w:p>
        </w:tc>
      </w:tr>
      <w:tr w:rsidR="00D7116D" w:rsidRPr="00D578DF" w14:paraId="6C5A7BF1"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71C5309"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Tan Y et al., 2025 [78]</w:t>
            </w:r>
          </w:p>
        </w:tc>
        <w:tc>
          <w:tcPr>
            <w:tcW w:w="1114" w:type="dxa"/>
            <w:tcBorders>
              <w:top w:val="nil"/>
              <w:left w:val="nil"/>
              <w:bottom w:val="nil"/>
              <w:right w:val="nil"/>
            </w:tcBorders>
            <w:tcMar>
              <w:top w:w="45" w:type="dxa"/>
              <w:left w:w="45" w:type="dxa"/>
              <w:bottom w:w="45" w:type="dxa"/>
              <w:right w:w="45" w:type="dxa"/>
            </w:tcMar>
            <w:vAlign w:val="center"/>
          </w:tcPr>
          <w:p w14:paraId="04AA38B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Systems Biology in Reproductive Medicine</w:t>
            </w:r>
          </w:p>
        </w:tc>
        <w:tc>
          <w:tcPr>
            <w:tcW w:w="1189" w:type="dxa"/>
            <w:tcBorders>
              <w:top w:val="nil"/>
              <w:left w:val="nil"/>
              <w:bottom w:val="nil"/>
              <w:right w:val="nil"/>
            </w:tcBorders>
            <w:tcMar>
              <w:top w:w="45" w:type="dxa"/>
              <w:left w:w="45" w:type="dxa"/>
              <w:bottom w:w="45" w:type="dxa"/>
              <w:right w:w="45" w:type="dxa"/>
            </w:tcMar>
            <w:vAlign w:val="center"/>
          </w:tcPr>
          <w:p w14:paraId="114DAF8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w:t>
            </w:r>
          </w:p>
        </w:tc>
        <w:tc>
          <w:tcPr>
            <w:tcW w:w="1055" w:type="dxa"/>
            <w:tcBorders>
              <w:top w:val="nil"/>
              <w:left w:val="nil"/>
              <w:bottom w:val="nil"/>
              <w:right w:val="nil"/>
            </w:tcBorders>
            <w:tcMar>
              <w:top w:w="45" w:type="dxa"/>
              <w:left w:w="45" w:type="dxa"/>
              <w:bottom w:w="45" w:type="dxa"/>
              <w:right w:w="45" w:type="dxa"/>
            </w:tcMar>
            <w:vAlign w:val="center"/>
          </w:tcPr>
          <w:p w14:paraId="6C537D9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60 RIF vs. 45 controls</w:t>
            </w:r>
          </w:p>
        </w:tc>
        <w:tc>
          <w:tcPr>
            <w:tcW w:w="1787" w:type="dxa"/>
            <w:tcBorders>
              <w:top w:val="nil"/>
              <w:left w:val="nil"/>
              <w:bottom w:val="nil"/>
              <w:right w:val="nil"/>
            </w:tcBorders>
            <w:tcMar>
              <w:top w:w="45" w:type="dxa"/>
              <w:left w:w="45" w:type="dxa"/>
              <w:bottom w:w="45" w:type="dxa"/>
              <w:right w:w="45" w:type="dxa"/>
            </w:tcMar>
            <w:vAlign w:val="center"/>
          </w:tcPr>
          <w:p w14:paraId="5A0723B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miR-31-5p significantly elevated in RIF endometrium; inversely correlates with ITGB3, MUC1; ROC AUC = 0.79</w:t>
            </w:r>
          </w:p>
        </w:tc>
        <w:tc>
          <w:tcPr>
            <w:tcW w:w="2411" w:type="dxa"/>
            <w:tcBorders>
              <w:top w:val="nil"/>
              <w:left w:val="nil"/>
              <w:bottom w:val="nil"/>
              <w:right w:val="nil"/>
            </w:tcBorders>
            <w:tcMar>
              <w:top w:w="45" w:type="dxa"/>
              <w:left w:w="45" w:type="dxa"/>
              <w:bottom w:w="45" w:type="dxa"/>
              <w:right w:w="45" w:type="dxa"/>
            </w:tcMar>
            <w:vAlign w:val="center"/>
          </w:tcPr>
          <w:p w14:paraId="5EF1ED2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miR-31 as a transcriptomic biomarker for RIF; potential therapeutic target via miRNA antagomir</w:t>
            </w:r>
          </w:p>
        </w:tc>
        <w:tc>
          <w:tcPr>
            <w:tcW w:w="1738" w:type="dxa"/>
            <w:tcBorders>
              <w:top w:val="nil"/>
              <w:left w:val="nil"/>
              <w:bottom w:val="nil"/>
              <w:right w:val="nil"/>
            </w:tcBorders>
            <w:tcMar>
              <w:top w:w="45" w:type="dxa"/>
              <w:left w:w="45" w:type="dxa"/>
              <w:bottom w:w="45" w:type="dxa"/>
              <w:right w:w="45" w:type="dxa"/>
            </w:tcMar>
            <w:vAlign w:val="center"/>
          </w:tcPr>
          <w:p w14:paraId="0223206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RT-qPCR; WOI-</w:t>
            </w:r>
            <w:proofErr w:type="spellStart"/>
            <w:r w:rsidRPr="00D578DF">
              <w:rPr>
                <w:rFonts w:ascii="Times New Roman" w:eastAsia="Calibri" w:hAnsi="Times New Roman" w:cs="Times New Roman"/>
                <w:color w:val="000000" w:themeColor="text1"/>
                <w:sz w:val="20"/>
                <w:szCs w:val="20"/>
              </w:rPr>
              <w:t>synchronised</w:t>
            </w:r>
            <w:proofErr w:type="spellEnd"/>
            <w:r w:rsidRPr="00D578DF">
              <w:rPr>
                <w:rFonts w:ascii="Times New Roman" w:eastAsia="Calibri" w:hAnsi="Times New Roman" w:cs="Times New Roman"/>
                <w:color w:val="000000" w:themeColor="text1"/>
                <w:sz w:val="20"/>
                <w:szCs w:val="20"/>
              </w:rPr>
              <w:t xml:space="preserve"> biopsy; ROC analysis</w:t>
            </w:r>
          </w:p>
        </w:tc>
        <w:tc>
          <w:tcPr>
            <w:tcW w:w="1364" w:type="dxa"/>
            <w:tcBorders>
              <w:top w:val="nil"/>
              <w:left w:val="nil"/>
              <w:bottom w:val="nil"/>
              <w:right w:val="nil"/>
            </w:tcBorders>
            <w:tcMar>
              <w:top w:w="45" w:type="dxa"/>
              <w:left w:w="45" w:type="dxa"/>
              <w:bottom w:w="45" w:type="dxa"/>
              <w:right w:w="45" w:type="dxa"/>
            </w:tcMar>
            <w:vAlign w:val="center"/>
          </w:tcPr>
          <w:p w14:paraId="189EA3E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Well-powered; ROC analysis; RT-qPCR validated</w:t>
            </w:r>
          </w:p>
        </w:tc>
        <w:tc>
          <w:tcPr>
            <w:tcW w:w="1380" w:type="dxa"/>
            <w:tcBorders>
              <w:top w:val="nil"/>
              <w:left w:val="nil"/>
              <w:bottom w:val="nil"/>
              <w:right w:val="nil"/>
            </w:tcBorders>
            <w:tcMar>
              <w:top w:w="45" w:type="dxa"/>
              <w:left w:w="45" w:type="dxa"/>
              <w:bottom w:w="45" w:type="dxa"/>
              <w:right w:w="45" w:type="dxa"/>
            </w:tcMar>
            <w:vAlign w:val="center"/>
          </w:tcPr>
          <w:p w14:paraId="1901926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Single miRNA; mechanism not fully established</w:t>
            </w:r>
          </w:p>
        </w:tc>
      </w:tr>
      <w:tr w:rsidR="00D7116D" w:rsidRPr="00D578DF" w14:paraId="697A173D"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6651B66C"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Xu S et al., 2025 [80]</w:t>
            </w:r>
          </w:p>
        </w:tc>
        <w:tc>
          <w:tcPr>
            <w:tcW w:w="1114" w:type="dxa"/>
            <w:tcBorders>
              <w:top w:val="nil"/>
              <w:left w:val="nil"/>
              <w:bottom w:val="nil"/>
              <w:right w:val="nil"/>
            </w:tcBorders>
            <w:tcMar>
              <w:top w:w="45" w:type="dxa"/>
              <w:left w:w="45" w:type="dxa"/>
              <w:bottom w:w="45" w:type="dxa"/>
              <w:right w:w="45" w:type="dxa"/>
            </w:tcMar>
            <w:vAlign w:val="center"/>
          </w:tcPr>
          <w:p w14:paraId="67D0406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Genomics</w:t>
            </w:r>
          </w:p>
        </w:tc>
        <w:tc>
          <w:tcPr>
            <w:tcW w:w="1189" w:type="dxa"/>
            <w:tcBorders>
              <w:top w:val="nil"/>
              <w:left w:val="nil"/>
              <w:bottom w:val="nil"/>
              <w:right w:val="nil"/>
            </w:tcBorders>
            <w:tcMar>
              <w:top w:w="45" w:type="dxa"/>
              <w:left w:w="45" w:type="dxa"/>
              <w:bottom w:w="45" w:type="dxa"/>
              <w:right w:w="45" w:type="dxa"/>
            </w:tcMar>
            <w:vAlign w:val="center"/>
          </w:tcPr>
          <w:p w14:paraId="3B4369D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Discovery</w:t>
            </w:r>
          </w:p>
        </w:tc>
        <w:tc>
          <w:tcPr>
            <w:tcW w:w="1055" w:type="dxa"/>
            <w:tcBorders>
              <w:top w:val="nil"/>
              <w:left w:val="nil"/>
              <w:bottom w:val="nil"/>
              <w:right w:val="nil"/>
            </w:tcBorders>
            <w:tcMar>
              <w:top w:w="45" w:type="dxa"/>
              <w:left w:w="45" w:type="dxa"/>
              <w:bottom w:w="45" w:type="dxa"/>
              <w:right w:w="45" w:type="dxa"/>
            </w:tcMar>
            <w:vAlign w:val="center"/>
          </w:tcPr>
          <w:p w14:paraId="244110D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42 serum samples</w:t>
            </w:r>
          </w:p>
        </w:tc>
        <w:tc>
          <w:tcPr>
            <w:tcW w:w="1787" w:type="dxa"/>
            <w:tcBorders>
              <w:top w:val="nil"/>
              <w:left w:val="nil"/>
              <w:bottom w:val="nil"/>
              <w:right w:val="nil"/>
            </w:tcBorders>
            <w:tcMar>
              <w:top w:w="45" w:type="dxa"/>
              <w:left w:w="45" w:type="dxa"/>
              <w:bottom w:w="45" w:type="dxa"/>
              <w:right w:w="45" w:type="dxa"/>
            </w:tcMar>
            <w:vAlign w:val="center"/>
          </w:tcPr>
          <w:p w14:paraId="6F2FBB8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piRNA-62701, piRNA-55490, snoRNA-78 differentially expressed in serum of women with poor receptivity; AUC 0.76</w:t>
            </w:r>
          </w:p>
        </w:tc>
        <w:tc>
          <w:tcPr>
            <w:tcW w:w="2411" w:type="dxa"/>
            <w:tcBorders>
              <w:top w:val="nil"/>
              <w:left w:val="nil"/>
              <w:bottom w:val="nil"/>
              <w:right w:val="nil"/>
            </w:tcBorders>
            <w:tcMar>
              <w:top w:w="45" w:type="dxa"/>
              <w:left w:w="45" w:type="dxa"/>
              <w:bottom w:w="45" w:type="dxa"/>
              <w:right w:w="45" w:type="dxa"/>
            </w:tcMar>
            <w:vAlign w:val="center"/>
          </w:tcPr>
          <w:p w14:paraId="153934E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Serum </w:t>
            </w:r>
            <w:proofErr w:type="spellStart"/>
            <w:r w:rsidRPr="00D578DF">
              <w:rPr>
                <w:rFonts w:ascii="Times New Roman" w:eastAsia="Calibri" w:hAnsi="Times New Roman" w:cs="Times New Roman"/>
                <w:color w:val="000000" w:themeColor="text1"/>
                <w:sz w:val="20"/>
                <w:szCs w:val="20"/>
              </w:rPr>
              <w:t>sncRNA</w:t>
            </w:r>
            <w:proofErr w:type="spellEnd"/>
            <w:r w:rsidRPr="00D578DF">
              <w:rPr>
                <w:rFonts w:ascii="Times New Roman" w:eastAsia="Calibri" w:hAnsi="Times New Roman" w:cs="Times New Roman"/>
                <w:color w:val="000000" w:themeColor="text1"/>
                <w:sz w:val="20"/>
                <w:szCs w:val="20"/>
              </w:rPr>
              <w:t xml:space="preserve"> panel as minimally invasive WOI diagnostic tool</w:t>
            </w:r>
          </w:p>
        </w:tc>
        <w:tc>
          <w:tcPr>
            <w:tcW w:w="1738" w:type="dxa"/>
            <w:tcBorders>
              <w:top w:val="nil"/>
              <w:left w:val="nil"/>
              <w:bottom w:val="nil"/>
              <w:right w:val="nil"/>
            </w:tcBorders>
            <w:tcMar>
              <w:top w:w="45" w:type="dxa"/>
              <w:left w:w="45" w:type="dxa"/>
              <w:bottom w:w="45" w:type="dxa"/>
              <w:right w:w="45" w:type="dxa"/>
            </w:tcMar>
            <w:vAlign w:val="center"/>
          </w:tcPr>
          <w:p w14:paraId="4EB06C0C"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sncRNA</w:t>
            </w:r>
            <w:proofErr w:type="spellEnd"/>
            <w:r w:rsidRPr="00D578DF">
              <w:rPr>
                <w:rFonts w:ascii="Times New Roman" w:eastAsia="Calibri" w:hAnsi="Times New Roman" w:cs="Times New Roman"/>
                <w:color w:val="000000" w:themeColor="text1"/>
                <w:sz w:val="20"/>
                <w:szCs w:val="20"/>
              </w:rPr>
              <w:t>-seq; ROC analysis; IVF outcome correlation</w:t>
            </w:r>
          </w:p>
        </w:tc>
        <w:tc>
          <w:tcPr>
            <w:tcW w:w="1364" w:type="dxa"/>
            <w:tcBorders>
              <w:top w:val="nil"/>
              <w:left w:val="nil"/>
              <w:bottom w:val="nil"/>
              <w:right w:val="nil"/>
            </w:tcBorders>
            <w:tcMar>
              <w:top w:w="45" w:type="dxa"/>
              <w:left w:w="45" w:type="dxa"/>
              <w:bottom w:w="45" w:type="dxa"/>
              <w:right w:w="45" w:type="dxa"/>
            </w:tcMar>
            <w:vAlign w:val="center"/>
          </w:tcPr>
          <w:p w14:paraId="612DDD2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Non-invasive serum ncRNA; clinical feasibility; Genomics journal</w:t>
            </w:r>
          </w:p>
        </w:tc>
        <w:tc>
          <w:tcPr>
            <w:tcW w:w="1380" w:type="dxa"/>
            <w:tcBorders>
              <w:top w:val="nil"/>
              <w:left w:val="nil"/>
              <w:bottom w:val="nil"/>
              <w:right w:val="nil"/>
            </w:tcBorders>
            <w:tcMar>
              <w:top w:w="45" w:type="dxa"/>
              <w:left w:w="45" w:type="dxa"/>
              <w:bottom w:w="45" w:type="dxa"/>
              <w:right w:w="45" w:type="dxa"/>
            </w:tcMar>
            <w:vAlign w:val="center"/>
          </w:tcPr>
          <w:p w14:paraId="378AF8D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Discovery phase only; validation cohort absent</w:t>
            </w:r>
          </w:p>
        </w:tc>
      </w:tr>
      <w:tr w:rsidR="00D7116D" w:rsidRPr="00D578DF" w14:paraId="7C104F8B"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0BDA8104"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Zeng H et al., 2021 [79]</w:t>
            </w:r>
          </w:p>
        </w:tc>
        <w:tc>
          <w:tcPr>
            <w:tcW w:w="1114" w:type="dxa"/>
            <w:tcBorders>
              <w:top w:val="nil"/>
              <w:left w:val="nil"/>
              <w:bottom w:val="nil"/>
              <w:right w:val="nil"/>
            </w:tcBorders>
            <w:tcMar>
              <w:top w:w="45" w:type="dxa"/>
              <w:left w:w="45" w:type="dxa"/>
              <w:bottom w:w="45" w:type="dxa"/>
              <w:right w:w="45" w:type="dxa"/>
            </w:tcMar>
            <w:vAlign w:val="center"/>
          </w:tcPr>
          <w:p w14:paraId="5894219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Biology and Endocrinology</w:t>
            </w:r>
          </w:p>
        </w:tc>
        <w:tc>
          <w:tcPr>
            <w:tcW w:w="1189" w:type="dxa"/>
            <w:tcBorders>
              <w:top w:val="nil"/>
              <w:left w:val="nil"/>
              <w:bottom w:val="nil"/>
              <w:right w:val="nil"/>
            </w:tcBorders>
            <w:tcMar>
              <w:top w:w="45" w:type="dxa"/>
              <w:left w:w="45" w:type="dxa"/>
              <w:bottom w:w="45" w:type="dxa"/>
              <w:right w:w="45" w:type="dxa"/>
            </w:tcMar>
            <w:vAlign w:val="center"/>
          </w:tcPr>
          <w:p w14:paraId="45DA4F7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 (plasma/exosome)</w:t>
            </w:r>
          </w:p>
        </w:tc>
        <w:tc>
          <w:tcPr>
            <w:tcW w:w="1055" w:type="dxa"/>
            <w:tcBorders>
              <w:top w:val="nil"/>
              <w:left w:val="nil"/>
              <w:bottom w:val="nil"/>
              <w:right w:val="nil"/>
            </w:tcBorders>
            <w:tcMar>
              <w:top w:w="45" w:type="dxa"/>
              <w:left w:w="45" w:type="dxa"/>
              <w:bottom w:w="45" w:type="dxa"/>
              <w:right w:w="45" w:type="dxa"/>
            </w:tcMar>
            <w:vAlign w:val="center"/>
          </w:tcPr>
          <w:p w14:paraId="632844E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30 </w:t>
            </w:r>
            <w:proofErr w:type="gramStart"/>
            <w:r w:rsidRPr="00D578DF">
              <w:rPr>
                <w:rFonts w:ascii="Times New Roman" w:eastAsia="Calibri" w:hAnsi="Times New Roman" w:cs="Times New Roman"/>
                <w:color w:val="000000" w:themeColor="text1"/>
                <w:sz w:val="20"/>
                <w:szCs w:val="20"/>
              </w:rPr>
              <w:t>failure</w:t>
            </w:r>
            <w:proofErr w:type="gramEnd"/>
            <w:r w:rsidRPr="00D578DF">
              <w:rPr>
                <w:rFonts w:ascii="Times New Roman" w:eastAsia="Calibri" w:hAnsi="Times New Roman" w:cs="Times New Roman"/>
                <w:color w:val="000000" w:themeColor="text1"/>
                <w:sz w:val="20"/>
                <w:szCs w:val="20"/>
              </w:rPr>
              <w:t xml:space="preserve"> vs. 25 </w:t>
            </w:r>
            <w:proofErr w:type="gramStart"/>
            <w:r w:rsidRPr="00D578DF">
              <w:rPr>
                <w:rFonts w:ascii="Times New Roman" w:eastAsia="Calibri" w:hAnsi="Times New Roman" w:cs="Times New Roman"/>
                <w:color w:val="000000" w:themeColor="text1"/>
                <w:sz w:val="20"/>
                <w:szCs w:val="20"/>
              </w:rPr>
              <w:t>success</w:t>
            </w:r>
            <w:proofErr w:type="gramEnd"/>
          </w:p>
        </w:tc>
        <w:tc>
          <w:tcPr>
            <w:tcW w:w="1787" w:type="dxa"/>
            <w:tcBorders>
              <w:top w:val="nil"/>
              <w:left w:val="nil"/>
              <w:bottom w:val="nil"/>
              <w:right w:val="nil"/>
            </w:tcBorders>
            <w:tcMar>
              <w:top w:w="45" w:type="dxa"/>
              <w:left w:w="45" w:type="dxa"/>
              <w:bottom w:w="45" w:type="dxa"/>
              <w:right w:w="45" w:type="dxa"/>
            </w:tcMar>
            <w:vAlign w:val="center"/>
          </w:tcPr>
          <w:p w14:paraId="1AE736B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miR-19b-3p, miR-23a-3p elevated in plasma of IVF failure; miR-92a-3p, miR-301a-3p elevated in exosomes; dual-compartment signatures</w:t>
            </w:r>
          </w:p>
        </w:tc>
        <w:tc>
          <w:tcPr>
            <w:tcW w:w="2411" w:type="dxa"/>
            <w:tcBorders>
              <w:top w:val="nil"/>
              <w:left w:val="nil"/>
              <w:bottom w:val="nil"/>
              <w:right w:val="nil"/>
            </w:tcBorders>
            <w:tcMar>
              <w:top w:w="45" w:type="dxa"/>
              <w:left w:w="45" w:type="dxa"/>
              <w:bottom w:w="45" w:type="dxa"/>
              <w:right w:w="45" w:type="dxa"/>
            </w:tcMar>
            <w:vAlign w:val="center"/>
          </w:tcPr>
          <w:p w14:paraId="332BEA0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Plasma + exosome miRNA dual-signature as non-invasive RIF risk prediction tool at WOI</w:t>
            </w:r>
          </w:p>
        </w:tc>
        <w:tc>
          <w:tcPr>
            <w:tcW w:w="1738" w:type="dxa"/>
            <w:tcBorders>
              <w:top w:val="nil"/>
              <w:left w:val="nil"/>
              <w:bottom w:val="nil"/>
              <w:right w:val="nil"/>
            </w:tcBorders>
            <w:tcMar>
              <w:top w:w="45" w:type="dxa"/>
              <w:left w:w="45" w:type="dxa"/>
              <w:bottom w:w="45" w:type="dxa"/>
              <w:right w:w="45" w:type="dxa"/>
            </w:tcMar>
            <w:vAlign w:val="center"/>
          </w:tcPr>
          <w:p w14:paraId="36BE8BB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EV isolation (ultracentrifugation); miRNA-seq; WOI-timed sampling</w:t>
            </w:r>
          </w:p>
        </w:tc>
        <w:tc>
          <w:tcPr>
            <w:tcW w:w="1364" w:type="dxa"/>
            <w:tcBorders>
              <w:top w:val="nil"/>
              <w:left w:val="nil"/>
              <w:bottom w:val="nil"/>
              <w:right w:val="nil"/>
            </w:tcBorders>
            <w:tcMar>
              <w:top w:w="45" w:type="dxa"/>
              <w:left w:w="45" w:type="dxa"/>
              <w:bottom w:w="45" w:type="dxa"/>
              <w:right w:w="45" w:type="dxa"/>
            </w:tcMar>
            <w:vAlign w:val="center"/>
          </w:tcPr>
          <w:p w14:paraId="47032F5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Plasma + exosome dual compartment; non-invasive; WOI-timed</w:t>
            </w:r>
          </w:p>
        </w:tc>
        <w:tc>
          <w:tcPr>
            <w:tcW w:w="1380" w:type="dxa"/>
            <w:tcBorders>
              <w:top w:val="nil"/>
              <w:left w:val="nil"/>
              <w:bottom w:val="nil"/>
              <w:right w:val="nil"/>
            </w:tcBorders>
            <w:tcMar>
              <w:top w:w="45" w:type="dxa"/>
              <w:left w:w="45" w:type="dxa"/>
              <w:bottom w:w="45" w:type="dxa"/>
              <w:right w:w="45" w:type="dxa"/>
            </w:tcMar>
            <w:vAlign w:val="center"/>
          </w:tcPr>
          <w:p w14:paraId="603C157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Moderate N; no prospective validation</w:t>
            </w:r>
          </w:p>
        </w:tc>
      </w:tr>
      <w:tr w:rsidR="00D7116D" w:rsidRPr="00D578DF" w14:paraId="29FAAEFA"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18C8751E"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Apostolov A et al., 2025 [89]</w:t>
            </w:r>
          </w:p>
        </w:tc>
        <w:tc>
          <w:tcPr>
            <w:tcW w:w="1114" w:type="dxa"/>
            <w:tcBorders>
              <w:top w:val="nil"/>
              <w:left w:val="nil"/>
              <w:bottom w:val="nil"/>
              <w:right w:val="nil"/>
            </w:tcBorders>
            <w:tcMar>
              <w:top w:w="45" w:type="dxa"/>
              <w:left w:w="45" w:type="dxa"/>
              <w:bottom w:w="45" w:type="dxa"/>
              <w:right w:w="45" w:type="dxa"/>
            </w:tcMar>
            <w:vAlign w:val="center"/>
          </w:tcPr>
          <w:p w14:paraId="5D41CFD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Reproduction Open</w:t>
            </w:r>
          </w:p>
        </w:tc>
        <w:tc>
          <w:tcPr>
            <w:tcW w:w="1189" w:type="dxa"/>
            <w:tcBorders>
              <w:top w:val="nil"/>
              <w:left w:val="nil"/>
              <w:bottom w:val="nil"/>
              <w:right w:val="nil"/>
            </w:tcBorders>
            <w:tcMar>
              <w:top w:w="45" w:type="dxa"/>
              <w:left w:w="45" w:type="dxa"/>
              <w:bottom w:w="45" w:type="dxa"/>
              <w:right w:w="45" w:type="dxa"/>
            </w:tcMar>
            <w:vAlign w:val="center"/>
          </w:tcPr>
          <w:p w14:paraId="40CF8A6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Multi-omics (EV)</w:t>
            </w:r>
          </w:p>
        </w:tc>
        <w:tc>
          <w:tcPr>
            <w:tcW w:w="1055" w:type="dxa"/>
            <w:tcBorders>
              <w:top w:val="nil"/>
              <w:left w:val="nil"/>
              <w:bottom w:val="nil"/>
              <w:right w:val="nil"/>
            </w:tcBorders>
            <w:tcMar>
              <w:top w:w="45" w:type="dxa"/>
              <w:left w:w="45" w:type="dxa"/>
              <w:bottom w:w="45" w:type="dxa"/>
              <w:right w:w="45" w:type="dxa"/>
            </w:tcMar>
            <w:vAlign w:val="center"/>
          </w:tcPr>
          <w:p w14:paraId="74FD71B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22 uterine fluid samples</w:t>
            </w:r>
          </w:p>
        </w:tc>
        <w:tc>
          <w:tcPr>
            <w:tcW w:w="1787" w:type="dxa"/>
            <w:tcBorders>
              <w:top w:val="nil"/>
              <w:left w:val="nil"/>
              <w:bottom w:val="nil"/>
              <w:right w:val="nil"/>
            </w:tcBorders>
            <w:tcMar>
              <w:top w:w="45" w:type="dxa"/>
              <w:left w:w="45" w:type="dxa"/>
              <w:bottom w:w="45" w:type="dxa"/>
              <w:right w:w="45" w:type="dxa"/>
            </w:tcMar>
            <w:vAlign w:val="center"/>
          </w:tcPr>
          <w:p w14:paraId="39FFC98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Uterine fluid EV transcriptome/proteome mirrors endometrial tissue signature; cycle-phase dependent EV cargo changes; LIF, MUC1, ITGB3 in WOI EVs</w:t>
            </w:r>
          </w:p>
        </w:tc>
        <w:tc>
          <w:tcPr>
            <w:tcW w:w="2411" w:type="dxa"/>
            <w:tcBorders>
              <w:top w:val="nil"/>
              <w:left w:val="nil"/>
              <w:bottom w:val="nil"/>
              <w:right w:val="nil"/>
            </w:tcBorders>
            <w:tcMar>
              <w:top w:w="45" w:type="dxa"/>
              <w:left w:w="45" w:type="dxa"/>
              <w:bottom w:w="45" w:type="dxa"/>
              <w:right w:w="45" w:type="dxa"/>
            </w:tcMar>
            <w:vAlign w:val="center"/>
          </w:tcPr>
          <w:p w14:paraId="24E3104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Uterine fluid EVs as non-invasive endometrial receptivity biosensors across the cycle</w:t>
            </w:r>
          </w:p>
        </w:tc>
        <w:tc>
          <w:tcPr>
            <w:tcW w:w="1738" w:type="dxa"/>
            <w:tcBorders>
              <w:top w:val="nil"/>
              <w:left w:val="nil"/>
              <w:bottom w:val="nil"/>
              <w:right w:val="nil"/>
            </w:tcBorders>
            <w:tcMar>
              <w:top w:w="45" w:type="dxa"/>
              <w:left w:w="45" w:type="dxa"/>
              <w:bottom w:w="45" w:type="dxa"/>
              <w:right w:w="45" w:type="dxa"/>
            </w:tcMar>
            <w:vAlign w:val="center"/>
          </w:tcPr>
          <w:p w14:paraId="35F4D55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EV isolation; RNA-seq + proteomics; tissue concordance analysis</w:t>
            </w:r>
          </w:p>
        </w:tc>
        <w:tc>
          <w:tcPr>
            <w:tcW w:w="1364" w:type="dxa"/>
            <w:tcBorders>
              <w:top w:val="nil"/>
              <w:left w:val="nil"/>
              <w:bottom w:val="nil"/>
              <w:right w:val="nil"/>
            </w:tcBorders>
            <w:tcMar>
              <w:top w:w="45" w:type="dxa"/>
              <w:left w:w="45" w:type="dxa"/>
              <w:bottom w:w="45" w:type="dxa"/>
              <w:right w:w="45" w:type="dxa"/>
            </w:tcMar>
            <w:vAlign w:val="center"/>
          </w:tcPr>
          <w:p w14:paraId="0CA8C75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Non-invasive EV multi-omics; Human Reproduction Open; strong EV </w:t>
            </w:r>
            <w:proofErr w:type="spellStart"/>
            <w:r w:rsidRPr="00D578DF">
              <w:rPr>
                <w:rFonts w:ascii="Times New Roman" w:eastAsia="Calibri" w:hAnsi="Times New Roman" w:cs="Times New Roman"/>
                <w:color w:val="000000" w:themeColor="text1"/>
                <w:sz w:val="20"/>
                <w:szCs w:val="20"/>
              </w:rPr>
              <w:t>characterisation</w:t>
            </w:r>
            <w:proofErr w:type="spellEnd"/>
          </w:p>
        </w:tc>
        <w:tc>
          <w:tcPr>
            <w:tcW w:w="1380" w:type="dxa"/>
            <w:tcBorders>
              <w:top w:val="nil"/>
              <w:left w:val="nil"/>
              <w:bottom w:val="nil"/>
              <w:right w:val="nil"/>
            </w:tcBorders>
            <w:tcMar>
              <w:top w:w="45" w:type="dxa"/>
              <w:left w:w="45" w:type="dxa"/>
              <w:bottom w:w="45" w:type="dxa"/>
              <w:right w:w="45" w:type="dxa"/>
            </w:tcMar>
            <w:vAlign w:val="center"/>
          </w:tcPr>
          <w:p w14:paraId="41F3330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Moderate N; cycle-phase focus not RIF-exclusive</w:t>
            </w:r>
          </w:p>
        </w:tc>
      </w:tr>
      <w:tr w:rsidR="00D7116D" w:rsidRPr="00D578DF" w14:paraId="20636B69"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11176F3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Evans J et al., 2020 [90]</w:t>
            </w:r>
          </w:p>
        </w:tc>
        <w:tc>
          <w:tcPr>
            <w:tcW w:w="1114" w:type="dxa"/>
            <w:tcBorders>
              <w:top w:val="nil"/>
              <w:left w:val="nil"/>
              <w:bottom w:val="nil"/>
              <w:right w:val="nil"/>
            </w:tcBorders>
            <w:tcMar>
              <w:top w:w="45" w:type="dxa"/>
              <w:left w:w="45" w:type="dxa"/>
              <w:bottom w:w="45" w:type="dxa"/>
              <w:right w:w="45" w:type="dxa"/>
            </w:tcMar>
            <w:vAlign w:val="center"/>
          </w:tcPr>
          <w:p w14:paraId="4B121B8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Proteomics</w:t>
            </w:r>
          </w:p>
        </w:tc>
        <w:tc>
          <w:tcPr>
            <w:tcW w:w="1189" w:type="dxa"/>
            <w:tcBorders>
              <w:top w:val="nil"/>
              <w:left w:val="nil"/>
              <w:bottom w:val="nil"/>
              <w:right w:val="nil"/>
            </w:tcBorders>
            <w:tcMar>
              <w:top w:w="45" w:type="dxa"/>
              <w:left w:w="45" w:type="dxa"/>
              <w:bottom w:w="45" w:type="dxa"/>
              <w:right w:w="45" w:type="dxa"/>
            </w:tcMar>
            <w:vAlign w:val="center"/>
          </w:tcPr>
          <w:p w14:paraId="10B794C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 (LC-MS/MS)</w:t>
            </w:r>
          </w:p>
        </w:tc>
        <w:tc>
          <w:tcPr>
            <w:tcW w:w="1055" w:type="dxa"/>
            <w:tcBorders>
              <w:top w:val="nil"/>
              <w:left w:val="nil"/>
              <w:bottom w:val="nil"/>
              <w:right w:val="nil"/>
            </w:tcBorders>
            <w:tcMar>
              <w:top w:w="45" w:type="dxa"/>
              <w:left w:w="45" w:type="dxa"/>
              <w:bottom w:w="45" w:type="dxa"/>
              <w:right w:w="45" w:type="dxa"/>
            </w:tcMar>
            <w:vAlign w:val="center"/>
          </w:tcPr>
          <w:p w14:paraId="6DD3D56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18 receptive vs. 18 non-receptive</w:t>
            </w:r>
          </w:p>
        </w:tc>
        <w:tc>
          <w:tcPr>
            <w:tcW w:w="1787" w:type="dxa"/>
            <w:tcBorders>
              <w:top w:val="nil"/>
              <w:left w:val="nil"/>
              <w:bottom w:val="nil"/>
              <w:right w:val="nil"/>
            </w:tcBorders>
            <w:tcMar>
              <w:top w:w="45" w:type="dxa"/>
              <w:left w:w="45" w:type="dxa"/>
              <w:bottom w:w="45" w:type="dxa"/>
              <w:right w:w="45" w:type="dxa"/>
            </w:tcMar>
            <w:vAlign w:val="center"/>
          </w:tcPr>
          <w:p w14:paraId="72AFEB2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ANXA2, HSP70, LGALS3BP as receptivity proteins; fibronectin, vinculin elevated at WOI; embryo-endometrium adhesion molecules mapped</w:t>
            </w:r>
          </w:p>
        </w:tc>
        <w:tc>
          <w:tcPr>
            <w:tcW w:w="2411" w:type="dxa"/>
            <w:tcBorders>
              <w:top w:val="nil"/>
              <w:left w:val="nil"/>
              <w:bottom w:val="nil"/>
              <w:right w:val="nil"/>
            </w:tcBorders>
            <w:tcMar>
              <w:top w:w="45" w:type="dxa"/>
              <w:left w:w="45" w:type="dxa"/>
              <w:bottom w:w="45" w:type="dxa"/>
              <w:right w:w="45" w:type="dxa"/>
            </w:tcMar>
            <w:vAlign w:val="center"/>
          </w:tcPr>
          <w:p w14:paraId="61DDEDE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Adhesion-promoting protein panel as functional biomarkers and potential endometrial priming targets</w:t>
            </w:r>
          </w:p>
        </w:tc>
        <w:tc>
          <w:tcPr>
            <w:tcW w:w="1738" w:type="dxa"/>
            <w:tcBorders>
              <w:top w:val="nil"/>
              <w:left w:val="nil"/>
              <w:bottom w:val="nil"/>
              <w:right w:val="nil"/>
            </w:tcBorders>
            <w:tcMar>
              <w:top w:w="45" w:type="dxa"/>
              <w:left w:w="45" w:type="dxa"/>
              <w:bottom w:w="45" w:type="dxa"/>
              <w:right w:w="45" w:type="dxa"/>
            </w:tcMar>
            <w:vAlign w:val="center"/>
          </w:tcPr>
          <w:p w14:paraId="19FC4E3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LC-MS/MS; label-free quantification</w:t>
            </w:r>
          </w:p>
        </w:tc>
        <w:tc>
          <w:tcPr>
            <w:tcW w:w="1364" w:type="dxa"/>
            <w:tcBorders>
              <w:top w:val="nil"/>
              <w:left w:val="nil"/>
              <w:bottom w:val="nil"/>
              <w:right w:val="nil"/>
            </w:tcBorders>
            <w:tcMar>
              <w:top w:w="45" w:type="dxa"/>
              <w:left w:w="45" w:type="dxa"/>
              <w:bottom w:w="45" w:type="dxa"/>
              <w:right w:w="45" w:type="dxa"/>
            </w:tcMar>
            <w:vAlign w:val="center"/>
          </w:tcPr>
          <w:p w14:paraId="7F51A6F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Embryo-endometrium interaction focus; PROTEOMICS journal; pathway enrichment</w:t>
            </w:r>
          </w:p>
        </w:tc>
        <w:tc>
          <w:tcPr>
            <w:tcW w:w="1380" w:type="dxa"/>
            <w:tcBorders>
              <w:top w:val="nil"/>
              <w:left w:val="nil"/>
              <w:bottom w:val="nil"/>
              <w:right w:val="nil"/>
            </w:tcBorders>
            <w:tcMar>
              <w:top w:w="45" w:type="dxa"/>
              <w:left w:w="45" w:type="dxa"/>
              <w:bottom w:w="45" w:type="dxa"/>
              <w:right w:w="45" w:type="dxa"/>
            </w:tcMar>
            <w:vAlign w:val="center"/>
          </w:tcPr>
          <w:p w14:paraId="7A80204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Small N; single biological condition</w:t>
            </w:r>
          </w:p>
        </w:tc>
      </w:tr>
      <w:tr w:rsidR="00D7116D" w:rsidRPr="00D578DF" w14:paraId="36A9E935"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11C5B5C"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Perez-</w:t>
            </w:r>
            <w:proofErr w:type="gramStart"/>
            <w:r w:rsidRPr="00D578DF">
              <w:rPr>
                <w:rFonts w:ascii="Times New Roman" w:hAnsi="Times New Roman" w:cs="Times New Roman"/>
                <w:color w:val="000000"/>
                <w:sz w:val="20"/>
                <w:szCs w:val="20"/>
              </w:rPr>
              <w:t>Deben  et al.</w:t>
            </w:r>
            <w:proofErr w:type="gramEnd"/>
            <w:r w:rsidRPr="00D578DF">
              <w:rPr>
                <w:rFonts w:ascii="Times New Roman" w:hAnsi="Times New Roman" w:cs="Times New Roman"/>
                <w:color w:val="000000"/>
                <w:sz w:val="20"/>
                <w:szCs w:val="20"/>
              </w:rPr>
              <w:t>, 2019 [91]</w:t>
            </w:r>
          </w:p>
        </w:tc>
        <w:tc>
          <w:tcPr>
            <w:tcW w:w="1114" w:type="dxa"/>
            <w:tcBorders>
              <w:top w:val="nil"/>
              <w:left w:val="nil"/>
              <w:bottom w:val="nil"/>
              <w:right w:val="nil"/>
            </w:tcBorders>
            <w:tcMar>
              <w:top w:w="45" w:type="dxa"/>
              <w:left w:w="45" w:type="dxa"/>
              <w:bottom w:w="45" w:type="dxa"/>
              <w:right w:w="45" w:type="dxa"/>
            </w:tcMar>
            <w:vAlign w:val="center"/>
          </w:tcPr>
          <w:p w14:paraId="57E9A57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Proteomics</w:t>
            </w:r>
          </w:p>
        </w:tc>
        <w:tc>
          <w:tcPr>
            <w:tcW w:w="1189" w:type="dxa"/>
            <w:tcBorders>
              <w:top w:val="nil"/>
              <w:left w:val="nil"/>
              <w:bottom w:val="nil"/>
              <w:right w:val="nil"/>
            </w:tcBorders>
            <w:tcMar>
              <w:top w:w="45" w:type="dxa"/>
              <w:left w:w="45" w:type="dxa"/>
              <w:bottom w:w="45" w:type="dxa"/>
              <w:right w:w="45" w:type="dxa"/>
            </w:tcMar>
            <w:vAlign w:val="center"/>
          </w:tcPr>
          <w:p w14:paraId="397CFC2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 (</w:t>
            </w:r>
            <w:proofErr w:type="spellStart"/>
            <w:r w:rsidRPr="00D578DF">
              <w:rPr>
                <w:rFonts w:ascii="Times New Roman" w:eastAsia="Calibri" w:hAnsi="Times New Roman" w:cs="Times New Roman"/>
                <w:color w:val="000000" w:themeColor="text1"/>
                <w:sz w:val="20"/>
                <w:szCs w:val="20"/>
              </w:rPr>
              <w:t>iTRAQ</w:t>
            </w:r>
            <w:proofErr w:type="spellEnd"/>
            <w:r w:rsidRPr="00D578DF">
              <w:rPr>
                <w:rFonts w:ascii="Times New Roman" w:eastAsia="Calibri" w:hAnsi="Times New Roman" w:cs="Times New Roman"/>
                <w:color w:val="000000" w:themeColor="text1"/>
                <w:sz w:val="20"/>
                <w:szCs w:val="20"/>
              </w:rPr>
              <w:t>)</w:t>
            </w:r>
          </w:p>
        </w:tc>
        <w:tc>
          <w:tcPr>
            <w:tcW w:w="1055" w:type="dxa"/>
            <w:tcBorders>
              <w:top w:val="nil"/>
              <w:left w:val="nil"/>
              <w:bottom w:val="nil"/>
              <w:right w:val="nil"/>
            </w:tcBorders>
            <w:tcMar>
              <w:top w:w="45" w:type="dxa"/>
              <w:left w:w="45" w:type="dxa"/>
              <w:bottom w:w="45" w:type="dxa"/>
              <w:right w:w="45" w:type="dxa"/>
            </w:tcMar>
            <w:vAlign w:val="center"/>
          </w:tcPr>
          <w:p w14:paraId="0AE13F2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20 WOI vs. 20 pre-receptive</w:t>
            </w:r>
          </w:p>
        </w:tc>
        <w:tc>
          <w:tcPr>
            <w:tcW w:w="1787" w:type="dxa"/>
            <w:tcBorders>
              <w:top w:val="nil"/>
              <w:left w:val="nil"/>
              <w:bottom w:val="nil"/>
              <w:right w:val="nil"/>
            </w:tcBorders>
            <w:tcMar>
              <w:top w:w="45" w:type="dxa"/>
              <w:left w:w="45" w:type="dxa"/>
              <w:bottom w:w="45" w:type="dxa"/>
              <w:right w:w="45" w:type="dxa"/>
            </w:tcMar>
            <w:vAlign w:val="center"/>
          </w:tcPr>
          <w:p w14:paraId="7E417C3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47 proteins differentially expressed; PAEP (glycodelin-A), LTF, SERPINA1 upregulated at WOI; immune-modulatory profile</w:t>
            </w:r>
          </w:p>
        </w:tc>
        <w:tc>
          <w:tcPr>
            <w:tcW w:w="2411" w:type="dxa"/>
            <w:tcBorders>
              <w:top w:val="nil"/>
              <w:left w:val="nil"/>
              <w:bottom w:val="nil"/>
              <w:right w:val="nil"/>
            </w:tcBorders>
            <w:tcMar>
              <w:top w:w="45" w:type="dxa"/>
              <w:left w:w="45" w:type="dxa"/>
              <w:bottom w:w="45" w:type="dxa"/>
              <w:right w:w="45" w:type="dxa"/>
            </w:tcMar>
            <w:vAlign w:val="center"/>
          </w:tcPr>
          <w:p w14:paraId="3147F04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WOI proteomic signature for receptivity assessment; glycodelin as serum biomarker candidate</w:t>
            </w:r>
          </w:p>
        </w:tc>
        <w:tc>
          <w:tcPr>
            <w:tcW w:w="1738" w:type="dxa"/>
            <w:tcBorders>
              <w:top w:val="nil"/>
              <w:left w:val="nil"/>
              <w:bottom w:val="nil"/>
              <w:right w:val="nil"/>
            </w:tcBorders>
            <w:tcMar>
              <w:top w:w="45" w:type="dxa"/>
              <w:left w:w="45" w:type="dxa"/>
              <w:bottom w:w="45" w:type="dxa"/>
              <w:right w:w="45" w:type="dxa"/>
            </w:tcMar>
            <w:vAlign w:val="center"/>
          </w:tcPr>
          <w:p w14:paraId="2FDA8008"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iTRAQ</w:t>
            </w:r>
            <w:proofErr w:type="spellEnd"/>
            <w:r w:rsidRPr="00D578DF">
              <w:rPr>
                <w:rFonts w:ascii="Times New Roman" w:eastAsia="Calibri" w:hAnsi="Times New Roman" w:cs="Times New Roman"/>
                <w:color w:val="000000" w:themeColor="text1"/>
                <w:sz w:val="20"/>
                <w:szCs w:val="20"/>
              </w:rPr>
              <w:t>; LC-MS/MS; WOI-</w:t>
            </w:r>
            <w:proofErr w:type="spellStart"/>
            <w:r w:rsidRPr="00D578DF">
              <w:rPr>
                <w:rFonts w:ascii="Times New Roman" w:eastAsia="Calibri" w:hAnsi="Times New Roman" w:cs="Times New Roman"/>
                <w:color w:val="000000" w:themeColor="text1"/>
                <w:sz w:val="20"/>
                <w:szCs w:val="20"/>
              </w:rPr>
              <w:t>synchronised</w:t>
            </w:r>
            <w:proofErr w:type="spellEnd"/>
          </w:p>
        </w:tc>
        <w:tc>
          <w:tcPr>
            <w:tcW w:w="1364" w:type="dxa"/>
            <w:tcBorders>
              <w:top w:val="nil"/>
              <w:left w:val="nil"/>
              <w:bottom w:val="nil"/>
              <w:right w:val="nil"/>
            </w:tcBorders>
            <w:tcMar>
              <w:top w:w="45" w:type="dxa"/>
              <w:left w:w="45" w:type="dxa"/>
              <w:bottom w:w="45" w:type="dxa"/>
              <w:right w:w="45" w:type="dxa"/>
            </w:tcMar>
            <w:vAlign w:val="center"/>
          </w:tcPr>
          <w:p w14:paraId="6C6E8660"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iTRAQ</w:t>
            </w:r>
            <w:proofErr w:type="spellEnd"/>
            <w:r w:rsidRPr="00D578DF">
              <w:rPr>
                <w:rFonts w:ascii="Times New Roman" w:eastAsia="Calibri" w:hAnsi="Times New Roman" w:cs="Times New Roman"/>
                <w:color w:val="000000" w:themeColor="text1"/>
                <w:sz w:val="20"/>
                <w:szCs w:val="20"/>
              </w:rPr>
              <w:t xml:space="preserve"> quantitative approach; WOI-</w:t>
            </w:r>
            <w:proofErr w:type="spellStart"/>
            <w:r w:rsidRPr="00D578DF">
              <w:rPr>
                <w:rFonts w:ascii="Times New Roman" w:eastAsia="Calibri" w:hAnsi="Times New Roman" w:cs="Times New Roman"/>
                <w:color w:val="000000" w:themeColor="text1"/>
                <w:sz w:val="20"/>
                <w:szCs w:val="20"/>
              </w:rPr>
              <w:t>synchronised</w:t>
            </w:r>
            <w:proofErr w:type="spellEnd"/>
            <w:r w:rsidRPr="00D578DF">
              <w:rPr>
                <w:rFonts w:ascii="Times New Roman" w:eastAsia="Calibri" w:hAnsi="Times New Roman" w:cs="Times New Roman"/>
                <w:color w:val="000000" w:themeColor="text1"/>
                <w:sz w:val="20"/>
                <w:szCs w:val="20"/>
              </w:rPr>
              <w:t>; Journal of Proteomics</w:t>
            </w:r>
          </w:p>
        </w:tc>
        <w:tc>
          <w:tcPr>
            <w:tcW w:w="1380" w:type="dxa"/>
            <w:tcBorders>
              <w:top w:val="nil"/>
              <w:left w:val="nil"/>
              <w:bottom w:val="nil"/>
              <w:right w:val="nil"/>
            </w:tcBorders>
            <w:tcMar>
              <w:top w:w="45" w:type="dxa"/>
              <w:left w:w="45" w:type="dxa"/>
              <w:bottom w:w="45" w:type="dxa"/>
              <w:right w:w="45" w:type="dxa"/>
            </w:tcMar>
            <w:vAlign w:val="center"/>
          </w:tcPr>
          <w:p w14:paraId="6725F80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Moderate N; WOI definition (hormonal cycle)</w:t>
            </w:r>
          </w:p>
        </w:tc>
      </w:tr>
      <w:tr w:rsidR="001C6BF7" w:rsidRPr="00D578DF" w14:paraId="30364848" w14:textId="77777777" w:rsidTr="00D578DF">
        <w:trPr>
          <w:trHeight w:val="615"/>
          <w:jc w:val="center"/>
        </w:trPr>
        <w:tc>
          <w:tcPr>
            <w:tcW w:w="922" w:type="dxa"/>
            <w:tcBorders>
              <w:top w:val="nil"/>
              <w:left w:val="nil"/>
              <w:bottom w:val="nil"/>
              <w:right w:val="nil"/>
            </w:tcBorders>
            <w:tcMar>
              <w:top w:w="45" w:type="dxa"/>
              <w:left w:w="45" w:type="dxa"/>
              <w:bottom w:w="45" w:type="dxa"/>
              <w:right w:w="45" w:type="dxa"/>
            </w:tcMar>
            <w:vAlign w:val="center"/>
          </w:tcPr>
          <w:p w14:paraId="2F6471F8" w14:textId="77777777" w:rsidR="001C6BF7" w:rsidRPr="00D578DF" w:rsidRDefault="001C6BF7" w:rsidP="00604322">
            <w:pPr>
              <w:rPr>
                <w:rFonts w:ascii="Times New Roman" w:hAnsi="Times New Roman" w:cs="Times New Roman"/>
                <w:sz w:val="20"/>
                <w:szCs w:val="20"/>
              </w:rPr>
            </w:pPr>
            <w:r w:rsidRPr="00D578DF">
              <w:rPr>
                <w:rFonts w:ascii="Times New Roman" w:hAnsi="Times New Roman" w:cs="Times New Roman"/>
                <w:color w:val="000000"/>
                <w:sz w:val="20"/>
                <w:szCs w:val="20"/>
              </w:rPr>
              <w:t>Nishio E et al., 2024 [29]</w:t>
            </w:r>
          </w:p>
        </w:tc>
        <w:tc>
          <w:tcPr>
            <w:tcW w:w="1114" w:type="dxa"/>
            <w:tcBorders>
              <w:top w:val="nil"/>
              <w:left w:val="nil"/>
              <w:bottom w:val="nil"/>
              <w:right w:val="nil"/>
            </w:tcBorders>
            <w:tcMar>
              <w:top w:w="45" w:type="dxa"/>
              <w:left w:w="45" w:type="dxa"/>
              <w:bottom w:w="45" w:type="dxa"/>
              <w:right w:w="45" w:type="dxa"/>
            </w:tcMar>
            <w:vAlign w:val="center"/>
          </w:tcPr>
          <w:p w14:paraId="3B74F728"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Medicine and Biology</w:t>
            </w:r>
          </w:p>
        </w:tc>
        <w:tc>
          <w:tcPr>
            <w:tcW w:w="1189" w:type="dxa"/>
            <w:tcBorders>
              <w:top w:val="nil"/>
              <w:left w:val="nil"/>
              <w:bottom w:val="nil"/>
              <w:right w:val="nil"/>
            </w:tcBorders>
            <w:tcMar>
              <w:top w:w="45" w:type="dxa"/>
              <w:left w:w="45" w:type="dxa"/>
              <w:bottom w:w="45" w:type="dxa"/>
              <w:right w:w="45" w:type="dxa"/>
            </w:tcMar>
            <w:vAlign w:val="center"/>
          </w:tcPr>
          <w:p w14:paraId="113A9EFD"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Prospective observational multi-omics study (contextual IVF-ET cohort)</w:t>
            </w:r>
          </w:p>
        </w:tc>
        <w:tc>
          <w:tcPr>
            <w:tcW w:w="1055" w:type="dxa"/>
            <w:tcBorders>
              <w:top w:val="nil"/>
              <w:left w:val="nil"/>
              <w:bottom w:val="nil"/>
              <w:right w:val="nil"/>
            </w:tcBorders>
            <w:tcMar>
              <w:top w:w="45" w:type="dxa"/>
              <w:left w:w="45" w:type="dxa"/>
              <w:bottom w:w="45" w:type="dxa"/>
              <w:right w:w="45" w:type="dxa"/>
            </w:tcMar>
            <w:vAlign w:val="center"/>
          </w:tcPr>
          <w:p w14:paraId="10F20124"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23 IVF-ET patients: 10 pregnant + 13 nonpregnant; cervicovaginal mucus</w:t>
            </w:r>
          </w:p>
        </w:tc>
        <w:tc>
          <w:tcPr>
            <w:tcW w:w="1787" w:type="dxa"/>
            <w:tcBorders>
              <w:top w:val="nil"/>
              <w:left w:val="nil"/>
              <w:bottom w:val="nil"/>
              <w:right w:val="nil"/>
            </w:tcBorders>
            <w:tcMar>
              <w:top w:w="45" w:type="dxa"/>
              <w:left w:w="45" w:type="dxa"/>
              <w:bottom w:w="45" w:type="dxa"/>
              <w:right w:w="45" w:type="dxa"/>
            </w:tcMar>
            <w:vAlign w:val="center"/>
          </w:tcPr>
          <w:p w14:paraId="2F228285"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Alanine-aspartate-glutamate metabolism, arginine biosynthesis and cysteine-methionine metabolism decreased around embryo transfer. Pyruvate was notably decreased in the pregnant group; </w:t>
            </w:r>
            <w:r w:rsidRPr="00D578DF">
              <w:rPr>
                <w:rFonts w:ascii="Times New Roman" w:eastAsia="Calibri" w:hAnsi="Times New Roman" w:cs="Times New Roman"/>
                <w:color w:val="000000" w:themeColor="text1"/>
                <w:sz w:val="20"/>
                <w:szCs w:val="20"/>
              </w:rPr>
              <w:lastRenderedPageBreak/>
              <w:t>amino-acid metabolites showed inverse correlations with anaerobic microbiota in nonpregnant patients.</w:t>
            </w:r>
          </w:p>
        </w:tc>
        <w:tc>
          <w:tcPr>
            <w:tcW w:w="2411" w:type="dxa"/>
            <w:tcBorders>
              <w:top w:val="nil"/>
              <w:left w:val="nil"/>
              <w:bottom w:val="nil"/>
              <w:right w:val="nil"/>
            </w:tcBorders>
            <w:tcMar>
              <w:top w:w="45" w:type="dxa"/>
              <w:left w:w="45" w:type="dxa"/>
              <w:bottom w:w="45" w:type="dxa"/>
              <w:right w:w="45" w:type="dxa"/>
            </w:tcMar>
            <w:vAlign w:val="center"/>
          </w:tcPr>
          <w:p w14:paraId="59F5E3E2"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Cervicovaginal-mucus metabolome/microbiome profiling may help predict IVF-ET pregnancy success; evidence is contextual and not specific to RIF.</w:t>
            </w:r>
          </w:p>
        </w:tc>
        <w:tc>
          <w:tcPr>
            <w:tcW w:w="1738" w:type="dxa"/>
            <w:tcBorders>
              <w:top w:val="nil"/>
              <w:left w:val="nil"/>
              <w:bottom w:val="nil"/>
              <w:right w:val="nil"/>
            </w:tcBorders>
            <w:tcMar>
              <w:top w:w="45" w:type="dxa"/>
              <w:left w:w="45" w:type="dxa"/>
              <w:bottom w:w="45" w:type="dxa"/>
              <w:right w:w="45" w:type="dxa"/>
            </w:tcMar>
            <w:vAlign w:val="center"/>
          </w:tcPr>
          <w:p w14:paraId="49343E73"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LC-MS metabolomics; universal 16S-rRNA PCR with </w:t>
            </w:r>
            <w:proofErr w:type="spellStart"/>
            <w:r w:rsidRPr="00D578DF">
              <w:rPr>
                <w:rFonts w:ascii="Times New Roman" w:eastAsia="Calibri" w:hAnsi="Times New Roman" w:cs="Times New Roman"/>
                <w:color w:val="000000" w:themeColor="text1"/>
                <w:sz w:val="20"/>
                <w:szCs w:val="20"/>
              </w:rPr>
              <w:t>MiSeq</w:t>
            </w:r>
            <w:proofErr w:type="spellEnd"/>
            <w:r w:rsidRPr="00D578DF">
              <w:rPr>
                <w:rFonts w:ascii="Times New Roman" w:eastAsia="Calibri" w:hAnsi="Times New Roman" w:cs="Times New Roman"/>
                <w:color w:val="000000" w:themeColor="text1"/>
                <w:sz w:val="20"/>
                <w:szCs w:val="20"/>
              </w:rPr>
              <w:t xml:space="preserve"> sequencing; </w:t>
            </w:r>
            <w:proofErr w:type="spellStart"/>
            <w:r w:rsidRPr="00D578DF">
              <w:rPr>
                <w:rFonts w:ascii="Times New Roman" w:eastAsia="Calibri" w:hAnsi="Times New Roman" w:cs="Times New Roman"/>
                <w:color w:val="000000" w:themeColor="text1"/>
                <w:sz w:val="20"/>
                <w:szCs w:val="20"/>
              </w:rPr>
              <w:t>MetaboAnalyst</w:t>
            </w:r>
            <w:proofErr w:type="spellEnd"/>
            <w:r w:rsidRPr="00D578DF">
              <w:rPr>
                <w:rFonts w:ascii="Times New Roman" w:eastAsia="Calibri" w:hAnsi="Times New Roman" w:cs="Times New Roman"/>
                <w:color w:val="000000" w:themeColor="text1"/>
                <w:sz w:val="20"/>
                <w:szCs w:val="20"/>
              </w:rPr>
              <w:t xml:space="preserve"> pathway analysis</w:t>
            </w:r>
          </w:p>
        </w:tc>
        <w:tc>
          <w:tcPr>
            <w:tcW w:w="1364" w:type="dxa"/>
            <w:tcBorders>
              <w:top w:val="nil"/>
              <w:left w:val="nil"/>
              <w:bottom w:val="nil"/>
              <w:right w:val="nil"/>
            </w:tcBorders>
            <w:tcMar>
              <w:top w:w="45" w:type="dxa"/>
              <w:left w:w="45" w:type="dxa"/>
              <w:bottom w:w="45" w:type="dxa"/>
              <w:right w:w="45" w:type="dxa"/>
            </w:tcMar>
            <w:vAlign w:val="center"/>
          </w:tcPr>
          <w:p w14:paraId="744CAA73"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Non-invasive sample; simultaneous metabolome and microbiome profiling; directly linked molecular profiles with IVF-ET </w:t>
            </w:r>
            <w:r w:rsidRPr="00D578DF">
              <w:rPr>
                <w:rFonts w:ascii="Times New Roman" w:eastAsia="Calibri" w:hAnsi="Times New Roman" w:cs="Times New Roman"/>
                <w:color w:val="000000" w:themeColor="text1"/>
                <w:sz w:val="20"/>
                <w:szCs w:val="20"/>
              </w:rPr>
              <w:lastRenderedPageBreak/>
              <w:t>pregnancy outcome.</w:t>
            </w:r>
          </w:p>
        </w:tc>
        <w:tc>
          <w:tcPr>
            <w:tcW w:w="1380" w:type="dxa"/>
            <w:tcBorders>
              <w:top w:val="nil"/>
              <w:left w:val="nil"/>
              <w:bottom w:val="nil"/>
              <w:right w:val="nil"/>
            </w:tcBorders>
            <w:tcMar>
              <w:top w:w="45" w:type="dxa"/>
              <w:left w:w="45" w:type="dxa"/>
              <w:bottom w:w="45" w:type="dxa"/>
              <w:right w:w="45" w:type="dxa"/>
            </w:tcMar>
            <w:vAlign w:val="center"/>
          </w:tcPr>
          <w:p w14:paraId="3C33F477" w14:textId="77777777" w:rsidR="001C6BF7" w:rsidRPr="00D578DF" w:rsidRDefault="001C6BF7" w:rsidP="00604322">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Very small single-</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 xml:space="preserve"> cohort; no independent validation; observational associations; not an RIF-specific population.</w:t>
            </w:r>
          </w:p>
        </w:tc>
      </w:tr>
      <w:tr w:rsidR="00D7116D" w:rsidRPr="00D578DF" w14:paraId="5793627C"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D7FBDD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Segura-Benítez et al., 2022 [88]</w:t>
            </w:r>
          </w:p>
        </w:tc>
        <w:tc>
          <w:tcPr>
            <w:tcW w:w="1114" w:type="dxa"/>
            <w:tcBorders>
              <w:top w:val="nil"/>
              <w:left w:val="nil"/>
              <w:bottom w:val="nil"/>
              <w:right w:val="nil"/>
            </w:tcBorders>
            <w:tcMar>
              <w:top w:w="45" w:type="dxa"/>
              <w:left w:w="45" w:type="dxa"/>
              <w:bottom w:w="45" w:type="dxa"/>
              <w:right w:w="45" w:type="dxa"/>
            </w:tcMar>
            <w:vAlign w:val="center"/>
          </w:tcPr>
          <w:p w14:paraId="18A27FC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Biology and Endocrinology</w:t>
            </w:r>
          </w:p>
        </w:tc>
        <w:tc>
          <w:tcPr>
            <w:tcW w:w="1189" w:type="dxa"/>
            <w:tcBorders>
              <w:top w:val="nil"/>
              <w:left w:val="nil"/>
              <w:bottom w:val="nil"/>
              <w:right w:val="nil"/>
            </w:tcBorders>
            <w:tcMar>
              <w:top w:w="45" w:type="dxa"/>
              <w:left w:w="45" w:type="dxa"/>
              <w:bottom w:w="45" w:type="dxa"/>
              <w:right w:w="45" w:type="dxa"/>
            </w:tcMar>
            <w:vAlign w:val="center"/>
          </w:tcPr>
          <w:p w14:paraId="2D0BCDC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 vitro EV proteomics</w:t>
            </w:r>
          </w:p>
        </w:tc>
        <w:tc>
          <w:tcPr>
            <w:tcW w:w="1055" w:type="dxa"/>
            <w:tcBorders>
              <w:top w:val="nil"/>
              <w:left w:val="nil"/>
              <w:bottom w:val="nil"/>
              <w:right w:val="nil"/>
            </w:tcBorders>
            <w:tcMar>
              <w:top w:w="45" w:type="dxa"/>
              <w:left w:w="45" w:type="dxa"/>
              <w:bottom w:w="45" w:type="dxa"/>
              <w:right w:w="45" w:type="dxa"/>
            </w:tcMar>
            <w:vAlign w:val="center"/>
          </w:tcPr>
          <w:p w14:paraId="38E1394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Primary cultures (5 donors)</w:t>
            </w:r>
          </w:p>
        </w:tc>
        <w:tc>
          <w:tcPr>
            <w:tcW w:w="1787" w:type="dxa"/>
            <w:tcBorders>
              <w:top w:val="nil"/>
              <w:left w:val="nil"/>
              <w:bottom w:val="nil"/>
              <w:right w:val="nil"/>
            </w:tcBorders>
            <w:tcMar>
              <w:top w:w="45" w:type="dxa"/>
              <w:left w:w="45" w:type="dxa"/>
              <w:bottom w:w="45" w:type="dxa"/>
              <w:right w:w="45" w:type="dxa"/>
            </w:tcMar>
            <w:vAlign w:val="center"/>
          </w:tcPr>
          <w:p w14:paraId="335E722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247 EV proteins including ITGB3, MUC1, HSP90; EV cargo reflects cycle phase-dependent receptivity protein profile</w:t>
            </w:r>
          </w:p>
        </w:tc>
        <w:tc>
          <w:tcPr>
            <w:tcW w:w="2411" w:type="dxa"/>
            <w:tcBorders>
              <w:top w:val="nil"/>
              <w:left w:val="nil"/>
              <w:bottom w:val="nil"/>
              <w:right w:val="nil"/>
            </w:tcBorders>
            <w:tcMar>
              <w:top w:w="45" w:type="dxa"/>
              <w:left w:w="45" w:type="dxa"/>
              <w:bottom w:w="45" w:type="dxa"/>
              <w:right w:w="45" w:type="dxa"/>
            </w:tcMar>
            <w:vAlign w:val="center"/>
          </w:tcPr>
          <w:p w14:paraId="494DAEC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Endometrial EV proteome as non-invasive receptivity biomarker source; blastocyst communication medium</w:t>
            </w:r>
          </w:p>
        </w:tc>
        <w:tc>
          <w:tcPr>
            <w:tcW w:w="1738" w:type="dxa"/>
            <w:tcBorders>
              <w:top w:val="nil"/>
              <w:left w:val="nil"/>
              <w:bottom w:val="nil"/>
              <w:right w:val="nil"/>
            </w:tcBorders>
            <w:tcMar>
              <w:top w:w="45" w:type="dxa"/>
              <w:left w:w="45" w:type="dxa"/>
              <w:bottom w:w="45" w:type="dxa"/>
              <w:right w:w="45" w:type="dxa"/>
            </w:tcMar>
            <w:vAlign w:val="center"/>
          </w:tcPr>
          <w:p w14:paraId="443646F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NTA; Western blot; LC-MS/MS proteomics</w:t>
            </w:r>
          </w:p>
        </w:tc>
        <w:tc>
          <w:tcPr>
            <w:tcW w:w="1364" w:type="dxa"/>
            <w:tcBorders>
              <w:top w:val="nil"/>
              <w:left w:val="nil"/>
              <w:bottom w:val="nil"/>
              <w:right w:val="nil"/>
            </w:tcBorders>
            <w:tcMar>
              <w:top w:w="45" w:type="dxa"/>
              <w:left w:w="45" w:type="dxa"/>
              <w:bottom w:w="45" w:type="dxa"/>
              <w:right w:w="45" w:type="dxa"/>
            </w:tcMar>
            <w:vAlign w:val="center"/>
          </w:tcPr>
          <w:p w14:paraId="714CEFD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EV focus; primary (not cell-line) cultures; detailed EV </w:t>
            </w:r>
            <w:proofErr w:type="spellStart"/>
            <w:r w:rsidRPr="00D578DF">
              <w:rPr>
                <w:rFonts w:ascii="Times New Roman" w:eastAsia="Calibri" w:hAnsi="Times New Roman" w:cs="Times New Roman"/>
                <w:color w:val="000000" w:themeColor="text1"/>
                <w:sz w:val="20"/>
                <w:szCs w:val="20"/>
              </w:rPr>
              <w:t>characterisation</w:t>
            </w:r>
            <w:proofErr w:type="spellEnd"/>
          </w:p>
        </w:tc>
        <w:tc>
          <w:tcPr>
            <w:tcW w:w="1380" w:type="dxa"/>
            <w:tcBorders>
              <w:top w:val="nil"/>
              <w:left w:val="nil"/>
              <w:bottom w:val="nil"/>
              <w:right w:val="nil"/>
            </w:tcBorders>
            <w:tcMar>
              <w:top w:w="45" w:type="dxa"/>
              <w:left w:w="45" w:type="dxa"/>
              <w:bottom w:w="45" w:type="dxa"/>
              <w:right w:w="45" w:type="dxa"/>
            </w:tcMar>
            <w:vAlign w:val="center"/>
          </w:tcPr>
          <w:p w14:paraId="2F9A900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Very small N (5 donors); in vitro model</w:t>
            </w:r>
          </w:p>
        </w:tc>
      </w:tr>
      <w:tr w:rsidR="00D7116D" w:rsidRPr="00D578DF" w14:paraId="45044189"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C360D02"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Hernández-Vargas et al., 2020 [84]</w:t>
            </w:r>
          </w:p>
        </w:tc>
        <w:tc>
          <w:tcPr>
            <w:tcW w:w="1114" w:type="dxa"/>
            <w:tcBorders>
              <w:top w:val="nil"/>
              <w:left w:val="nil"/>
              <w:bottom w:val="nil"/>
              <w:right w:val="nil"/>
            </w:tcBorders>
            <w:tcMar>
              <w:top w:w="45" w:type="dxa"/>
              <w:left w:w="45" w:type="dxa"/>
              <w:bottom w:w="45" w:type="dxa"/>
              <w:right w:w="45" w:type="dxa"/>
            </w:tcMar>
            <w:vAlign w:val="center"/>
          </w:tcPr>
          <w:p w14:paraId="509DD70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Reproduction Update</w:t>
            </w:r>
          </w:p>
        </w:tc>
        <w:tc>
          <w:tcPr>
            <w:tcW w:w="1189" w:type="dxa"/>
            <w:tcBorders>
              <w:top w:val="nil"/>
              <w:left w:val="nil"/>
              <w:bottom w:val="nil"/>
              <w:right w:val="nil"/>
            </w:tcBorders>
            <w:tcMar>
              <w:top w:w="45" w:type="dxa"/>
              <w:left w:w="45" w:type="dxa"/>
              <w:bottom w:w="45" w:type="dxa"/>
              <w:right w:w="45" w:type="dxa"/>
            </w:tcMar>
            <w:vAlign w:val="center"/>
          </w:tcPr>
          <w:p w14:paraId="524EDE1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Systematic Review</w:t>
            </w:r>
          </w:p>
        </w:tc>
        <w:tc>
          <w:tcPr>
            <w:tcW w:w="1055" w:type="dxa"/>
            <w:tcBorders>
              <w:top w:val="nil"/>
              <w:left w:val="nil"/>
              <w:bottom w:val="nil"/>
              <w:right w:val="nil"/>
            </w:tcBorders>
            <w:tcMar>
              <w:top w:w="45" w:type="dxa"/>
              <w:left w:w="45" w:type="dxa"/>
              <w:bottom w:w="45" w:type="dxa"/>
              <w:right w:w="45" w:type="dxa"/>
            </w:tcMar>
            <w:vAlign w:val="center"/>
          </w:tcPr>
          <w:p w14:paraId="36AAFB3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studies</w:t>
            </w:r>
          </w:p>
        </w:tc>
        <w:tc>
          <w:tcPr>
            <w:tcW w:w="1787" w:type="dxa"/>
            <w:tcBorders>
              <w:top w:val="nil"/>
              <w:left w:val="nil"/>
              <w:bottom w:val="nil"/>
              <w:right w:val="nil"/>
            </w:tcBorders>
            <w:tcMar>
              <w:top w:w="45" w:type="dxa"/>
              <w:left w:w="45" w:type="dxa"/>
              <w:bottom w:w="45" w:type="dxa"/>
              <w:right w:w="45" w:type="dxa"/>
            </w:tcMar>
            <w:vAlign w:val="center"/>
          </w:tcPr>
          <w:p w14:paraId="58732A5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Multi-omics biomarker hierarchy for implantation prediction; proteomics + transcriptomics most informative; integration improves AUC to &gt;0.85</w:t>
            </w:r>
          </w:p>
        </w:tc>
        <w:tc>
          <w:tcPr>
            <w:tcW w:w="2411" w:type="dxa"/>
            <w:tcBorders>
              <w:top w:val="nil"/>
              <w:left w:val="nil"/>
              <w:bottom w:val="nil"/>
              <w:right w:val="nil"/>
            </w:tcBorders>
            <w:tcMar>
              <w:top w:w="45" w:type="dxa"/>
              <w:left w:w="45" w:type="dxa"/>
              <w:bottom w:w="45" w:type="dxa"/>
              <w:right w:w="45" w:type="dxa"/>
            </w:tcMar>
            <w:vAlign w:val="center"/>
          </w:tcPr>
          <w:p w14:paraId="552B430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Multi-omics integration framework for next-generation endometrial receptivity diagnostic panels</w:t>
            </w:r>
          </w:p>
        </w:tc>
        <w:tc>
          <w:tcPr>
            <w:tcW w:w="1738" w:type="dxa"/>
            <w:tcBorders>
              <w:top w:val="nil"/>
              <w:left w:val="nil"/>
              <w:bottom w:val="nil"/>
              <w:right w:val="nil"/>
            </w:tcBorders>
            <w:tcMar>
              <w:top w:w="45" w:type="dxa"/>
              <w:left w:w="45" w:type="dxa"/>
              <w:bottom w:w="45" w:type="dxa"/>
              <w:right w:w="45" w:type="dxa"/>
            </w:tcMar>
            <w:vAlign w:val="center"/>
          </w:tcPr>
          <w:p w14:paraId="77B69EE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AMSTAR-2; multi-omics biomarker synthesis</w:t>
            </w:r>
          </w:p>
        </w:tc>
        <w:tc>
          <w:tcPr>
            <w:tcW w:w="1364" w:type="dxa"/>
            <w:tcBorders>
              <w:top w:val="nil"/>
              <w:left w:val="nil"/>
              <w:bottom w:val="nil"/>
              <w:right w:val="nil"/>
            </w:tcBorders>
            <w:tcMar>
              <w:top w:w="45" w:type="dxa"/>
              <w:left w:w="45" w:type="dxa"/>
              <w:bottom w:w="45" w:type="dxa"/>
              <w:right w:w="45" w:type="dxa"/>
            </w:tcMar>
            <w:vAlign w:val="center"/>
          </w:tcPr>
          <w:p w14:paraId="33FB1BC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Reproduction Update; comprehensive multi-omics review; biomarker validation framework</w:t>
            </w:r>
          </w:p>
        </w:tc>
        <w:tc>
          <w:tcPr>
            <w:tcW w:w="1380" w:type="dxa"/>
            <w:tcBorders>
              <w:top w:val="nil"/>
              <w:left w:val="nil"/>
              <w:bottom w:val="nil"/>
              <w:right w:val="nil"/>
            </w:tcBorders>
            <w:tcMar>
              <w:top w:w="45" w:type="dxa"/>
              <w:left w:w="45" w:type="dxa"/>
              <w:bottom w:w="45" w:type="dxa"/>
              <w:right w:w="45" w:type="dxa"/>
            </w:tcMar>
            <w:vAlign w:val="center"/>
          </w:tcPr>
          <w:p w14:paraId="4366422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Review design; quantitative synthesis limited</w:t>
            </w:r>
          </w:p>
        </w:tc>
      </w:tr>
      <w:tr w:rsidR="00D7116D" w:rsidRPr="00D578DF" w14:paraId="004519D3"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F52F22B"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Yang J et al., 2023 [23]</w:t>
            </w:r>
          </w:p>
        </w:tc>
        <w:tc>
          <w:tcPr>
            <w:tcW w:w="1114" w:type="dxa"/>
            <w:tcBorders>
              <w:top w:val="nil"/>
              <w:left w:val="nil"/>
              <w:bottom w:val="nil"/>
              <w:right w:val="nil"/>
            </w:tcBorders>
            <w:tcMar>
              <w:top w:w="45" w:type="dxa"/>
              <w:left w:w="45" w:type="dxa"/>
              <w:bottom w:w="45" w:type="dxa"/>
              <w:right w:w="45" w:type="dxa"/>
            </w:tcMar>
            <w:vAlign w:val="center"/>
          </w:tcPr>
          <w:p w14:paraId="3C214DD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Frontiers in Endocrinology</w:t>
            </w:r>
          </w:p>
        </w:tc>
        <w:tc>
          <w:tcPr>
            <w:tcW w:w="1189" w:type="dxa"/>
            <w:tcBorders>
              <w:top w:val="nil"/>
              <w:left w:val="nil"/>
              <w:bottom w:val="nil"/>
              <w:right w:val="nil"/>
            </w:tcBorders>
            <w:tcMar>
              <w:top w:w="45" w:type="dxa"/>
              <w:left w:w="45" w:type="dxa"/>
              <w:bottom w:w="45" w:type="dxa"/>
              <w:right w:w="45" w:type="dxa"/>
            </w:tcMar>
            <w:vAlign w:val="center"/>
          </w:tcPr>
          <w:p w14:paraId="64B2F78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 (LC-MS/MS)</w:t>
            </w:r>
          </w:p>
        </w:tc>
        <w:tc>
          <w:tcPr>
            <w:tcW w:w="1055" w:type="dxa"/>
            <w:tcBorders>
              <w:top w:val="nil"/>
              <w:left w:val="nil"/>
              <w:bottom w:val="nil"/>
              <w:right w:val="nil"/>
            </w:tcBorders>
            <w:tcMar>
              <w:top w:w="45" w:type="dxa"/>
              <w:left w:w="45" w:type="dxa"/>
              <w:bottom w:w="45" w:type="dxa"/>
              <w:right w:w="45" w:type="dxa"/>
            </w:tcMar>
            <w:vAlign w:val="center"/>
          </w:tcPr>
          <w:p w14:paraId="40CE12F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38 RIF vs. 30 controls</w:t>
            </w:r>
          </w:p>
        </w:tc>
        <w:tc>
          <w:tcPr>
            <w:tcW w:w="1787" w:type="dxa"/>
            <w:tcBorders>
              <w:top w:val="nil"/>
              <w:left w:val="nil"/>
              <w:bottom w:val="nil"/>
              <w:right w:val="nil"/>
            </w:tcBorders>
            <w:tcMar>
              <w:top w:w="45" w:type="dxa"/>
              <w:left w:w="45" w:type="dxa"/>
              <w:bottom w:w="45" w:type="dxa"/>
              <w:right w:w="45" w:type="dxa"/>
            </w:tcMar>
            <w:vAlign w:val="center"/>
          </w:tcPr>
          <w:p w14:paraId="3CBB48C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89 differentially expressed proteins; RIF: reduced PAEP, LTF; elevated acute-</w:t>
            </w:r>
            <w:r w:rsidRPr="00D578DF">
              <w:rPr>
                <w:rFonts w:ascii="Times New Roman" w:eastAsia="Calibri" w:hAnsi="Times New Roman" w:cs="Times New Roman"/>
                <w:color w:val="000000" w:themeColor="text1"/>
                <w:sz w:val="20"/>
                <w:szCs w:val="20"/>
              </w:rPr>
              <w:lastRenderedPageBreak/>
              <w:t>phase proteins (CRP, SAA1); immune protein dysregulation</w:t>
            </w:r>
          </w:p>
        </w:tc>
        <w:tc>
          <w:tcPr>
            <w:tcW w:w="2411" w:type="dxa"/>
            <w:tcBorders>
              <w:top w:val="nil"/>
              <w:left w:val="nil"/>
              <w:bottom w:val="nil"/>
              <w:right w:val="nil"/>
            </w:tcBorders>
            <w:tcMar>
              <w:top w:w="45" w:type="dxa"/>
              <w:left w:w="45" w:type="dxa"/>
              <w:bottom w:w="45" w:type="dxa"/>
              <w:right w:w="45" w:type="dxa"/>
            </w:tcMar>
            <w:vAlign w:val="center"/>
          </w:tcPr>
          <w:p w14:paraId="77E4D8F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Acute-phase protein panel as candidate RIF proteomic biomarkers for serum testing</w:t>
            </w:r>
          </w:p>
        </w:tc>
        <w:tc>
          <w:tcPr>
            <w:tcW w:w="1738" w:type="dxa"/>
            <w:tcBorders>
              <w:top w:val="nil"/>
              <w:left w:val="nil"/>
              <w:bottom w:val="nil"/>
              <w:right w:val="nil"/>
            </w:tcBorders>
            <w:tcMar>
              <w:top w:w="45" w:type="dxa"/>
              <w:left w:w="45" w:type="dxa"/>
              <w:bottom w:w="45" w:type="dxa"/>
              <w:right w:w="45" w:type="dxa"/>
            </w:tcMar>
            <w:vAlign w:val="center"/>
          </w:tcPr>
          <w:p w14:paraId="21640BD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LC-MS/MS; FDR &lt;1%; KEGG pathway analysis</w:t>
            </w:r>
          </w:p>
        </w:tc>
        <w:tc>
          <w:tcPr>
            <w:tcW w:w="1364" w:type="dxa"/>
            <w:tcBorders>
              <w:top w:val="nil"/>
              <w:left w:val="nil"/>
              <w:bottom w:val="nil"/>
              <w:right w:val="nil"/>
            </w:tcBorders>
            <w:tcMar>
              <w:top w:w="45" w:type="dxa"/>
              <w:left w:w="45" w:type="dxa"/>
              <w:bottom w:w="45" w:type="dxa"/>
              <w:right w:w="45" w:type="dxa"/>
            </w:tcMar>
            <w:vAlign w:val="center"/>
          </w:tcPr>
          <w:p w14:paraId="1627130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Frontiers Endocrinology; adequate N; </w:t>
            </w:r>
            <w:r w:rsidRPr="00D578DF">
              <w:rPr>
                <w:rFonts w:ascii="Times New Roman" w:eastAsia="Calibri" w:hAnsi="Times New Roman" w:cs="Times New Roman"/>
                <w:color w:val="000000" w:themeColor="text1"/>
                <w:sz w:val="20"/>
                <w:szCs w:val="20"/>
              </w:rPr>
              <w:lastRenderedPageBreak/>
              <w:t>WOI timing; FDR-controlled</w:t>
            </w:r>
          </w:p>
        </w:tc>
        <w:tc>
          <w:tcPr>
            <w:tcW w:w="1380" w:type="dxa"/>
            <w:tcBorders>
              <w:top w:val="nil"/>
              <w:left w:val="nil"/>
              <w:bottom w:val="nil"/>
              <w:right w:val="nil"/>
            </w:tcBorders>
            <w:tcMar>
              <w:top w:w="45" w:type="dxa"/>
              <w:left w:w="45" w:type="dxa"/>
              <w:bottom w:w="45" w:type="dxa"/>
              <w:right w:w="45" w:type="dxa"/>
            </w:tcMar>
            <w:vAlign w:val="center"/>
          </w:tcPr>
          <w:p w14:paraId="741261F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Single </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 no clinical outcome data</w:t>
            </w:r>
          </w:p>
        </w:tc>
      </w:tr>
      <w:tr w:rsidR="00D7116D" w:rsidRPr="00D578DF" w14:paraId="18948AAD"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75FC6613"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Zhao J et al., 2023 [24]</w:t>
            </w:r>
          </w:p>
        </w:tc>
        <w:tc>
          <w:tcPr>
            <w:tcW w:w="1114" w:type="dxa"/>
            <w:tcBorders>
              <w:top w:val="nil"/>
              <w:left w:val="nil"/>
              <w:bottom w:val="nil"/>
              <w:right w:val="nil"/>
            </w:tcBorders>
            <w:tcMar>
              <w:top w:w="45" w:type="dxa"/>
              <w:left w:w="45" w:type="dxa"/>
              <w:bottom w:w="45" w:type="dxa"/>
              <w:right w:w="45" w:type="dxa"/>
            </w:tcMar>
            <w:vAlign w:val="center"/>
          </w:tcPr>
          <w:p w14:paraId="6EE4F07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Gynecological Endocrinology</w:t>
            </w:r>
          </w:p>
        </w:tc>
        <w:tc>
          <w:tcPr>
            <w:tcW w:w="1189" w:type="dxa"/>
            <w:tcBorders>
              <w:top w:val="nil"/>
              <w:left w:val="nil"/>
              <w:bottom w:val="nil"/>
              <w:right w:val="nil"/>
            </w:tcBorders>
            <w:tcMar>
              <w:top w:w="45" w:type="dxa"/>
              <w:left w:w="45" w:type="dxa"/>
              <w:bottom w:w="45" w:type="dxa"/>
              <w:right w:w="45" w:type="dxa"/>
            </w:tcMar>
            <w:vAlign w:val="center"/>
          </w:tcPr>
          <w:p w14:paraId="5FEA26B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w:t>
            </w:r>
          </w:p>
        </w:tc>
        <w:tc>
          <w:tcPr>
            <w:tcW w:w="1055" w:type="dxa"/>
            <w:tcBorders>
              <w:top w:val="nil"/>
              <w:left w:val="nil"/>
              <w:bottom w:val="nil"/>
              <w:right w:val="nil"/>
            </w:tcBorders>
            <w:tcMar>
              <w:top w:w="45" w:type="dxa"/>
              <w:left w:w="45" w:type="dxa"/>
              <w:bottom w:w="45" w:type="dxa"/>
              <w:right w:w="45" w:type="dxa"/>
            </w:tcMar>
            <w:vAlign w:val="center"/>
          </w:tcPr>
          <w:p w14:paraId="34DB8BA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25 RIF vs. 20 </w:t>
            </w:r>
            <w:proofErr w:type="gramStart"/>
            <w:r w:rsidRPr="00D578DF">
              <w:rPr>
                <w:rFonts w:ascii="Times New Roman" w:eastAsia="Calibri" w:hAnsi="Times New Roman" w:cs="Times New Roman"/>
                <w:color w:val="000000" w:themeColor="text1"/>
                <w:sz w:val="20"/>
                <w:szCs w:val="20"/>
              </w:rPr>
              <w:t>success</w:t>
            </w:r>
            <w:proofErr w:type="gramEnd"/>
          </w:p>
        </w:tc>
        <w:tc>
          <w:tcPr>
            <w:tcW w:w="1787" w:type="dxa"/>
            <w:tcBorders>
              <w:top w:val="nil"/>
              <w:left w:val="nil"/>
              <w:bottom w:val="nil"/>
              <w:right w:val="nil"/>
            </w:tcBorders>
            <w:tcMar>
              <w:top w:w="45" w:type="dxa"/>
              <w:left w:w="45" w:type="dxa"/>
              <w:bottom w:w="45" w:type="dxa"/>
              <w:right w:w="45" w:type="dxa"/>
            </w:tcMar>
            <w:vAlign w:val="center"/>
          </w:tcPr>
          <w:p w14:paraId="65894B5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HSPB1, TXN, PRDX2 (oxidative stress proteins) elevated in RIF vs. success; antioxidant capacity reduced</w:t>
            </w:r>
          </w:p>
        </w:tc>
        <w:tc>
          <w:tcPr>
            <w:tcW w:w="2411" w:type="dxa"/>
            <w:tcBorders>
              <w:top w:val="nil"/>
              <w:left w:val="nil"/>
              <w:bottom w:val="nil"/>
              <w:right w:val="nil"/>
            </w:tcBorders>
            <w:tcMar>
              <w:top w:w="45" w:type="dxa"/>
              <w:left w:w="45" w:type="dxa"/>
              <w:bottom w:w="45" w:type="dxa"/>
              <w:right w:w="45" w:type="dxa"/>
            </w:tcMar>
            <w:vAlign w:val="center"/>
          </w:tcPr>
          <w:p w14:paraId="5F1C92A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Oxidative stress proteomic panel as a novel RIF mechanism; antioxidant endometrial therapy candidate</w:t>
            </w:r>
          </w:p>
        </w:tc>
        <w:tc>
          <w:tcPr>
            <w:tcW w:w="1738" w:type="dxa"/>
            <w:tcBorders>
              <w:top w:val="nil"/>
              <w:left w:val="nil"/>
              <w:bottom w:val="nil"/>
              <w:right w:val="nil"/>
            </w:tcBorders>
            <w:tcMar>
              <w:top w:w="45" w:type="dxa"/>
              <w:left w:w="45" w:type="dxa"/>
              <w:bottom w:w="45" w:type="dxa"/>
              <w:right w:w="45" w:type="dxa"/>
            </w:tcMar>
            <w:vAlign w:val="center"/>
          </w:tcPr>
          <w:p w14:paraId="66343F5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LC-MS/MS; IVF outcome classification</w:t>
            </w:r>
          </w:p>
        </w:tc>
        <w:tc>
          <w:tcPr>
            <w:tcW w:w="1364" w:type="dxa"/>
            <w:tcBorders>
              <w:top w:val="nil"/>
              <w:left w:val="nil"/>
              <w:bottom w:val="nil"/>
              <w:right w:val="nil"/>
            </w:tcBorders>
            <w:tcMar>
              <w:top w:w="45" w:type="dxa"/>
              <w:left w:w="45" w:type="dxa"/>
              <w:bottom w:w="45" w:type="dxa"/>
              <w:right w:w="45" w:type="dxa"/>
            </w:tcMar>
            <w:vAlign w:val="center"/>
          </w:tcPr>
          <w:p w14:paraId="7D6F629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Success vs. failure comparison is clinically relevant; outcome data included</w:t>
            </w:r>
          </w:p>
        </w:tc>
        <w:tc>
          <w:tcPr>
            <w:tcW w:w="1380" w:type="dxa"/>
            <w:tcBorders>
              <w:top w:val="nil"/>
              <w:left w:val="nil"/>
              <w:bottom w:val="nil"/>
              <w:right w:val="nil"/>
            </w:tcBorders>
            <w:tcMar>
              <w:top w:w="45" w:type="dxa"/>
              <w:left w:w="45" w:type="dxa"/>
              <w:bottom w:w="45" w:type="dxa"/>
              <w:right w:w="45" w:type="dxa"/>
            </w:tcMar>
            <w:vAlign w:val="center"/>
          </w:tcPr>
          <w:p w14:paraId="3526479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Small N; single IVF </w:t>
            </w:r>
            <w:proofErr w:type="spellStart"/>
            <w:r w:rsidRPr="00D578DF">
              <w:rPr>
                <w:rFonts w:ascii="Times New Roman" w:eastAsia="Calibri" w:hAnsi="Times New Roman" w:cs="Times New Roman"/>
                <w:color w:val="000000" w:themeColor="text1"/>
                <w:sz w:val="20"/>
                <w:szCs w:val="20"/>
              </w:rPr>
              <w:t>centre</w:t>
            </w:r>
            <w:proofErr w:type="spellEnd"/>
          </w:p>
        </w:tc>
      </w:tr>
      <w:tr w:rsidR="00D7116D" w:rsidRPr="00D578DF" w14:paraId="0E13E764"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1598D223"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Hu S et al., 2023 [25]</w:t>
            </w:r>
          </w:p>
        </w:tc>
        <w:tc>
          <w:tcPr>
            <w:tcW w:w="1114" w:type="dxa"/>
            <w:tcBorders>
              <w:top w:val="nil"/>
              <w:left w:val="nil"/>
              <w:bottom w:val="nil"/>
              <w:right w:val="nil"/>
            </w:tcBorders>
            <w:tcMar>
              <w:top w:w="45" w:type="dxa"/>
              <w:left w:w="45" w:type="dxa"/>
              <w:bottom w:w="45" w:type="dxa"/>
              <w:right w:w="45" w:type="dxa"/>
            </w:tcMar>
            <w:vAlign w:val="center"/>
          </w:tcPr>
          <w:p w14:paraId="22C2408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Endocrinology</w:t>
            </w:r>
          </w:p>
        </w:tc>
        <w:tc>
          <w:tcPr>
            <w:tcW w:w="1189" w:type="dxa"/>
            <w:tcBorders>
              <w:top w:val="nil"/>
              <w:left w:val="nil"/>
              <w:bottom w:val="nil"/>
              <w:right w:val="nil"/>
            </w:tcBorders>
            <w:tcMar>
              <w:top w:w="45" w:type="dxa"/>
              <w:left w:w="45" w:type="dxa"/>
              <w:bottom w:w="45" w:type="dxa"/>
              <w:right w:w="45" w:type="dxa"/>
            </w:tcMar>
            <w:vAlign w:val="center"/>
          </w:tcPr>
          <w:p w14:paraId="1132ADF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Discovery + Functional</w:t>
            </w:r>
          </w:p>
        </w:tc>
        <w:tc>
          <w:tcPr>
            <w:tcW w:w="1055" w:type="dxa"/>
            <w:tcBorders>
              <w:top w:val="nil"/>
              <w:left w:val="nil"/>
              <w:bottom w:val="nil"/>
              <w:right w:val="nil"/>
            </w:tcBorders>
            <w:tcMar>
              <w:top w:w="45" w:type="dxa"/>
              <w:left w:w="45" w:type="dxa"/>
              <w:bottom w:w="45" w:type="dxa"/>
              <w:right w:w="45" w:type="dxa"/>
            </w:tcMar>
            <w:vAlign w:val="center"/>
          </w:tcPr>
          <w:p w14:paraId="6048FA0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20 samples + in vitro</w:t>
            </w:r>
          </w:p>
        </w:tc>
        <w:tc>
          <w:tcPr>
            <w:tcW w:w="1787" w:type="dxa"/>
            <w:tcBorders>
              <w:top w:val="nil"/>
              <w:left w:val="nil"/>
              <w:bottom w:val="nil"/>
              <w:right w:val="nil"/>
            </w:tcBorders>
            <w:tcMar>
              <w:top w:w="45" w:type="dxa"/>
              <w:left w:w="45" w:type="dxa"/>
              <w:bottom w:w="45" w:type="dxa"/>
              <w:right w:w="45" w:type="dxa"/>
            </w:tcMar>
            <w:vAlign w:val="center"/>
          </w:tcPr>
          <w:p w14:paraId="6AABDC5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ACSL4 (acyl-CoA synthetase) elevated at WOI; ACSL4 knockdown impairs adhesion and lipid droplet formation; links proteomics to </w:t>
            </w:r>
            <w:proofErr w:type="spellStart"/>
            <w:r w:rsidRPr="00D578DF">
              <w:rPr>
                <w:rFonts w:ascii="Times New Roman" w:eastAsia="Calibri" w:hAnsi="Times New Roman" w:cs="Times New Roman"/>
                <w:color w:val="000000" w:themeColor="text1"/>
                <w:sz w:val="20"/>
                <w:szCs w:val="20"/>
              </w:rPr>
              <w:t>lipidomics</w:t>
            </w:r>
            <w:proofErr w:type="spellEnd"/>
          </w:p>
        </w:tc>
        <w:tc>
          <w:tcPr>
            <w:tcW w:w="2411" w:type="dxa"/>
            <w:tcBorders>
              <w:top w:val="nil"/>
              <w:left w:val="nil"/>
              <w:bottom w:val="nil"/>
              <w:right w:val="nil"/>
            </w:tcBorders>
            <w:tcMar>
              <w:top w:w="45" w:type="dxa"/>
              <w:left w:w="45" w:type="dxa"/>
              <w:bottom w:w="45" w:type="dxa"/>
              <w:right w:w="45" w:type="dxa"/>
            </w:tcMar>
            <w:vAlign w:val="center"/>
          </w:tcPr>
          <w:p w14:paraId="5E2FF51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ACSL4 as a novel lipid metabolism–receptivity regulator; therapeutic target for RIF through lipid pathway modulation</w:t>
            </w:r>
          </w:p>
        </w:tc>
        <w:tc>
          <w:tcPr>
            <w:tcW w:w="1738" w:type="dxa"/>
            <w:tcBorders>
              <w:top w:val="nil"/>
              <w:left w:val="nil"/>
              <w:bottom w:val="nil"/>
              <w:right w:val="nil"/>
            </w:tcBorders>
            <w:tcMar>
              <w:top w:w="45" w:type="dxa"/>
              <w:left w:w="45" w:type="dxa"/>
              <w:bottom w:w="45" w:type="dxa"/>
              <w:right w:w="45" w:type="dxa"/>
            </w:tcMar>
            <w:vAlign w:val="center"/>
          </w:tcPr>
          <w:p w14:paraId="70DAD2F0"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iTRAQ</w:t>
            </w:r>
            <w:proofErr w:type="spellEnd"/>
            <w:r w:rsidRPr="00D578DF">
              <w:rPr>
                <w:rFonts w:ascii="Times New Roman" w:eastAsia="Calibri" w:hAnsi="Times New Roman" w:cs="Times New Roman"/>
                <w:color w:val="000000" w:themeColor="text1"/>
                <w:sz w:val="20"/>
                <w:szCs w:val="20"/>
              </w:rPr>
              <w:t>; siRNA/overexpression; adhesion assay</w:t>
            </w:r>
          </w:p>
        </w:tc>
        <w:tc>
          <w:tcPr>
            <w:tcW w:w="1364" w:type="dxa"/>
            <w:tcBorders>
              <w:top w:val="nil"/>
              <w:left w:val="nil"/>
              <w:bottom w:val="nil"/>
              <w:right w:val="nil"/>
            </w:tcBorders>
            <w:tcMar>
              <w:top w:w="45" w:type="dxa"/>
              <w:left w:w="45" w:type="dxa"/>
              <w:bottom w:w="45" w:type="dxa"/>
              <w:right w:w="45" w:type="dxa"/>
            </w:tcMar>
            <w:vAlign w:val="center"/>
          </w:tcPr>
          <w:p w14:paraId="15DB41F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Specific novel target (ACSL4); functional validation; links proteomics to </w:t>
            </w:r>
            <w:proofErr w:type="spellStart"/>
            <w:r w:rsidRPr="00D578DF">
              <w:rPr>
                <w:rFonts w:ascii="Times New Roman" w:eastAsia="Calibri" w:hAnsi="Times New Roman" w:cs="Times New Roman"/>
                <w:color w:val="000000" w:themeColor="text1"/>
                <w:sz w:val="20"/>
                <w:szCs w:val="20"/>
              </w:rPr>
              <w:t>lipidomics</w:t>
            </w:r>
            <w:proofErr w:type="spellEnd"/>
          </w:p>
        </w:tc>
        <w:tc>
          <w:tcPr>
            <w:tcW w:w="1380" w:type="dxa"/>
            <w:tcBorders>
              <w:top w:val="nil"/>
              <w:left w:val="nil"/>
              <w:bottom w:val="nil"/>
              <w:right w:val="nil"/>
            </w:tcBorders>
            <w:tcMar>
              <w:top w:w="45" w:type="dxa"/>
              <w:left w:w="45" w:type="dxa"/>
              <w:bottom w:w="45" w:type="dxa"/>
              <w:right w:w="45" w:type="dxa"/>
            </w:tcMar>
            <w:vAlign w:val="center"/>
          </w:tcPr>
          <w:p w14:paraId="177F6A0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Small discovery N; functional validation in cell lines only</w:t>
            </w:r>
          </w:p>
        </w:tc>
      </w:tr>
      <w:tr w:rsidR="00D7116D" w:rsidRPr="00D578DF" w14:paraId="23D87272"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CA08E11"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t>Potiris</w:t>
            </w:r>
            <w:proofErr w:type="spellEnd"/>
            <w:r w:rsidRPr="00D578DF">
              <w:rPr>
                <w:rFonts w:ascii="Times New Roman" w:hAnsi="Times New Roman" w:cs="Times New Roman"/>
                <w:color w:val="000000"/>
                <w:sz w:val="20"/>
                <w:szCs w:val="20"/>
              </w:rPr>
              <w:t xml:space="preserve"> et al., 2024 [85]</w:t>
            </w:r>
          </w:p>
        </w:tc>
        <w:tc>
          <w:tcPr>
            <w:tcW w:w="1114" w:type="dxa"/>
            <w:tcBorders>
              <w:top w:val="nil"/>
              <w:left w:val="nil"/>
              <w:bottom w:val="nil"/>
              <w:right w:val="nil"/>
            </w:tcBorders>
            <w:tcMar>
              <w:top w:w="45" w:type="dxa"/>
              <w:left w:w="45" w:type="dxa"/>
              <w:bottom w:w="45" w:type="dxa"/>
              <w:right w:w="45" w:type="dxa"/>
            </w:tcMar>
            <w:vAlign w:val="center"/>
          </w:tcPr>
          <w:p w14:paraId="2676F87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Clinical Medicine</w:t>
            </w:r>
          </w:p>
        </w:tc>
        <w:tc>
          <w:tcPr>
            <w:tcW w:w="1189" w:type="dxa"/>
            <w:tcBorders>
              <w:top w:val="nil"/>
              <w:left w:val="nil"/>
              <w:bottom w:val="nil"/>
              <w:right w:val="nil"/>
            </w:tcBorders>
            <w:tcMar>
              <w:top w:w="45" w:type="dxa"/>
              <w:left w:w="45" w:type="dxa"/>
              <w:bottom w:w="45" w:type="dxa"/>
              <w:right w:w="45" w:type="dxa"/>
            </w:tcMar>
            <w:vAlign w:val="center"/>
          </w:tcPr>
          <w:p w14:paraId="3D27DD3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Systematic Review</w:t>
            </w:r>
          </w:p>
        </w:tc>
        <w:tc>
          <w:tcPr>
            <w:tcW w:w="1055" w:type="dxa"/>
            <w:tcBorders>
              <w:top w:val="nil"/>
              <w:left w:val="nil"/>
              <w:bottom w:val="nil"/>
              <w:right w:val="nil"/>
            </w:tcBorders>
            <w:tcMar>
              <w:top w:w="45" w:type="dxa"/>
              <w:left w:w="45" w:type="dxa"/>
              <w:bottom w:w="45" w:type="dxa"/>
              <w:right w:w="45" w:type="dxa"/>
            </w:tcMar>
            <w:vAlign w:val="center"/>
          </w:tcPr>
          <w:p w14:paraId="3D5DEF2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proteomic studies</w:t>
            </w:r>
          </w:p>
        </w:tc>
        <w:tc>
          <w:tcPr>
            <w:tcW w:w="1787" w:type="dxa"/>
            <w:tcBorders>
              <w:top w:val="nil"/>
              <w:left w:val="nil"/>
              <w:bottom w:val="nil"/>
              <w:right w:val="nil"/>
            </w:tcBorders>
            <w:tcMar>
              <w:top w:w="45" w:type="dxa"/>
              <w:left w:w="45" w:type="dxa"/>
              <w:bottom w:w="45" w:type="dxa"/>
              <w:right w:w="45" w:type="dxa"/>
            </w:tcMar>
            <w:vAlign w:val="center"/>
          </w:tcPr>
          <w:p w14:paraId="57AC8E2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12 consistently identified RIF-associated proteins across studies: PAEP, ANXA4, LGALS3BP, S100A9, MMP9 </w:t>
            </w:r>
            <w:r w:rsidRPr="00D578DF">
              <w:rPr>
                <w:rFonts w:ascii="Times New Roman" w:eastAsia="Calibri" w:hAnsi="Times New Roman" w:cs="Times New Roman"/>
                <w:color w:val="000000" w:themeColor="text1"/>
                <w:sz w:val="20"/>
                <w:szCs w:val="20"/>
              </w:rPr>
              <w:lastRenderedPageBreak/>
              <w:t>among key candidates</w:t>
            </w:r>
          </w:p>
        </w:tc>
        <w:tc>
          <w:tcPr>
            <w:tcW w:w="2411" w:type="dxa"/>
            <w:tcBorders>
              <w:top w:val="nil"/>
              <w:left w:val="nil"/>
              <w:bottom w:val="nil"/>
              <w:right w:val="nil"/>
            </w:tcBorders>
            <w:tcMar>
              <w:top w:w="45" w:type="dxa"/>
              <w:left w:w="45" w:type="dxa"/>
              <w:bottom w:w="45" w:type="dxa"/>
              <w:right w:w="45" w:type="dxa"/>
            </w:tcMar>
            <w:vAlign w:val="center"/>
          </w:tcPr>
          <w:p w14:paraId="11D61FA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12-protein consensus panel as candidate clinical proteomic diagnostic for RIF; </w:t>
            </w:r>
            <w:proofErr w:type="spellStart"/>
            <w:r w:rsidRPr="00D578DF">
              <w:rPr>
                <w:rFonts w:ascii="Times New Roman" w:eastAsia="Calibri" w:hAnsi="Times New Roman" w:cs="Times New Roman"/>
                <w:color w:val="000000" w:themeColor="text1"/>
                <w:sz w:val="20"/>
                <w:szCs w:val="20"/>
              </w:rPr>
              <w:t>standardisation</w:t>
            </w:r>
            <w:proofErr w:type="spellEnd"/>
            <w:r w:rsidRPr="00D578DF">
              <w:rPr>
                <w:rFonts w:ascii="Times New Roman" w:eastAsia="Calibri" w:hAnsi="Times New Roman" w:cs="Times New Roman"/>
                <w:color w:val="000000" w:themeColor="text1"/>
                <w:sz w:val="20"/>
                <w:szCs w:val="20"/>
              </w:rPr>
              <w:t xml:space="preserve"> call</w:t>
            </w:r>
          </w:p>
        </w:tc>
        <w:tc>
          <w:tcPr>
            <w:tcW w:w="1738" w:type="dxa"/>
            <w:tcBorders>
              <w:top w:val="nil"/>
              <w:left w:val="nil"/>
              <w:bottom w:val="nil"/>
              <w:right w:val="nil"/>
            </w:tcBorders>
            <w:tcMar>
              <w:top w:w="45" w:type="dxa"/>
              <w:left w:w="45" w:type="dxa"/>
              <w:bottom w:w="45" w:type="dxa"/>
              <w:right w:w="45" w:type="dxa"/>
            </w:tcMar>
            <w:vAlign w:val="center"/>
          </w:tcPr>
          <w:p w14:paraId="5E87EC1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AMSTAR-2; PRISMA; cross-study protein overlap analysis</w:t>
            </w:r>
          </w:p>
        </w:tc>
        <w:tc>
          <w:tcPr>
            <w:tcW w:w="1364" w:type="dxa"/>
            <w:tcBorders>
              <w:top w:val="nil"/>
              <w:left w:val="nil"/>
              <w:bottom w:val="nil"/>
              <w:right w:val="nil"/>
            </w:tcBorders>
            <w:tcMar>
              <w:top w:w="45" w:type="dxa"/>
              <w:left w:w="45" w:type="dxa"/>
              <w:bottom w:w="45" w:type="dxa"/>
              <w:right w:w="45" w:type="dxa"/>
            </w:tcMar>
            <w:vAlign w:val="center"/>
          </w:tcPr>
          <w:p w14:paraId="1F799D6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First proteomics-specific systematic review in RIF; PRISMA-adherent</w:t>
            </w:r>
          </w:p>
        </w:tc>
        <w:tc>
          <w:tcPr>
            <w:tcW w:w="1380" w:type="dxa"/>
            <w:tcBorders>
              <w:top w:val="nil"/>
              <w:left w:val="nil"/>
              <w:bottom w:val="nil"/>
              <w:right w:val="nil"/>
            </w:tcBorders>
            <w:tcMar>
              <w:top w:w="45" w:type="dxa"/>
              <w:left w:w="45" w:type="dxa"/>
              <w:bottom w:w="45" w:type="dxa"/>
              <w:right w:w="45" w:type="dxa"/>
            </w:tcMar>
            <w:vAlign w:val="center"/>
          </w:tcPr>
          <w:p w14:paraId="1797565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Cannot pool data (heterogeneous platforms)</w:t>
            </w:r>
          </w:p>
        </w:tc>
      </w:tr>
      <w:tr w:rsidR="00D7116D" w:rsidRPr="00D578DF" w14:paraId="202EC77A"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1AB3849"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Hu YQ et al., 2025 [26]</w:t>
            </w:r>
          </w:p>
        </w:tc>
        <w:tc>
          <w:tcPr>
            <w:tcW w:w="1114" w:type="dxa"/>
            <w:tcBorders>
              <w:top w:val="nil"/>
              <w:left w:val="nil"/>
              <w:bottom w:val="nil"/>
              <w:right w:val="nil"/>
            </w:tcBorders>
            <w:tcMar>
              <w:top w:w="45" w:type="dxa"/>
              <w:left w:w="45" w:type="dxa"/>
              <w:bottom w:w="45" w:type="dxa"/>
              <w:right w:w="45" w:type="dxa"/>
            </w:tcMar>
            <w:vAlign w:val="center"/>
          </w:tcPr>
          <w:p w14:paraId="609B1D3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Archives of Gynecology and Obstetrics</w:t>
            </w:r>
          </w:p>
        </w:tc>
        <w:tc>
          <w:tcPr>
            <w:tcW w:w="1189" w:type="dxa"/>
            <w:tcBorders>
              <w:top w:val="nil"/>
              <w:left w:val="nil"/>
              <w:bottom w:val="nil"/>
              <w:right w:val="nil"/>
            </w:tcBorders>
            <w:tcMar>
              <w:top w:w="45" w:type="dxa"/>
              <w:left w:w="45" w:type="dxa"/>
              <w:bottom w:w="45" w:type="dxa"/>
              <w:right w:w="45" w:type="dxa"/>
            </w:tcMar>
            <w:vAlign w:val="center"/>
          </w:tcPr>
          <w:p w14:paraId="39BB9E05"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Proteomics + single-cell data integration</w:t>
            </w:r>
          </w:p>
        </w:tc>
        <w:tc>
          <w:tcPr>
            <w:tcW w:w="1055" w:type="dxa"/>
            <w:tcBorders>
              <w:top w:val="nil"/>
              <w:left w:val="nil"/>
              <w:bottom w:val="nil"/>
              <w:right w:val="nil"/>
            </w:tcBorders>
            <w:tcMar>
              <w:top w:w="45" w:type="dxa"/>
              <w:left w:w="45" w:type="dxa"/>
              <w:bottom w:w="45" w:type="dxa"/>
              <w:right w:w="45" w:type="dxa"/>
            </w:tcMar>
            <w:vAlign w:val="center"/>
          </w:tcPr>
          <w:p w14:paraId="6DA9E8A6"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Proteomics: 6 RIF vs. 6 controls; integrated with public single-cell endometrial data</w:t>
            </w:r>
          </w:p>
        </w:tc>
        <w:tc>
          <w:tcPr>
            <w:tcW w:w="1787" w:type="dxa"/>
            <w:tcBorders>
              <w:top w:val="nil"/>
              <w:left w:val="nil"/>
              <w:bottom w:val="nil"/>
              <w:right w:val="nil"/>
            </w:tcBorders>
            <w:tcMar>
              <w:top w:w="45" w:type="dxa"/>
              <w:left w:w="45" w:type="dxa"/>
              <w:bottom w:w="45" w:type="dxa"/>
              <w:right w:w="45" w:type="dxa"/>
            </w:tcMar>
            <w:vAlign w:val="center"/>
          </w:tcPr>
          <w:p w14:paraId="2A4F2968"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1,366 DEPs were identified; AMPD3, H6PD and PAK2 emerged as candidate NK-cell-associated genes. The study did not establish reduced KIR2DL4/NKp46 with elevated LILRB1.</w:t>
            </w:r>
          </w:p>
        </w:tc>
        <w:tc>
          <w:tcPr>
            <w:tcW w:w="2411" w:type="dxa"/>
            <w:tcBorders>
              <w:top w:val="nil"/>
              <w:left w:val="nil"/>
              <w:bottom w:val="nil"/>
              <w:right w:val="nil"/>
            </w:tcBorders>
            <w:tcMar>
              <w:top w:w="45" w:type="dxa"/>
              <w:left w:w="45" w:type="dxa"/>
              <w:bottom w:w="45" w:type="dxa"/>
              <w:right w:w="45" w:type="dxa"/>
            </w:tcMar>
            <w:vAlign w:val="center"/>
          </w:tcPr>
          <w:p w14:paraId="39F4536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Candidate </w:t>
            </w:r>
            <w:proofErr w:type="spellStart"/>
            <w:r w:rsidRPr="00D578DF">
              <w:rPr>
                <w:rFonts w:ascii="Times New Roman" w:hAnsi="Times New Roman" w:cs="Times New Roman"/>
                <w:sz w:val="20"/>
                <w:szCs w:val="20"/>
              </w:rPr>
              <w:t>uNK</w:t>
            </w:r>
            <w:proofErr w:type="spellEnd"/>
            <w:r w:rsidRPr="00D578DF">
              <w:rPr>
                <w:rFonts w:ascii="Times New Roman" w:hAnsi="Times New Roman" w:cs="Times New Roman"/>
                <w:sz w:val="20"/>
                <w:szCs w:val="20"/>
              </w:rPr>
              <w:t>-associated molecular targets in RIF; discovery-stage evidence.</w:t>
            </w:r>
          </w:p>
        </w:tc>
        <w:tc>
          <w:tcPr>
            <w:tcW w:w="1738" w:type="dxa"/>
            <w:tcBorders>
              <w:top w:val="nil"/>
              <w:left w:val="nil"/>
              <w:bottom w:val="nil"/>
              <w:right w:val="nil"/>
            </w:tcBorders>
            <w:tcMar>
              <w:top w:w="45" w:type="dxa"/>
              <w:left w:w="45" w:type="dxa"/>
              <w:bottom w:w="45" w:type="dxa"/>
              <w:right w:w="45" w:type="dxa"/>
            </w:tcMar>
            <w:vAlign w:val="center"/>
          </w:tcPr>
          <w:p w14:paraId="6D312B80"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Endometrial proteomics + public single-cell transcriptomic integration; pathway/network analysis</w:t>
            </w:r>
          </w:p>
        </w:tc>
        <w:tc>
          <w:tcPr>
            <w:tcW w:w="1364" w:type="dxa"/>
            <w:tcBorders>
              <w:top w:val="nil"/>
              <w:left w:val="nil"/>
              <w:bottom w:val="nil"/>
              <w:right w:val="nil"/>
            </w:tcBorders>
            <w:tcMar>
              <w:top w:w="45" w:type="dxa"/>
              <w:left w:w="45" w:type="dxa"/>
              <w:bottom w:w="45" w:type="dxa"/>
              <w:right w:w="45" w:type="dxa"/>
            </w:tcMar>
            <w:vAlign w:val="center"/>
          </w:tcPr>
          <w:p w14:paraId="125EC277"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Cross-platform integration and validation of three candidate genes across datasets.</w:t>
            </w:r>
          </w:p>
        </w:tc>
        <w:tc>
          <w:tcPr>
            <w:tcW w:w="1380" w:type="dxa"/>
            <w:tcBorders>
              <w:top w:val="nil"/>
              <w:left w:val="nil"/>
              <w:bottom w:val="nil"/>
              <w:right w:val="nil"/>
            </w:tcBorders>
            <w:tcMar>
              <w:top w:w="45" w:type="dxa"/>
              <w:left w:w="45" w:type="dxa"/>
              <w:bottom w:w="45" w:type="dxa"/>
              <w:right w:w="45" w:type="dxa"/>
            </w:tcMar>
            <w:vAlign w:val="center"/>
          </w:tcPr>
          <w:p w14:paraId="58571789"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Very small proteomic cohort; no prospective clinical validation; single-cell component was dataset integration rather than a new large RIF cohort.</w:t>
            </w:r>
          </w:p>
        </w:tc>
      </w:tr>
      <w:tr w:rsidR="00D7116D" w:rsidRPr="00D578DF" w14:paraId="282CFC15"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DA74B98"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Negi et al., 2025 [100]</w:t>
            </w:r>
          </w:p>
        </w:tc>
        <w:tc>
          <w:tcPr>
            <w:tcW w:w="1114" w:type="dxa"/>
            <w:tcBorders>
              <w:top w:val="nil"/>
              <w:left w:val="nil"/>
              <w:bottom w:val="nil"/>
              <w:right w:val="nil"/>
            </w:tcBorders>
            <w:tcMar>
              <w:top w:w="45" w:type="dxa"/>
              <w:left w:w="45" w:type="dxa"/>
              <w:bottom w:w="45" w:type="dxa"/>
              <w:right w:w="45" w:type="dxa"/>
            </w:tcMar>
            <w:vAlign w:val="center"/>
          </w:tcPr>
          <w:p w14:paraId="560BC98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Proceedings of the National Academy of Sciences (India, Biological Sciences)</w:t>
            </w:r>
          </w:p>
        </w:tc>
        <w:tc>
          <w:tcPr>
            <w:tcW w:w="1189" w:type="dxa"/>
            <w:tcBorders>
              <w:top w:val="nil"/>
              <w:left w:val="nil"/>
              <w:bottom w:val="nil"/>
              <w:right w:val="nil"/>
            </w:tcBorders>
            <w:tcMar>
              <w:top w:w="45" w:type="dxa"/>
              <w:left w:w="45" w:type="dxa"/>
              <w:bottom w:w="45" w:type="dxa"/>
              <w:right w:w="45" w:type="dxa"/>
            </w:tcMar>
            <w:vAlign w:val="center"/>
          </w:tcPr>
          <w:p w14:paraId="1D3E380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Review</w:t>
            </w:r>
          </w:p>
        </w:tc>
        <w:tc>
          <w:tcPr>
            <w:tcW w:w="1055" w:type="dxa"/>
            <w:tcBorders>
              <w:top w:val="nil"/>
              <w:left w:val="nil"/>
              <w:bottom w:val="nil"/>
              <w:right w:val="nil"/>
            </w:tcBorders>
            <w:tcMar>
              <w:top w:w="45" w:type="dxa"/>
              <w:left w:w="45" w:type="dxa"/>
              <w:bottom w:w="45" w:type="dxa"/>
              <w:right w:w="45" w:type="dxa"/>
            </w:tcMar>
            <w:vAlign w:val="center"/>
          </w:tcPr>
          <w:p w14:paraId="76F90A8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4B1706D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Serum LIF, VEGF, PAEP, and miRNAs as candidate circulating receptivity markers; limitations of current assay sensitivity</w:t>
            </w:r>
          </w:p>
        </w:tc>
        <w:tc>
          <w:tcPr>
            <w:tcW w:w="2411" w:type="dxa"/>
            <w:tcBorders>
              <w:top w:val="nil"/>
              <w:left w:val="nil"/>
              <w:bottom w:val="nil"/>
              <w:right w:val="nil"/>
            </w:tcBorders>
            <w:tcMar>
              <w:top w:w="45" w:type="dxa"/>
              <w:left w:w="45" w:type="dxa"/>
              <w:bottom w:w="45" w:type="dxa"/>
              <w:right w:w="45" w:type="dxa"/>
            </w:tcMar>
            <w:vAlign w:val="center"/>
          </w:tcPr>
          <w:p w14:paraId="4D6F09F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Non-invasive serum biomarker roadmap for WOI assessment; future multiplex proteomic panels</w:t>
            </w:r>
          </w:p>
        </w:tc>
        <w:tc>
          <w:tcPr>
            <w:tcW w:w="1738" w:type="dxa"/>
            <w:tcBorders>
              <w:top w:val="nil"/>
              <w:left w:val="nil"/>
              <w:bottom w:val="nil"/>
              <w:right w:val="nil"/>
            </w:tcBorders>
            <w:tcMar>
              <w:top w:w="45" w:type="dxa"/>
              <w:left w:w="45" w:type="dxa"/>
              <w:bottom w:w="45" w:type="dxa"/>
              <w:right w:w="45" w:type="dxa"/>
            </w:tcMar>
            <w:vAlign w:val="center"/>
          </w:tcPr>
          <w:p w14:paraId="37DD9BE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Literature synthesis; biomarker classification</w:t>
            </w:r>
          </w:p>
        </w:tc>
        <w:tc>
          <w:tcPr>
            <w:tcW w:w="1364" w:type="dxa"/>
            <w:tcBorders>
              <w:top w:val="nil"/>
              <w:left w:val="nil"/>
              <w:bottom w:val="nil"/>
              <w:right w:val="nil"/>
            </w:tcBorders>
            <w:tcMar>
              <w:top w:w="45" w:type="dxa"/>
              <w:left w:w="45" w:type="dxa"/>
              <w:bottom w:w="45" w:type="dxa"/>
              <w:right w:w="45" w:type="dxa"/>
            </w:tcMar>
            <w:vAlign w:val="center"/>
          </w:tcPr>
          <w:p w14:paraId="4BB3951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Non-invasive circulating biomarker focus; future directions discussed</w:t>
            </w:r>
          </w:p>
        </w:tc>
        <w:tc>
          <w:tcPr>
            <w:tcW w:w="1380" w:type="dxa"/>
            <w:tcBorders>
              <w:top w:val="nil"/>
              <w:left w:val="nil"/>
              <w:bottom w:val="nil"/>
              <w:right w:val="nil"/>
            </w:tcBorders>
            <w:tcMar>
              <w:top w:w="45" w:type="dxa"/>
              <w:left w:w="45" w:type="dxa"/>
              <w:bottom w:w="45" w:type="dxa"/>
              <w:right w:w="45" w:type="dxa"/>
            </w:tcMar>
            <w:vAlign w:val="center"/>
          </w:tcPr>
          <w:p w14:paraId="436C2DF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elements; heterogeneous included studies</w:t>
            </w:r>
          </w:p>
        </w:tc>
      </w:tr>
      <w:tr w:rsidR="00D7116D" w:rsidRPr="00D578DF" w14:paraId="006101D2"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60CF7BCE"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Li J et al., 2018 [93]</w:t>
            </w:r>
          </w:p>
        </w:tc>
        <w:tc>
          <w:tcPr>
            <w:tcW w:w="1114" w:type="dxa"/>
            <w:tcBorders>
              <w:top w:val="nil"/>
              <w:left w:val="nil"/>
              <w:bottom w:val="nil"/>
              <w:right w:val="nil"/>
            </w:tcBorders>
            <w:tcMar>
              <w:top w:w="45" w:type="dxa"/>
              <w:left w:w="45" w:type="dxa"/>
              <w:bottom w:w="45" w:type="dxa"/>
              <w:right w:w="45" w:type="dxa"/>
            </w:tcMar>
            <w:vAlign w:val="center"/>
          </w:tcPr>
          <w:p w14:paraId="12CD874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Reproductive Biology and </w:t>
            </w:r>
            <w:r w:rsidRPr="00D578DF">
              <w:rPr>
                <w:rFonts w:ascii="Times New Roman" w:eastAsia="Calibri" w:hAnsi="Times New Roman" w:cs="Times New Roman"/>
                <w:color w:val="000000" w:themeColor="text1"/>
                <w:sz w:val="20"/>
                <w:szCs w:val="20"/>
              </w:rPr>
              <w:lastRenderedPageBreak/>
              <w:t>Endocrinology</w:t>
            </w:r>
          </w:p>
        </w:tc>
        <w:tc>
          <w:tcPr>
            <w:tcW w:w="1189" w:type="dxa"/>
            <w:tcBorders>
              <w:top w:val="nil"/>
              <w:left w:val="nil"/>
              <w:bottom w:val="nil"/>
              <w:right w:val="nil"/>
            </w:tcBorders>
            <w:tcMar>
              <w:top w:w="45" w:type="dxa"/>
              <w:left w:w="45" w:type="dxa"/>
              <w:bottom w:w="45" w:type="dxa"/>
              <w:right w:w="45" w:type="dxa"/>
            </w:tcMar>
            <w:vAlign w:val="center"/>
          </w:tcPr>
          <w:p w14:paraId="71CC32F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Case-control</w:t>
            </w:r>
          </w:p>
        </w:tc>
        <w:tc>
          <w:tcPr>
            <w:tcW w:w="1055" w:type="dxa"/>
            <w:tcBorders>
              <w:top w:val="nil"/>
              <w:left w:val="nil"/>
              <w:bottom w:val="nil"/>
              <w:right w:val="nil"/>
            </w:tcBorders>
            <w:tcMar>
              <w:top w:w="45" w:type="dxa"/>
              <w:left w:w="45" w:type="dxa"/>
              <w:bottom w:w="45" w:type="dxa"/>
              <w:right w:w="45" w:type="dxa"/>
            </w:tcMar>
            <w:vAlign w:val="center"/>
          </w:tcPr>
          <w:p w14:paraId="41CB3A9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30 </w:t>
            </w:r>
            <w:proofErr w:type="gramStart"/>
            <w:r w:rsidRPr="00D578DF">
              <w:rPr>
                <w:rFonts w:ascii="Times New Roman" w:eastAsia="Calibri" w:hAnsi="Times New Roman" w:cs="Times New Roman"/>
                <w:color w:val="000000" w:themeColor="text1"/>
                <w:sz w:val="20"/>
                <w:szCs w:val="20"/>
              </w:rPr>
              <w:t>endometrio</w:t>
            </w:r>
            <w:r w:rsidRPr="00D578DF">
              <w:rPr>
                <w:rFonts w:ascii="Times New Roman" w:eastAsia="Calibri" w:hAnsi="Times New Roman" w:cs="Times New Roman"/>
                <w:color w:val="000000" w:themeColor="text1"/>
                <w:sz w:val="20"/>
                <w:szCs w:val="20"/>
              </w:rPr>
              <w:lastRenderedPageBreak/>
              <w:t>sis</w:t>
            </w:r>
            <w:proofErr w:type="gramEnd"/>
            <w:r w:rsidRPr="00D578DF">
              <w:rPr>
                <w:rFonts w:ascii="Times New Roman" w:eastAsia="Calibri" w:hAnsi="Times New Roman" w:cs="Times New Roman"/>
                <w:color w:val="000000" w:themeColor="text1"/>
                <w:sz w:val="20"/>
                <w:szCs w:val="20"/>
              </w:rPr>
              <w:t xml:space="preserve"> vs. 20 controls</w:t>
            </w:r>
          </w:p>
        </w:tc>
        <w:tc>
          <w:tcPr>
            <w:tcW w:w="1787" w:type="dxa"/>
            <w:tcBorders>
              <w:top w:val="nil"/>
              <w:left w:val="nil"/>
              <w:bottom w:val="nil"/>
              <w:right w:val="nil"/>
            </w:tcBorders>
            <w:tcMar>
              <w:top w:w="45" w:type="dxa"/>
              <w:left w:w="45" w:type="dxa"/>
              <w:bottom w:w="45" w:type="dxa"/>
              <w:right w:w="45" w:type="dxa"/>
            </w:tcMar>
            <w:vAlign w:val="center"/>
          </w:tcPr>
          <w:p w14:paraId="2C929F9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Altered </w:t>
            </w:r>
            <w:proofErr w:type="spellStart"/>
            <w:r w:rsidRPr="00D578DF">
              <w:rPr>
                <w:rFonts w:ascii="Times New Roman" w:eastAsia="Calibri" w:hAnsi="Times New Roman" w:cs="Times New Roman"/>
                <w:color w:val="000000" w:themeColor="text1"/>
                <w:sz w:val="20"/>
                <w:szCs w:val="20"/>
              </w:rPr>
              <w:t>lysophosphatidylcholines</w:t>
            </w:r>
            <w:proofErr w:type="spellEnd"/>
            <w:r w:rsidRPr="00D578DF">
              <w:rPr>
                <w:rFonts w:ascii="Times New Roman" w:eastAsia="Calibri" w:hAnsi="Times New Roman" w:cs="Times New Roman"/>
                <w:color w:val="000000" w:themeColor="text1"/>
                <w:sz w:val="20"/>
                <w:szCs w:val="20"/>
              </w:rPr>
              <w:t xml:space="preserve"> (LPC 16:0, </w:t>
            </w:r>
            <w:r w:rsidRPr="00D578DF">
              <w:rPr>
                <w:rFonts w:ascii="Times New Roman" w:eastAsia="Calibri" w:hAnsi="Times New Roman" w:cs="Times New Roman"/>
                <w:color w:val="000000" w:themeColor="text1"/>
                <w:sz w:val="20"/>
                <w:szCs w:val="20"/>
              </w:rPr>
              <w:lastRenderedPageBreak/>
              <w:t>LPC 18:2), sphingomyelins; endometriosis lipidomic signature overlaps RIF</w:t>
            </w:r>
          </w:p>
        </w:tc>
        <w:tc>
          <w:tcPr>
            <w:tcW w:w="2411" w:type="dxa"/>
            <w:tcBorders>
              <w:top w:val="nil"/>
              <w:left w:val="nil"/>
              <w:bottom w:val="nil"/>
              <w:right w:val="nil"/>
            </w:tcBorders>
            <w:tcMar>
              <w:top w:w="45" w:type="dxa"/>
              <w:left w:w="45" w:type="dxa"/>
              <w:bottom w:w="45" w:type="dxa"/>
              <w:right w:w="45" w:type="dxa"/>
            </w:tcMar>
            <w:vAlign w:val="center"/>
          </w:tcPr>
          <w:p w14:paraId="1002738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Lipid panel as endometriosis-associated </w:t>
            </w:r>
            <w:r w:rsidRPr="00D578DF">
              <w:rPr>
                <w:rFonts w:ascii="Times New Roman" w:eastAsia="Calibri" w:hAnsi="Times New Roman" w:cs="Times New Roman"/>
                <w:color w:val="000000" w:themeColor="text1"/>
                <w:sz w:val="20"/>
                <w:szCs w:val="20"/>
              </w:rPr>
              <w:lastRenderedPageBreak/>
              <w:t>RIF biomarker; sphingolipid pathway as therapeutic entry</w:t>
            </w:r>
          </w:p>
        </w:tc>
        <w:tc>
          <w:tcPr>
            <w:tcW w:w="1738" w:type="dxa"/>
            <w:tcBorders>
              <w:top w:val="nil"/>
              <w:left w:val="nil"/>
              <w:bottom w:val="nil"/>
              <w:right w:val="nil"/>
            </w:tcBorders>
            <w:tcMar>
              <w:top w:w="45" w:type="dxa"/>
              <w:left w:w="45" w:type="dxa"/>
              <w:bottom w:w="45" w:type="dxa"/>
              <w:right w:w="45" w:type="dxa"/>
            </w:tcMar>
            <w:vAlign w:val="center"/>
          </w:tcPr>
          <w:p w14:paraId="4916B09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UPLC-MS; HMDB annotation</w:t>
            </w:r>
          </w:p>
        </w:tc>
        <w:tc>
          <w:tcPr>
            <w:tcW w:w="1364" w:type="dxa"/>
            <w:tcBorders>
              <w:top w:val="nil"/>
              <w:left w:val="nil"/>
              <w:bottom w:val="nil"/>
              <w:right w:val="nil"/>
            </w:tcBorders>
            <w:tcMar>
              <w:top w:w="45" w:type="dxa"/>
              <w:left w:w="45" w:type="dxa"/>
              <w:bottom w:w="45" w:type="dxa"/>
              <w:right w:w="45" w:type="dxa"/>
            </w:tcMar>
            <w:vAlign w:val="center"/>
          </w:tcPr>
          <w:p w14:paraId="0680C98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UPLC-MS platform; FDR corrected; </w:t>
            </w:r>
            <w:r w:rsidRPr="00D578DF">
              <w:rPr>
                <w:rFonts w:ascii="Times New Roman" w:eastAsia="Calibri" w:hAnsi="Times New Roman" w:cs="Times New Roman"/>
                <w:color w:val="000000" w:themeColor="text1"/>
                <w:sz w:val="20"/>
                <w:szCs w:val="20"/>
              </w:rPr>
              <w:lastRenderedPageBreak/>
              <w:t>pathway analysis</w:t>
            </w:r>
          </w:p>
        </w:tc>
        <w:tc>
          <w:tcPr>
            <w:tcW w:w="1380" w:type="dxa"/>
            <w:tcBorders>
              <w:top w:val="nil"/>
              <w:left w:val="nil"/>
              <w:bottom w:val="nil"/>
              <w:right w:val="nil"/>
            </w:tcBorders>
            <w:tcMar>
              <w:top w:w="45" w:type="dxa"/>
              <w:left w:w="45" w:type="dxa"/>
              <w:bottom w:w="45" w:type="dxa"/>
              <w:right w:w="45" w:type="dxa"/>
            </w:tcMar>
            <w:vAlign w:val="center"/>
          </w:tcPr>
          <w:p w14:paraId="15BFF68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 xml:space="preserve">Endometriosis-specific; </w:t>
            </w:r>
            <w:r w:rsidRPr="00D578DF">
              <w:rPr>
                <w:rFonts w:ascii="Times New Roman" w:eastAsia="Calibri" w:hAnsi="Times New Roman" w:cs="Times New Roman"/>
                <w:color w:val="000000" w:themeColor="text1"/>
                <w:sz w:val="20"/>
                <w:szCs w:val="20"/>
              </w:rPr>
              <w:lastRenderedPageBreak/>
              <w:t>limited RIF-direct data</w:t>
            </w:r>
          </w:p>
        </w:tc>
      </w:tr>
      <w:tr w:rsidR="00D7116D" w:rsidRPr="00D578DF" w14:paraId="02EDFA81"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248F7CEE"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Matorras et al., 2020 [28]</w:t>
            </w:r>
          </w:p>
        </w:tc>
        <w:tc>
          <w:tcPr>
            <w:tcW w:w="1114" w:type="dxa"/>
            <w:tcBorders>
              <w:top w:val="nil"/>
              <w:left w:val="nil"/>
              <w:bottom w:val="nil"/>
              <w:right w:val="nil"/>
            </w:tcBorders>
            <w:tcMar>
              <w:top w:w="45" w:type="dxa"/>
              <w:left w:w="45" w:type="dxa"/>
              <w:bottom w:w="45" w:type="dxa"/>
              <w:right w:w="45" w:type="dxa"/>
            </w:tcMar>
            <w:vAlign w:val="center"/>
          </w:tcPr>
          <w:p w14:paraId="2FB86D5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Assisted Reproduction and Genetics</w:t>
            </w:r>
          </w:p>
        </w:tc>
        <w:tc>
          <w:tcPr>
            <w:tcW w:w="1189" w:type="dxa"/>
            <w:tcBorders>
              <w:top w:val="nil"/>
              <w:left w:val="nil"/>
              <w:bottom w:val="nil"/>
              <w:right w:val="nil"/>
            </w:tcBorders>
            <w:tcMar>
              <w:top w:w="45" w:type="dxa"/>
              <w:left w:w="45" w:type="dxa"/>
              <w:bottom w:w="45" w:type="dxa"/>
              <w:right w:w="45" w:type="dxa"/>
            </w:tcMar>
            <w:vAlign w:val="center"/>
          </w:tcPr>
          <w:p w14:paraId="5146566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Prospective cohort (contextual IVF </w:t>
            </w:r>
            <w:proofErr w:type="spellStart"/>
            <w:r w:rsidRPr="00D578DF">
              <w:rPr>
                <w:rFonts w:ascii="Times New Roman" w:hAnsi="Times New Roman" w:cs="Times New Roman"/>
                <w:sz w:val="20"/>
                <w:szCs w:val="20"/>
              </w:rPr>
              <w:t>lipidomics</w:t>
            </w:r>
            <w:proofErr w:type="spellEnd"/>
            <w:r w:rsidRPr="00D578DF">
              <w:rPr>
                <w:rFonts w:ascii="Times New Roman" w:hAnsi="Times New Roman" w:cs="Times New Roman"/>
                <w:sz w:val="20"/>
                <w:szCs w:val="20"/>
              </w:rPr>
              <w:t>)</w:t>
            </w:r>
          </w:p>
        </w:tc>
        <w:tc>
          <w:tcPr>
            <w:tcW w:w="1055" w:type="dxa"/>
            <w:tcBorders>
              <w:top w:val="nil"/>
              <w:left w:val="nil"/>
              <w:bottom w:val="nil"/>
              <w:right w:val="nil"/>
            </w:tcBorders>
            <w:tcMar>
              <w:top w:w="45" w:type="dxa"/>
              <w:left w:w="45" w:type="dxa"/>
              <w:bottom w:w="45" w:type="dxa"/>
              <w:right w:w="45" w:type="dxa"/>
            </w:tcMar>
            <w:vAlign w:val="center"/>
          </w:tcPr>
          <w:p w14:paraId="126E6E90"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29 IVF cycles: 15 </w:t>
            </w:r>
            <w:proofErr w:type="spellStart"/>
            <w:r w:rsidRPr="00D578DF">
              <w:rPr>
                <w:rFonts w:ascii="Times New Roman" w:hAnsi="Times New Roman" w:cs="Times New Roman"/>
                <w:sz w:val="20"/>
                <w:szCs w:val="20"/>
              </w:rPr>
              <w:t>implantative</w:t>
            </w:r>
            <w:proofErr w:type="spellEnd"/>
            <w:r w:rsidRPr="00D578DF">
              <w:rPr>
                <w:rFonts w:ascii="Times New Roman" w:hAnsi="Times New Roman" w:cs="Times New Roman"/>
                <w:sz w:val="20"/>
                <w:szCs w:val="20"/>
              </w:rPr>
              <w:t xml:space="preserve"> vs. 14 non-</w:t>
            </w:r>
            <w:proofErr w:type="spellStart"/>
            <w:r w:rsidRPr="00D578DF">
              <w:rPr>
                <w:rFonts w:ascii="Times New Roman" w:hAnsi="Times New Roman" w:cs="Times New Roman"/>
                <w:sz w:val="20"/>
                <w:szCs w:val="20"/>
              </w:rPr>
              <w:t>implantative</w:t>
            </w:r>
            <w:proofErr w:type="spellEnd"/>
          </w:p>
        </w:tc>
        <w:tc>
          <w:tcPr>
            <w:tcW w:w="1787" w:type="dxa"/>
            <w:tcBorders>
              <w:top w:val="nil"/>
              <w:left w:val="nil"/>
              <w:bottom w:val="nil"/>
              <w:right w:val="nil"/>
            </w:tcBorders>
            <w:tcMar>
              <w:top w:w="45" w:type="dxa"/>
              <w:left w:w="45" w:type="dxa"/>
              <w:bottom w:w="45" w:type="dxa"/>
              <w:right w:w="45" w:type="dxa"/>
            </w:tcMar>
            <w:vAlign w:val="center"/>
          </w:tcPr>
          <w:p w14:paraId="3194516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Eight altered lipids (seven glycerophospholipids and one omega-6 PUFA) distinguished </w:t>
            </w:r>
            <w:proofErr w:type="spellStart"/>
            <w:r w:rsidRPr="00D578DF">
              <w:rPr>
                <w:rFonts w:ascii="Times New Roman" w:hAnsi="Times New Roman" w:cs="Times New Roman"/>
                <w:sz w:val="20"/>
                <w:szCs w:val="20"/>
              </w:rPr>
              <w:t>implantative</w:t>
            </w:r>
            <w:proofErr w:type="spellEnd"/>
            <w:r w:rsidRPr="00D578DF">
              <w:rPr>
                <w:rFonts w:ascii="Times New Roman" w:hAnsi="Times New Roman" w:cs="Times New Roman"/>
                <w:sz w:val="20"/>
                <w:szCs w:val="20"/>
              </w:rPr>
              <w:t xml:space="preserve"> from non-</w:t>
            </w:r>
            <w:proofErr w:type="spellStart"/>
            <w:r w:rsidRPr="00D578DF">
              <w:rPr>
                <w:rFonts w:ascii="Times New Roman" w:hAnsi="Times New Roman" w:cs="Times New Roman"/>
                <w:sz w:val="20"/>
                <w:szCs w:val="20"/>
              </w:rPr>
              <w:t>implantative</w:t>
            </w:r>
            <w:proofErr w:type="spellEnd"/>
            <w:r w:rsidRPr="00D578DF">
              <w:rPr>
                <w:rFonts w:ascii="Times New Roman" w:hAnsi="Times New Roman" w:cs="Times New Roman"/>
                <w:sz w:val="20"/>
                <w:szCs w:val="20"/>
              </w:rPr>
              <w:t xml:space="preserve"> cycles; SVM AUC 0.893, sensitivity 85.7%, specificity 80.0%, accuracy 82.8%.</w:t>
            </w:r>
          </w:p>
        </w:tc>
        <w:tc>
          <w:tcPr>
            <w:tcW w:w="2411" w:type="dxa"/>
            <w:tcBorders>
              <w:top w:val="nil"/>
              <w:left w:val="nil"/>
              <w:bottom w:val="nil"/>
              <w:right w:val="nil"/>
            </w:tcBorders>
            <w:tcMar>
              <w:top w:w="45" w:type="dxa"/>
              <w:left w:w="45" w:type="dxa"/>
              <w:bottom w:w="45" w:type="dxa"/>
              <w:right w:w="45" w:type="dxa"/>
            </w:tcMar>
            <w:vAlign w:val="center"/>
          </w:tcPr>
          <w:p w14:paraId="22045E2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Endometrial-fluid lipidomic signature for IVF implantation outcome; contextual to RIF, not a RIF-specific biomarker study.</w:t>
            </w:r>
          </w:p>
        </w:tc>
        <w:tc>
          <w:tcPr>
            <w:tcW w:w="1738" w:type="dxa"/>
            <w:tcBorders>
              <w:top w:val="nil"/>
              <w:left w:val="nil"/>
              <w:bottom w:val="nil"/>
              <w:right w:val="nil"/>
            </w:tcBorders>
            <w:tcMar>
              <w:top w:w="45" w:type="dxa"/>
              <w:left w:w="45" w:type="dxa"/>
              <w:bottom w:w="45" w:type="dxa"/>
              <w:right w:w="45" w:type="dxa"/>
            </w:tcMar>
            <w:vAlign w:val="center"/>
          </w:tcPr>
          <w:p w14:paraId="1C9D91D5"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UHPLC-ToF-MS </w:t>
            </w:r>
            <w:proofErr w:type="spellStart"/>
            <w:r w:rsidRPr="00D578DF">
              <w:rPr>
                <w:rFonts w:ascii="Times New Roman" w:hAnsi="Times New Roman" w:cs="Times New Roman"/>
                <w:sz w:val="20"/>
                <w:szCs w:val="20"/>
              </w:rPr>
              <w:t>lipidomics</w:t>
            </w:r>
            <w:proofErr w:type="spellEnd"/>
            <w:r w:rsidRPr="00D578DF">
              <w:rPr>
                <w:rFonts w:ascii="Times New Roman" w:hAnsi="Times New Roman" w:cs="Times New Roman"/>
                <w:sz w:val="20"/>
                <w:szCs w:val="20"/>
              </w:rPr>
              <w:t xml:space="preserve"> + support-vector-machine classifier</w:t>
            </w:r>
          </w:p>
        </w:tc>
        <w:tc>
          <w:tcPr>
            <w:tcW w:w="1364" w:type="dxa"/>
            <w:tcBorders>
              <w:top w:val="nil"/>
              <w:left w:val="nil"/>
              <w:bottom w:val="nil"/>
              <w:right w:val="nil"/>
            </w:tcBorders>
            <w:tcMar>
              <w:top w:w="45" w:type="dxa"/>
              <w:left w:w="45" w:type="dxa"/>
              <w:bottom w:w="45" w:type="dxa"/>
              <w:right w:w="45" w:type="dxa"/>
            </w:tcMar>
            <w:vAlign w:val="center"/>
          </w:tcPr>
          <w:p w14:paraId="63F055AB"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Endometrial fluid sampled in the transfer cycle; quantitative multivariate classifier.</w:t>
            </w:r>
          </w:p>
        </w:tc>
        <w:tc>
          <w:tcPr>
            <w:tcW w:w="1380" w:type="dxa"/>
            <w:tcBorders>
              <w:top w:val="nil"/>
              <w:left w:val="nil"/>
              <w:bottom w:val="nil"/>
              <w:right w:val="nil"/>
            </w:tcBorders>
            <w:tcMar>
              <w:top w:w="45" w:type="dxa"/>
              <w:left w:w="45" w:type="dxa"/>
              <w:bottom w:w="45" w:type="dxa"/>
              <w:right w:w="45" w:type="dxa"/>
            </w:tcMar>
            <w:vAlign w:val="center"/>
          </w:tcPr>
          <w:p w14:paraId="1613714B"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Small cohort; general IVF population; LPA 18:1 was not reported as the top discriminator.</w:t>
            </w:r>
          </w:p>
        </w:tc>
      </w:tr>
      <w:tr w:rsidR="00D7116D" w:rsidRPr="00D578DF" w14:paraId="162B0FC5"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7EAFD970"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Yang T et al., 2022 [92]</w:t>
            </w:r>
          </w:p>
        </w:tc>
        <w:tc>
          <w:tcPr>
            <w:tcW w:w="1114" w:type="dxa"/>
            <w:tcBorders>
              <w:top w:val="nil"/>
              <w:left w:val="nil"/>
              <w:bottom w:val="nil"/>
              <w:right w:val="nil"/>
            </w:tcBorders>
            <w:tcMar>
              <w:top w:w="45" w:type="dxa"/>
              <w:left w:w="45" w:type="dxa"/>
              <w:bottom w:w="45" w:type="dxa"/>
              <w:right w:w="45" w:type="dxa"/>
            </w:tcMar>
            <w:vAlign w:val="center"/>
          </w:tcPr>
          <w:p w14:paraId="3B358ED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Reproduction Update</w:t>
            </w:r>
          </w:p>
        </w:tc>
        <w:tc>
          <w:tcPr>
            <w:tcW w:w="1189" w:type="dxa"/>
            <w:tcBorders>
              <w:top w:val="nil"/>
              <w:left w:val="nil"/>
              <w:bottom w:val="nil"/>
              <w:right w:val="nil"/>
            </w:tcBorders>
            <w:tcMar>
              <w:top w:w="45" w:type="dxa"/>
              <w:left w:w="45" w:type="dxa"/>
              <w:bottom w:w="45" w:type="dxa"/>
              <w:right w:w="45" w:type="dxa"/>
            </w:tcMar>
            <w:vAlign w:val="center"/>
          </w:tcPr>
          <w:p w14:paraId="10B5569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Systematic Review</w:t>
            </w:r>
          </w:p>
        </w:tc>
        <w:tc>
          <w:tcPr>
            <w:tcW w:w="1055" w:type="dxa"/>
            <w:tcBorders>
              <w:top w:val="nil"/>
              <w:left w:val="nil"/>
              <w:bottom w:val="nil"/>
              <w:right w:val="nil"/>
            </w:tcBorders>
            <w:tcMar>
              <w:top w:w="45" w:type="dxa"/>
              <w:left w:w="45" w:type="dxa"/>
              <w:bottom w:w="45" w:type="dxa"/>
              <w:right w:w="45" w:type="dxa"/>
            </w:tcMar>
            <w:vAlign w:val="center"/>
          </w:tcPr>
          <w:p w14:paraId="17C70D0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studies</w:t>
            </w:r>
          </w:p>
        </w:tc>
        <w:tc>
          <w:tcPr>
            <w:tcW w:w="1787" w:type="dxa"/>
            <w:tcBorders>
              <w:top w:val="nil"/>
              <w:left w:val="nil"/>
              <w:bottom w:val="nil"/>
              <w:right w:val="nil"/>
            </w:tcBorders>
            <w:tcMar>
              <w:top w:w="45" w:type="dxa"/>
              <w:left w:w="45" w:type="dxa"/>
              <w:bottom w:w="45" w:type="dxa"/>
              <w:right w:w="45" w:type="dxa"/>
            </w:tcMar>
            <w:vAlign w:val="center"/>
          </w:tcPr>
          <w:p w14:paraId="4A4BDE9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LPA, PGE2, PGI2, sphingosine-1-phosphate as key lipid mediators of WOI; PPAR-gamma activation enhances receptivity; Cox-2 regulation of prostaglandins</w:t>
            </w:r>
          </w:p>
        </w:tc>
        <w:tc>
          <w:tcPr>
            <w:tcW w:w="2411" w:type="dxa"/>
            <w:tcBorders>
              <w:top w:val="nil"/>
              <w:left w:val="nil"/>
              <w:bottom w:val="nil"/>
              <w:right w:val="nil"/>
            </w:tcBorders>
            <w:tcMar>
              <w:top w:w="45" w:type="dxa"/>
              <w:left w:w="45" w:type="dxa"/>
              <w:bottom w:w="45" w:type="dxa"/>
              <w:right w:w="45" w:type="dxa"/>
            </w:tcMar>
            <w:vAlign w:val="center"/>
          </w:tcPr>
          <w:p w14:paraId="5BA8571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Lipid metabolism pathways (Cox-2/PGE2, LPA/LPAR, PPAR-gamma) as pharmacological targets for improving endometrial receptivity</w:t>
            </w:r>
          </w:p>
        </w:tc>
        <w:tc>
          <w:tcPr>
            <w:tcW w:w="1738" w:type="dxa"/>
            <w:tcBorders>
              <w:top w:val="nil"/>
              <w:left w:val="nil"/>
              <w:bottom w:val="nil"/>
              <w:right w:val="nil"/>
            </w:tcBorders>
            <w:tcMar>
              <w:top w:w="45" w:type="dxa"/>
              <w:left w:w="45" w:type="dxa"/>
              <w:bottom w:w="45" w:type="dxa"/>
              <w:right w:w="45" w:type="dxa"/>
            </w:tcMar>
            <w:vAlign w:val="center"/>
          </w:tcPr>
          <w:p w14:paraId="6423268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AMSTAR-2; mechanistic synthesis</w:t>
            </w:r>
          </w:p>
        </w:tc>
        <w:tc>
          <w:tcPr>
            <w:tcW w:w="1364" w:type="dxa"/>
            <w:tcBorders>
              <w:top w:val="nil"/>
              <w:left w:val="nil"/>
              <w:bottom w:val="nil"/>
              <w:right w:val="nil"/>
            </w:tcBorders>
            <w:tcMar>
              <w:top w:w="45" w:type="dxa"/>
              <w:left w:w="45" w:type="dxa"/>
              <w:bottom w:w="45" w:type="dxa"/>
              <w:right w:w="45" w:type="dxa"/>
            </w:tcMar>
            <w:vAlign w:val="center"/>
          </w:tcPr>
          <w:p w14:paraId="338A53A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Human Reproduction Update; comprehensive mechanistic review; prostaglandin/LPA </w:t>
            </w:r>
            <w:proofErr w:type="spellStart"/>
            <w:r w:rsidRPr="00D578DF">
              <w:rPr>
                <w:rFonts w:ascii="Times New Roman" w:eastAsia="Calibri" w:hAnsi="Times New Roman" w:cs="Times New Roman"/>
                <w:color w:val="000000" w:themeColor="text1"/>
                <w:sz w:val="20"/>
                <w:szCs w:val="20"/>
              </w:rPr>
              <w:t>signalling</w:t>
            </w:r>
            <w:proofErr w:type="spellEnd"/>
            <w:r w:rsidRPr="00D578DF">
              <w:rPr>
                <w:rFonts w:ascii="Times New Roman" w:eastAsia="Calibri" w:hAnsi="Times New Roman" w:cs="Times New Roman"/>
                <w:color w:val="000000" w:themeColor="text1"/>
                <w:sz w:val="20"/>
                <w:szCs w:val="20"/>
              </w:rPr>
              <w:t xml:space="preserve"> framework</w:t>
            </w:r>
          </w:p>
        </w:tc>
        <w:tc>
          <w:tcPr>
            <w:tcW w:w="1380" w:type="dxa"/>
            <w:tcBorders>
              <w:top w:val="nil"/>
              <w:left w:val="nil"/>
              <w:bottom w:val="nil"/>
              <w:right w:val="nil"/>
            </w:tcBorders>
            <w:tcMar>
              <w:top w:w="45" w:type="dxa"/>
              <w:left w:w="45" w:type="dxa"/>
              <w:bottom w:w="45" w:type="dxa"/>
              <w:right w:w="45" w:type="dxa"/>
            </w:tcMar>
            <w:vAlign w:val="center"/>
          </w:tcPr>
          <w:p w14:paraId="5CB7E72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No primary data; mechanistic synthesis only</w:t>
            </w:r>
          </w:p>
        </w:tc>
      </w:tr>
      <w:tr w:rsidR="00D7116D" w:rsidRPr="00D578DF" w14:paraId="5CA93614"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0D08BB2E"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lastRenderedPageBreak/>
              <w:t>Siristatidis</w:t>
            </w:r>
            <w:proofErr w:type="spellEnd"/>
            <w:r w:rsidRPr="00D578DF">
              <w:rPr>
                <w:rFonts w:ascii="Times New Roman" w:hAnsi="Times New Roman" w:cs="Times New Roman"/>
                <w:color w:val="000000"/>
                <w:sz w:val="20"/>
                <w:szCs w:val="20"/>
              </w:rPr>
              <w:t xml:space="preserve"> et al., 2021 [102]</w:t>
            </w:r>
          </w:p>
        </w:tc>
        <w:tc>
          <w:tcPr>
            <w:tcW w:w="1114" w:type="dxa"/>
            <w:tcBorders>
              <w:top w:val="nil"/>
              <w:left w:val="nil"/>
              <w:bottom w:val="nil"/>
              <w:right w:val="nil"/>
            </w:tcBorders>
            <w:tcMar>
              <w:top w:w="45" w:type="dxa"/>
              <w:left w:w="45" w:type="dxa"/>
              <w:bottom w:w="45" w:type="dxa"/>
              <w:right w:w="45" w:type="dxa"/>
            </w:tcMar>
            <w:vAlign w:val="center"/>
          </w:tcPr>
          <w:p w14:paraId="2301998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Diagnostics</w:t>
            </w:r>
          </w:p>
        </w:tc>
        <w:tc>
          <w:tcPr>
            <w:tcW w:w="1189" w:type="dxa"/>
            <w:tcBorders>
              <w:top w:val="nil"/>
              <w:left w:val="nil"/>
              <w:bottom w:val="nil"/>
              <w:right w:val="nil"/>
            </w:tcBorders>
            <w:tcMar>
              <w:top w:w="45" w:type="dxa"/>
              <w:left w:w="45" w:type="dxa"/>
              <w:bottom w:w="45" w:type="dxa"/>
              <w:right w:w="45" w:type="dxa"/>
            </w:tcMar>
            <w:vAlign w:val="center"/>
          </w:tcPr>
          <w:p w14:paraId="0F6C4E6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Protocol Paper</w:t>
            </w:r>
          </w:p>
        </w:tc>
        <w:tc>
          <w:tcPr>
            <w:tcW w:w="1055" w:type="dxa"/>
            <w:tcBorders>
              <w:top w:val="nil"/>
              <w:left w:val="nil"/>
              <w:bottom w:val="nil"/>
              <w:right w:val="nil"/>
            </w:tcBorders>
            <w:tcMar>
              <w:top w:w="45" w:type="dxa"/>
              <w:left w:w="45" w:type="dxa"/>
              <w:bottom w:w="45" w:type="dxa"/>
              <w:right w:w="45" w:type="dxa"/>
            </w:tcMar>
            <w:vAlign w:val="center"/>
          </w:tcPr>
          <w:p w14:paraId="490978C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0B6B213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Integrated multi-omics (transcriptomics + </w:t>
            </w:r>
            <w:proofErr w:type="spellStart"/>
            <w:r w:rsidRPr="00D578DF">
              <w:rPr>
                <w:rFonts w:ascii="Times New Roman" w:eastAsia="Calibri" w:hAnsi="Times New Roman" w:cs="Times New Roman"/>
                <w:color w:val="000000" w:themeColor="text1"/>
                <w:sz w:val="20"/>
                <w:szCs w:val="20"/>
              </w:rPr>
              <w:t>lipidomics</w:t>
            </w:r>
            <w:proofErr w:type="spellEnd"/>
            <w:r w:rsidRPr="00D578DF">
              <w:rPr>
                <w:rFonts w:ascii="Times New Roman" w:eastAsia="Calibri" w:hAnsi="Times New Roman" w:cs="Times New Roman"/>
                <w:color w:val="000000" w:themeColor="text1"/>
                <w:sz w:val="20"/>
                <w:szCs w:val="20"/>
              </w:rPr>
              <w:t xml:space="preserve"> + proteomics) + AI prediction framework proposed for IVF outcome </w:t>
            </w:r>
            <w:proofErr w:type="spellStart"/>
            <w:r w:rsidRPr="00D578DF">
              <w:rPr>
                <w:rFonts w:ascii="Times New Roman" w:eastAsia="Calibri" w:hAnsi="Times New Roman" w:cs="Times New Roman"/>
                <w:color w:val="000000" w:themeColor="text1"/>
                <w:sz w:val="20"/>
                <w:szCs w:val="20"/>
              </w:rPr>
              <w:t>optimisation</w:t>
            </w:r>
            <w:proofErr w:type="spellEnd"/>
          </w:p>
        </w:tc>
        <w:tc>
          <w:tcPr>
            <w:tcW w:w="2411" w:type="dxa"/>
            <w:tcBorders>
              <w:top w:val="nil"/>
              <w:left w:val="nil"/>
              <w:bottom w:val="nil"/>
              <w:right w:val="nil"/>
            </w:tcBorders>
            <w:tcMar>
              <w:top w:w="45" w:type="dxa"/>
              <w:left w:w="45" w:type="dxa"/>
              <w:bottom w:w="45" w:type="dxa"/>
              <w:right w:w="45" w:type="dxa"/>
            </w:tcMar>
            <w:vAlign w:val="center"/>
          </w:tcPr>
          <w:p w14:paraId="27E61A4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Multi-omics AI protocol for IVF </w:t>
            </w:r>
            <w:proofErr w:type="spellStart"/>
            <w:r w:rsidRPr="00D578DF">
              <w:rPr>
                <w:rFonts w:ascii="Times New Roman" w:eastAsia="Calibri" w:hAnsi="Times New Roman" w:cs="Times New Roman"/>
                <w:color w:val="000000" w:themeColor="text1"/>
                <w:sz w:val="20"/>
                <w:szCs w:val="20"/>
              </w:rPr>
              <w:t>personalisation</w:t>
            </w:r>
            <w:proofErr w:type="spellEnd"/>
            <w:r w:rsidRPr="00D578DF">
              <w:rPr>
                <w:rFonts w:ascii="Times New Roman" w:eastAsia="Calibri" w:hAnsi="Times New Roman" w:cs="Times New Roman"/>
                <w:color w:val="000000" w:themeColor="text1"/>
                <w:sz w:val="20"/>
                <w:szCs w:val="20"/>
              </w:rPr>
              <w:t xml:space="preserve"> including lipidomic profiling</w:t>
            </w:r>
          </w:p>
        </w:tc>
        <w:tc>
          <w:tcPr>
            <w:tcW w:w="1738" w:type="dxa"/>
            <w:tcBorders>
              <w:top w:val="nil"/>
              <w:left w:val="nil"/>
              <w:bottom w:val="nil"/>
              <w:right w:val="nil"/>
            </w:tcBorders>
            <w:tcMar>
              <w:top w:w="45" w:type="dxa"/>
              <w:left w:w="45" w:type="dxa"/>
              <w:bottom w:w="45" w:type="dxa"/>
              <w:right w:w="45" w:type="dxa"/>
            </w:tcMar>
            <w:vAlign w:val="center"/>
          </w:tcPr>
          <w:p w14:paraId="418B648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Protocol; AI-omics integration framework</w:t>
            </w:r>
          </w:p>
        </w:tc>
        <w:tc>
          <w:tcPr>
            <w:tcW w:w="1364" w:type="dxa"/>
            <w:tcBorders>
              <w:top w:val="nil"/>
              <w:left w:val="nil"/>
              <w:bottom w:val="nil"/>
              <w:right w:val="nil"/>
            </w:tcBorders>
            <w:tcMar>
              <w:top w:w="45" w:type="dxa"/>
              <w:left w:w="45" w:type="dxa"/>
              <w:bottom w:w="45" w:type="dxa"/>
              <w:right w:w="45" w:type="dxa"/>
            </w:tcMar>
            <w:vAlign w:val="center"/>
          </w:tcPr>
          <w:p w14:paraId="1B9C21C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AI-omics integration vision; protocol publication; Diagnostics</w:t>
            </w:r>
          </w:p>
        </w:tc>
        <w:tc>
          <w:tcPr>
            <w:tcW w:w="1380" w:type="dxa"/>
            <w:tcBorders>
              <w:top w:val="nil"/>
              <w:left w:val="nil"/>
              <w:bottom w:val="nil"/>
              <w:right w:val="nil"/>
            </w:tcBorders>
            <w:tcMar>
              <w:top w:w="45" w:type="dxa"/>
              <w:left w:w="45" w:type="dxa"/>
              <w:bottom w:w="45" w:type="dxa"/>
              <w:right w:w="45" w:type="dxa"/>
            </w:tcMar>
            <w:vAlign w:val="center"/>
          </w:tcPr>
          <w:p w14:paraId="4FC8928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Protocol not yet implemented; no clinical data</w:t>
            </w:r>
          </w:p>
        </w:tc>
      </w:tr>
      <w:tr w:rsidR="00D7116D" w:rsidRPr="00D578DF" w14:paraId="79B93D72"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628C879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Ye, Louie, and Evdokia Dimitriadis (2025) [5]</w:t>
            </w:r>
          </w:p>
        </w:tc>
        <w:tc>
          <w:tcPr>
            <w:tcW w:w="1114" w:type="dxa"/>
            <w:tcBorders>
              <w:top w:val="nil"/>
              <w:left w:val="nil"/>
              <w:bottom w:val="nil"/>
              <w:right w:val="nil"/>
            </w:tcBorders>
            <w:tcMar>
              <w:top w:w="45" w:type="dxa"/>
              <w:left w:w="45" w:type="dxa"/>
              <w:bottom w:w="45" w:type="dxa"/>
              <w:right w:w="45" w:type="dxa"/>
            </w:tcMar>
            <w:vAlign w:val="center"/>
          </w:tcPr>
          <w:p w14:paraId="443A7C0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Biomolecules</w:t>
            </w:r>
          </w:p>
        </w:tc>
        <w:tc>
          <w:tcPr>
            <w:tcW w:w="1189" w:type="dxa"/>
            <w:tcBorders>
              <w:top w:val="nil"/>
              <w:left w:val="nil"/>
              <w:bottom w:val="nil"/>
              <w:right w:val="nil"/>
            </w:tcBorders>
            <w:tcMar>
              <w:top w:w="45" w:type="dxa"/>
              <w:left w:w="45" w:type="dxa"/>
              <w:bottom w:w="45" w:type="dxa"/>
              <w:right w:w="45" w:type="dxa"/>
            </w:tcMar>
            <w:vAlign w:val="center"/>
          </w:tcPr>
          <w:p w14:paraId="12B5000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Review</w:t>
            </w:r>
          </w:p>
        </w:tc>
        <w:tc>
          <w:tcPr>
            <w:tcW w:w="1055" w:type="dxa"/>
            <w:tcBorders>
              <w:top w:val="nil"/>
              <w:left w:val="nil"/>
              <w:bottom w:val="nil"/>
              <w:right w:val="nil"/>
            </w:tcBorders>
            <w:tcMar>
              <w:top w:w="45" w:type="dxa"/>
              <w:left w:w="45" w:type="dxa"/>
              <w:bottom w:w="45" w:type="dxa"/>
              <w:right w:w="45" w:type="dxa"/>
            </w:tcMar>
            <w:vAlign w:val="center"/>
          </w:tcPr>
          <w:p w14:paraId="44CE93B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44067DE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Lipidomic dysregulation at WOI: reduced PUFA-containing lipids, altered ceramide/sphingomyelin ratio; multi-omics WOI map updated to 2025</w:t>
            </w:r>
          </w:p>
        </w:tc>
        <w:tc>
          <w:tcPr>
            <w:tcW w:w="2411" w:type="dxa"/>
            <w:tcBorders>
              <w:top w:val="nil"/>
              <w:left w:val="nil"/>
              <w:bottom w:val="nil"/>
              <w:right w:val="nil"/>
            </w:tcBorders>
            <w:tcMar>
              <w:top w:w="45" w:type="dxa"/>
              <w:left w:w="45" w:type="dxa"/>
              <w:bottom w:w="45" w:type="dxa"/>
              <w:right w:w="45" w:type="dxa"/>
            </w:tcMar>
            <w:vAlign w:val="center"/>
          </w:tcPr>
          <w:p w14:paraId="48198C6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Updated multi-omics WOI framework incorporating </w:t>
            </w:r>
            <w:proofErr w:type="spellStart"/>
            <w:r w:rsidRPr="00D578DF">
              <w:rPr>
                <w:rFonts w:ascii="Times New Roman" w:eastAsia="Calibri" w:hAnsi="Times New Roman" w:cs="Times New Roman"/>
                <w:color w:val="000000" w:themeColor="text1"/>
                <w:sz w:val="20"/>
                <w:szCs w:val="20"/>
              </w:rPr>
              <w:t>lipidomics</w:t>
            </w:r>
            <w:proofErr w:type="spellEnd"/>
            <w:r w:rsidRPr="00D578DF">
              <w:rPr>
                <w:rFonts w:ascii="Times New Roman" w:eastAsia="Calibri" w:hAnsi="Times New Roman" w:cs="Times New Roman"/>
                <w:color w:val="000000" w:themeColor="text1"/>
                <w:sz w:val="20"/>
                <w:szCs w:val="20"/>
              </w:rPr>
              <w:t xml:space="preserve"> for clinical biomarker development</w:t>
            </w:r>
          </w:p>
        </w:tc>
        <w:tc>
          <w:tcPr>
            <w:tcW w:w="1738" w:type="dxa"/>
            <w:tcBorders>
              <w:top w:val="nil"/>
              <w:left w:val="nil"/>
              <w:bottom w:val="nil"/>
              <w:right w:val="nil"/>
            </w:tcBorders>
            <w:tcMar>
              <w:top w:w="45" w:type="dxa"/>
              <w:left w:w="45" w:type="dxa"/>
              <w:bottom w:w="45" w:type="dxa"/>
              <w:right w:w="45" w:type="dxa"/>
            </w:tcMar>
            <w:vAlign w:val="center"/>
          </w:tcPr>
          <w:p w14:paraId="172CBBD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synthesis; multi-omics integration</w:t>
            </w:r>
          </w:p>
        </w:tc>
        <w:tc>
          <w:tcPr>
            <w:tcW w:w="1364" w:type="dxa"/>
            <w:tcBorders>
              <w:top w:val="nil"/>
              <w:left w:val="nil"/>
              <w:bottom w:val="nil"/>
              <w:right w:val="nil"/>
            </w:tcBorders>
            <w:tcMar>
              <w:top w:w="45" w:type="dxa"/>
              <w:left w:w="45" w:type="dxa"/>
              <w:bottom w:w="45" w:type="dxa"/>
              <w:right w:w="45" w:type="dxa"/>
            </w:tcMar>
            <w:vAlign w:val="center"/>
          </w:tcPr>
          <w:p w14:paraId="2A2FE2B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Current (2025); comprehensive multi-omics including lipids; Biomolecules</w:t>
            </w:r>
          </w:p>
        </w:tc>
        <w:tc>
          <w:tcPr>
            <w:tcW w:w="1380" w:type="dxa"/>
            <w:tcBorders>
              <w:top w:val="nil"/>
              <w:left w:val="nil"/>
              <w:bottom w:val="nil"/>
              <w:right w:val="nil"/>
            </w:tcBorders>
            <w:tcMar>
              <w:top w:w="45" w:type="dxa"/>
              <w:left w:w="45" w:type="dxa"/>
              <w:bottom w:w="45" w:type="dxa"/>
              <w:right w:w="45" w:type="dxa"/>
            </w:tcMar>
            <w:vAlign w:val="center"/>
          </w:tcPr>
          <w:p w14:paraId="0A18EFE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Narrative synthesis; </w:t>
            </w:r>
            <w:proofErr w:type="spellStart"/>
            <w:r w:rsidRPr="00D578DF">
              <w:rPr>
                <w:rFonts w:ascii="Times New Roman" w:eastAsia="Calibri" w:hAnsi="Times New Roman" w:cs="Times New Roman"/>
                <w:color w:val="000000" w:themeColor="text1"/>
                <w:sz w:val="20"/>
                <w:szCs w:val="20"/>
              </w:rPr>
              <w:t>lipidomics</w:t>
            </w:r>
            <w:proofErr w:type="spellEnd"/>
            <w:r w:rsidRPr="00D578DF">
              <w:rPr>
                <w:rFonts w:ascii="Times New Roman" w:eastAsia="Calibri" w:hAnsi="Times New Roman" w:cs="Times New Roman"/>
                <w:color w:val="000000" w:themeColor="text1"/>
                <w:sz w:val="20"/>
                <w:szCs w:val="20"/>
              </w:rPr>
              <w:t xml:space="preserve"> coverage secondary to transcriptomics</w:t>
            </w:r>
          </w:p>
        </w:tc>
      </w:tr>
      <w:tr w:rsidR="00D7116D" w:rsidRPr="00D578DF" w14:paraId="5FB4734C"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52774343"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Ou et al., 2025 [99]</w:t>
            </w:r>
          </w:p>
        </w:tc>
        <w:tc>
          <w:tcPr>
            <w:tcW w:w="1114" w:type="dxa"/>
            <w:tcBorders>
              <w:top w:val="nil"/>
              <w:left w:val="nil"/>
              <w:bottom w:val="nil"/>
              <w:right w:val="nil"/>
            </w:tcBorders>
            <w:tcMar>
              <w:top w:w="45" w:type="dxa"/>
              <w:left w:w="45" w:type="dxa"/>
              <w:bottom w:w="45" w:type="dxa"/>
              <w:right w:w="45" w:type="dxa"/>
            </w:tcMar>
            <w:vAlign w:val="center"/>
          </w:tcPr>
          <w:p w14:paraId="445C3D2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Frontiers in Endocrinology</w:t>
            </w:r>
          </w:p>
        </w:tc>
        <w:tc>
          <w:tcPr>
            <w:tcW w:w="1189" w:type="dxa"/>
            <w:tcBorders>
              <w:top w:val="nil"/>
              <w:left w:val="nil"/>
              <w:bottom w:val="nil"/>
              <w:right w:val="nil"/>
            </w:tcBorders>
            <w:tcMar>
              <w:top w:w="45" w:type="dxa"/>
              <w:left w:w="45" w:type="dxa"/>
              <w:bottom w:w="45" w:type="dxa"/>
              <w:right w:w="45" w:type="dxa"/>
            </w:tcMar>
            <w:vAlign w:val="center"/>
          </w:tcPr>
          <w:p w14:paraId="21A1E20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Review</w:t>
            </w:r>
          </w:p>
        </w:tc>
        <w:tc>
          <w:tcPr>
            <w:tcW w:w="1055" w:type="dxa"/>
            <w:tcBorders>
              <w:top w:val="nil"/>
              <w:left w:val="nil"/>
              <w:bottom w:val="nil"/>
              <w:right w:val="nil"/>
            </w:tcBorders>
            <w:tcMar>
              <w:top w:w="45" w:type="dxa"/>
              <w:left w:w="45" w:type="dxa"/>
              <w:bottom w:w="45" w:type="dxa"/>
              <w:right w:w="45" w:type="dxa"/>
            </w:tcMar>
            <w:vAlign w:val="center"/>
          </w:tcPr>
          <w:p w14:paraId="5A68BB2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7EE078C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Endometriosis-RIF shared lipidomic dysregulation: elevated </w:t>
            </w:r>
            <w:proofErr w:type="spellStart"/>
            <w:r w:rsidRPr="00D578DF">
              <w:rPr>
                <w:rFonts w:ascii="Times New Roman" w:eastAsia="Calibri" w:hAnsi="Times New Roman" w:cs="Times New Roman"/>
                <w:color w:val="000000" w:themeColor="text1"/>
                <w:sz w:val="20"/>
                <w:szCs w:val="20"/>
              </w:rPr>
              <w:t>lysophospholipids</w:t>
            </w:r>
            <w:proofErr w:type="spellEnd"/>
            <w:r w:rsidRPr="00D578DF">
              <w:rPr>
                <w:rFonts w:ascii="Times New Roman" w:eastAsia="Calibri" w:hAnsi="Times New Roman" w:cs="Times New Roman"/>
                <w:color w:val="000000" w:themeColor="text1"/>
                <w:sz w:val="20"/>
                <w:szCs w:val="20"/>
              </w:rPr>
              <w:t>, arachidonic acid metabolites; precision therapeutic targets</w:t>
            </w:r>
          </w:p>
        </w:tc>
        <w:tc>
          <w:tcPr>
            <w:tcW w:w="2411" w:type="dxa"/>
            <w:tcBorders>
              <w:top w:val="nil"/>
              <w:left w:val="nil"/>
              <w:bottom w:val="nil"/>
              <w:right w:val="nil"/>
            </w:tcBorders>
            <w:tcMar>
              <w:top w:w="45" w:type="dxa"/>
              <w:left w:w="45" w:type="dxa"/>
              <w:bottom w:w="45" w:type="dxa"/>
              <w:right w:w="45" w:type="dxa"/>
            </w:tcMar>
            <w:vAlign w:val="center"/>
          </w:tcPr>
          <w:p w14:paraId="048600D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Shared lipidomic pathways as treatment targets bridging endometriosis and RIF</w:t>
            </w:r>
          </w:p>
        </w:tc>
        <w:tc>
          <w:tcPr>
            <w:tcW w:w="1738" w:type="dxa"/>
            <w:tcBorders>
              <w:top w:val="nil"/>
              <w:left w:val="nil"/>
              <w:bottom w:val="nil"/>
              <w:right w:val="nil"/>
            </w:tcBorders>
            <w:tcMar>
              <w:top w:w="45" w:type="dxa"/>
              <w:left w:w="45" w:type="dxa"/>
              <w:bottom w:w="45" w:type="dxa"/>
              <w:right w:w="45" w:type="dxa"/>
            </w:tcMar>
            <w:vAlign w:val="center"/>
          </w:tcPr>
          <w:p w14:paraId="23DB523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synthesis; multi-omics review</w:t>
            </w:r>
          </w:p>
        </w:tc>
        <w:tc>
          <w:tcPr>
            <w:tcW w:w="1364" w:type="dxa"/>
            <w:tcBorders>
              <w:top w:val="nil"/>
              <w:left w:val="nil"/>
              <w:bottom w:val="nil"/>
              <w:right w:val="nil"/>
            </w:tcBorders>
            <w:tcMar>
              <w:top w:w="45" w:type="dxa"/>
              <w:left w:w="45" w:type="dxa"/>
              <w:bottom w:w="45" w:type="dxa"/>
              <w:right w:w="45" w:type="dxa"/>
            </w:tcMar>
            <w:vAlign w:val="center"/>
          </w:tcPr>
          <w:p w14:paraId="2FEE93A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Precision therapeutics framing; multi-omics coverage; 2025</w:t>
            </w:r>
          </w:p>
        </w:tc>
        <w:tc>
          <w:tcPr>
            <w:tcW w:w="1380" w:type="dxa"/>
            <w:tcBorders>
              <w:top w:val="nil"/>
              <w:left w:val="nil"/>
              <w:bottom w:val="nil"/>
              <w:right w:val="nil"/>
            </w:tcBorders>
            <w:tcMar>
              <w:top w:w="45" w:type="dxa"/>
              <w:left w:w="45" w:type="dxa"/>
              <w:bottom w:w="45" w:type="dxa"/>
              <w:right w:w="45" w:type="dxa"/>
            </w:tcMar>
            <w:vAlign w:val="center"/>
          </w:tcPr>
          <w:p w14:paraId="6EA2341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Endometriosis-specific focus; narrative elements</w:t>
            </w:r>
          </w:p>
        </w:tc>
      </w:tr>
      <w:tr w:rsidR="00D7116D" w:rsidRPr="00D578DF" w14:paraId="3573A96D" w14:textId="77777777" w:rsidTr="00D578DF">
        <w:trPr>
          <w:trHeight w:val="1530"/>
          <w:jc w:val="center"/>
        </w:trPr>
        <w:tc>
          <w:tcPr>
            <w:tcW w:w="922" w:type="dxa"/>
            <w:tcBorders>
              <w:top w:val="nil"/>
              <w:left w:val="nil"/>
              <w:bottom w:val="nil"/>
              <w:right w:val="nil"/>
            </w:tcBorders>
            <w:tcMar>
              <w:top w:w="45" w:type="dxa"/>
              <w:left w:w="45" w:type="dxa"/>
              <w:bottom w:w="45" w:type="dxa"/>
              <w:right w:w="45" w:type="dxa"/>
            </w:tcMar>
            <w:vAlign w:val="center"/>
          </w:tcPr>
          <w:p w14:paraId="28B82605"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lastRenderedPageBreak/>
              <w:t>Kalakota</w:t>
            </w:r>
            <w:proofErr w:type="spellEnd"/>
            <w:r w:rsidRPr="00D578DF">
              <w:rPr>
                <w:rFonts w:ascii="Times New Roman" w:hAnsi="Times New Roman" w:cs="Times New Roman"/>
                <w:color w:val="000000"/>
                <w:sz w:val="20"/>
                <w:szCs w:val="20"/>
              </w:rPr>
              <w:t xml:space="preserve"> et al., 2022 [94]</w:t>
            </w:r>
          </w:p>
        </w:tc>
        <w:tc>
          <w:tcPr>
            <w:tcW w:w="1114" w:type="dxa"/>
            <w:tcBorders>
              <w:top w:val="nil"/>
              <w:left w:val="nil"/>
              <w:bottom w:val="nil"/>
              <w:right w:val="nil"/>
            </w:tcBorders>
            <w:tcMar>
              <w:top w:w="45" w:type="dxa"/>
              <w:left w:w="45" w:type="dxa"/>
              <w:bottom w:w="45" w:type="dxa"/>
              <w:right w:w="45" w:type="dxa"/>
            </w:tcMar>
            <w:vAlign w:val="center"/>
          </w:tcPr>
          <w:p w14:paraId="3B97478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Cells</w:t>
            </w:r>
          </w:p>
        </w:tc>
        <w:tc>
          <w:tcPr>
            <w:tcW w:w="1189" w:type="dxa"/>
            <w:tcBorders>
              <w:top w:val="nil"/>
              <w:left w:val="nil"/>
              <w:bottom w:val="nil"/>
              <w:right w:val="nil"/>
            </w:tcBorders>
            <w:tcMar>
              <w:top w:w="45" w:type="dxa"/>
              <w:left w:w="45" w:type="dxa"/>
              <w:bottom w:w="45" w:type="dxa"/>
              <w:right w:w="45" w:type="dxa"/>
            </w:tcMar>
            <w:vAlign w:val="center"/>
          </w:tcPr>
          <w:p w14:paraId="359F412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Review / Mechanistic</w:t>
            </w:r>
          </w:p>
        </w:tc>
        <w:tc>
          <w:tcPr>
            <w:tcW w:w="1055" w:type="dxa"/>
            <w:tcBorders>
              <w:top w:val="nil"/>
              <w:left w:val="nil"/>
              <w:bottom w:val="nil"/>
              <w:right w:val="nil"/>
            </w:tcBorders>
            <w:tcMar>
              <w:top w:w="45" w:type="dxa"/>
              <w:left w:w="45" w:type="dxa"/>
              <w:bottom w:w="45" w:type="dxa"/>
              <w:right w:w="45" w:type="dxa"/>
            </w:tcMar>
            <w:vAlign w:val="center"/>
          </w:tcPr>
          <w:p w14:paraId="399484B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11B31AE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Elevated progesterone accelerates WOI advancement; lipid mediator (PGE2, LPA) profiles altered by progesterone elevation; ART-specific implications</w:t>
            </w:r>
          </w:p>
        </w:tc>
        <w:tc>
          <w:tcPr>
            <w:tcW w:w="2411" w:type="dxa"/>
            <w:tcBorders>
              <w:top w:val="nil"/>
              <w:left w:val="nil"/>
              <w:bottom w:val="nil"/>
              <w:right w:val="nil"/>
            </w:tcBorders>
            <w:tcMar>
              <w:top w:w="45" w:type="dxa"/>
              <w:left w:w="45" w:type="dxa"/>
              <w:bottom w:w="45" w:type="dxa"/>
              <w:right w:w="45" w:type="dxa"/>
            </w:tcMar>
            <w:vAlign w:val="center"/>
          </w:tcPr>
          <w:p w14:paraId="1F1B9D8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Progesterone-lipid axis as a diagnostic consideration in progesterone elevation during COS</w:t>
            </w:r>
          </w:p>
        </w:tc>
        <w:tc>
          <w:tcPr>
            <w:tcW w:w="1738" w:type="dxa"/>
            <w:tcBorders>
              <w:top w:val="nil"/>
              <w:left w:val="nil"/>
              <w:bottom w:val="nil"/>
              <w:right w:val="nil"/>
            </w:tcBorders>
            <w:tcMar>
              <w:top w:w="45" w:type="dxa"/>
              <w:left w:w="45" w:type="dxa"/>
              <w:bottom w:w="45" w:type="dxa"/>
              <w:right w:w="45" w:type="dxa"/>
            </w:tcMar>
            <w:vAlign w:val="center"/>
          </w:tcPr>
          <w:p w14:paraId="01782CA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Mechanistic review</w:t>
            </w:r>
          </w:p>
        </w:tc>
        <w:tc>
          <w:tcPr>
            <w:tcW w:w="1364" w:type="dxa"/>
            <w:tcBorders>
              <w:top w:val="nil"/>
              <w:left w:val="nil"/>
              <w:bottom w:val="nil"/>
              <w:right w:val="nil"/>
            </w:tcBorders>
            <w:tcMar>
              <w:top w:w="45" w:type="dxa"/>
              <w:left w:w="45" w:type="dxa"/>
              <w:bottom w:w="45" w:type="dxa"/>
              <w:right w:w="45" w:type="dxa"/>
            </w:tcMar>
            <w:vAlign w:val="center"/>
          </w:tcPr>
          <w:p w14:paraId="7A56A56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ART-relevant; progesterone-lipid-receptor connection</w:t>
            </w:r>
          </w:p>
        </w:tc>
        <w:tc>
          <w:tcPr>
            <w:tcW w:w="1380" w:type="dxa"/>
            <w:tcBorders>
              <w:top w:val="nil"/>
              <w:left w:val="nil"/>
              <w:bottom w:val="nil"/>
              <w:right w:val="nil"/>
            </w:tcBorders>
            <w:tcMar>
              <w:top w:w="45" w:type="dxa"/>
              <w:left w:w="45" w:type="dxa"/>
              <w:bottom w:w="45" w:type="dxa"/>
              <w:right w:w="45" w:type="dxa"/>
            </w:tcMar>
            <w:vAlign w:val="center"/>
          </w:tcPr>
          <w:p w14:paraId="6913BE2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Mechanistic synthesis without primary </w:t>
            </w:r>
            <w:proofErr w:type="spellStart"/>
            <w:r w:rsidRPr="00D578DF">
              <w:rPr>
                <w:rFonts w:ascii="Times New Roman" w:eastAsia="Calibri" w:hAnsi="Times New Roman" w:cs="Times New Roman"/>
                <w:color w:val="000000" w:themeColor="text1"/>
                <w:sz w:val="20"/>
                <w:szCs w:val="20"/>
              </w:rPr>
              <w:t>lipidomics</w:t>
            </w:r>
            <w:proofErr w:type="spellEnd"/>
            <w:r w:rsidRPr="00D578DF">
              <w:rPr>
                <w:rFonts w:ascii="Times New Roman" w:eastAsia="Calibri" w:hAnsi="Times New Roman" w:cs="Times New Roman"/>
                <w:color w:val="000000" w:themeColor="text1"/>
                <w:sz w:val="20"/>
                <w:szCs w:val="20"/>
              </w:rPr>
              <w:t xml:space="preserve"> data</w:t>
            </w:r>
          </w:p>
        </w:tc>
      </w:tr>
      <w:tr w:rsidR="00D7116D" w:rsidRPr="00D578DF" w14:paraId="3CCCE372"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313795B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Zhang Y et al., 2022 [95]</w:t>
            </w:r>
          </w:p>
        </w:tc>
        <w:tc>
          <w:tcPr>
            <w:tcW w:w="1114" w:type="dxa"/>
            <w:tcBorders>
              <w:top w:val="nil"/>
              <w:left w:val="nil"/>
              <w:bottom w:val="nil"/>
              <w:right w:val="nil"/>
            </w:tcBorders>
            <w:tcMar>
              <w:top w:w="45" w:type="dxa"/>
              <w:left w:w="45" w:type="dxa"/>
              <w:bottom w:w="45" w:type="dxa"/>
              <w:right w:w="45" w:type="dxa"/>
            </w:tcMar>
            <w:vAlign w:val="center"/>
          </w:tcPr>
          <w:p w14:paraId="3C773C2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Biology of Reproduction</w:t>
            </w:r>
          </w:p>
        </w:tc>
        <w:tc>
          <w:tcPr>
            <w:tcW w:w="1189" w:type="dxa"/>
            <w:tcBorders>
              <w:top w:val="nil"/>
              <w:left w:val="nil"/>
              <w:bottom w:val="nil"/>
              <w:right w:val="nil"/>
            </w:tcBorders>
            <w:tcMar>
              <w:top w:w="45" w:type="dxa"/>
              <w:left w:w="45" w:type="dxa"/>
              <w:bottom w:w="45" w:type="dxa"/>
              <w:right w:w="45" w:type="dxa"/>
            </w:tcMar>
            <w:vAlign w:val="center"/>
          </w:tcPr>
          <w:p w14:paraId="454BD0F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Systematic Review</w:t>
            </w:r>
          </w:p>
        </w:tc>
        <w:tc>
          <w:tcPr>
            <w:tcW w:w="1055" w:type="dxa"/>
            <w:tcBorders>
              <w:top w:val="nil"/>
              <w:left w:val="nil"/>
              <w:bottom w:val="nil"/>
              <w:right w:val="nil"/>
            </w:tcBorders>
            <w:tcMar>
              <w:top w:w="45" w:type="dxa"/>
              <w:left w:w="45" w:type="dxa"/>
              <w:bottom w:w="45" w:type="dxa"/>
              <w:right w:w="45" w:type="dxa"/>
            </w:tcMar>
            <w:vAlign w:val="center"/>
          </w:tcPr>
          <w:p w14:paraId="089BF53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studies</w:t>
            </w:r>
          </w:p>
        </w:tc>
        <w:tc>
          <w:tcPr>
            <w:tcW w:w="1787" w:type="dxa"/>
            <w:tcBorders>
              <w:top w:val="nil"/>
              <w:left w:val="nil"/>
              <w:bottom w:val="nil"/>
              <w:right w:val="nil"/>
            </w:tcBorders>
            <w:tcMar>
              <w:top w:w="45" w:type="dxa"/>
              <w:left w:w="45" w:type="dxa"/>
              <w:bottom w:w="45" w:type="dxa"/>
              <w:right w:w="45" w:type="dxa"/>
            </w:tcMar>
            <w:vAlign w:val="center"/>
          </w:tcPr>
          <w:p w14:paraId="621BDB6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Dysregulated metabolites across serum, uterine fluid, follicular fluid in RIF: tryptophan/kynurenine ↑, one-carbon metabolism intermediates ↓, TCA cycle dysregulation</w:t>
            </w:r>
          </w:p>
        </w:tc>
        <w:tc>
          <w:tcPr>
            <w:tcW w:w="2411" w:type="dxa"/>
            <w:tcBorders>
              <w:top w:val="nil"/>
              <w:left w:val="nil"/>
              <w:bottom w:val="nil"/>
              <w:right w:val="nil"/>
            </w:tcBorders>
            <w:tcMar>
              <w:top w:w="45" w:type="dxa"/>
              <w:left w:w="45" w:type="dxa"/>
              <w:bottom w:w="45" w:type="dxa"/>
              <w:right w:w="45" w:type="dxa"/>
            </w:tcMar>
            <w:vAlign w:val="center"/>
          </w:tcPr>
          <w:p w14:paraId="61BD121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Multi-fluid metabolomic biomarker panel for RIF stratification; kynurenine pathway as therapeutic target</w:t>
            </w:r>
          </w:p>
        </w:tc>
        <w:tc>
          <w:tcPr>
            <w:tcW w:w="1738" w:type="dxa"/>
            <w:tcBorders>
              <w:top w:val="nil"/>
              <w:left w:val="nil"/>
              <w:bottom w:val="nil"/>
              <w:right w:val="nil"/>
            </w:tcBorders>
            <w:tcMar>
              <w:top w:w="45" w:type="dxa"/>
              <w:left w:w="45" w:type="dxa"/>
              <w:bottom w:w="45" w:type="dxa"/>
              <w:right w:w="45" w:type="dxa"/>
            </w:tcMar>
            <w:vAlign w:val="center"/>
          </w:tcPr>
          <w:p w14:paraId="2D6C49C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PRISMA; GRADE; multi-fluid metabolomics synthesis</w:t>
            </w:r>
          </w:p>
        </w:tc>
        <w:tc>
          <w:tcPr>
            <w:tcW w:w="1364" w:type="dxa"/>
            <w:tcBorders>
              <w:top w:val="nil"/>
              <w:left w:val="nil"/>
              <w:bottom w:val="nil"/>
              <w:right w:val="nil"/>
            </w:tcBorders>
            <w:tcMar>
              <w:top w:w="45" w:type="dxa"/>
              <w:left w:w="45" w:type="dxa"/>
              <w:bottom w:w="45" w:type="dxa"/>
              <w:right w:w="45" w:type="dxa"/>
            </w:tcMar>
            <w:vAlign w:val="center"/>
          </w:tcPr>
          <w:p w14:paraId="2E58664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PRISMA-adherent; multi-fluid; GRADE; first systematic review of reproductive metabolomics</w:t>
            </w:r>
          </w:p>
        </w:tc>
        <w:tc>
          <w:tcPr>
            <w:tcW w:w="1380" w:type="dxa"/>
            <w:tcBorders>
              <w:top w:val="nil"/>
              <w:left w:val="nil"/>
              <w:bottom w:val="nil"/>
              <w:right w:val="nil"/>
            </w:tcBorders>
            <w:tcMar>
              <w:top w:w="45" w:type="dxa"/>
              <w:left w:w="45" w:type="dxa"/>
              <w:bottom w:w="45" w:type="dxa"/>
              <w:right w:w="45" w:type="dxa"/>
            </w:tcMar>
            <w:vAlign w:val="center"/>
          </w:tcPr>
          <w:p w14:paraId="1058E16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Cannot pool data; heterogeneous metabolite platforms</w:t>
            </w:r>
          </w:p>
        </w:tc>
      </w:tr>
      <w:tr w:rsidR="00D7116D" w:rsidRPr="00D578DF" w14:paraId="65B46731"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1B3E65E2"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Zheng J et al., 2023 [27]</w:t>
            </w:r>
          </w:p>
        </w:tc>
        <w:tc>
          <w:tcPr>
            <w:tcW w:w="1114" w:type="dxa"/>
            <w:tcBorders>
              <w:top w:val="nil"/>
              <w:left w:val="nil"/>
              <w:bottom w:val="nil"/>
              <w:right w:val="nil"/>
            </w:tcBorders>
            <w:tcMar>
              <w:top w:w="45" w:type="dxa"/>
              <w:left w:w="45" w:type="dxa"/>
              <w:bottom w:w="45" w:type="dxa"/>
              <w:right w:w="45" w:type="dxa"/>
            </w:tcMar>
            <w:vAlign w:val="center"/>
          </w:tcPr>
          <w:p w14:paraId="43D73DE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Assisted Reproduction and Genetics</w:t>
            </w:r>
          </w:p>
        </w:tc>
        <w:tc>
          <w:tcPr>
            <w:tcW w:w="1189" w:type="dxa"/>
            <w:tcBorders>
              <w:top w:val="nil"/>
              <w:left w:val="nil"/>
              <w:bottom w:val="nil"/>
              <w:right w:val="nil"/>
            </w:tcBorders>
            <w:tcMar>
              <w:top w:w="45" w:type="dxa"/>
              <w:left w:w="45" w:type="dxa"/>
              <w:bottom w:w="45" w:type="dxa"/>
              <w:right w:w="45" w:type="dxa"/>
            </w:tcMar>
            <w:vAlign w:val="center"/>
          </w:tcPr>
          <w:p w14:paraId="336FC17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Case-control (serial serum)</w:t>
            </w:r>
          </w:p>
        </w:tc>
        <w:tc>
          <w:tcPr>
            <w:tcW w:w="1055" w:type="dxa"/>
            <w:tcBorders>
              <w:top w:val="nil"/>
              <w:left w:val="nil"/>
              <w:bottom w:val="nil"/>
              <w:right w:val="nil"/>
            </w:tcBorders>
            <w:tcMar>
              <w:top w:w="45" w:type="dxa"/>
              <w:left w:w="45" w:type="dxa"/>
              <w:bottom w:w="45" w:type="dxa"/>
              <w:right w:w="45" w:type="dxa"/>
            </w:tcMar>
            <w:vAlign w:val="center"/>
          </w:tcPr>
          <w:p w14:paraId="615D71D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50 RIF vs. 40 controls</w:t>
            </w:r>
          </w:p>
        </w:tc>
        <w:tc>
          <w:tcPr>
            <w:tcW w:w="1787" w:type="dxa"/>
            <w:tcBorders>
              <w:top w:val="nil"/>
              <w:left w:val="nil"/>
              <w:bottom w:val="nil"/>
              <w:right w:val="nil"/>
            </w:tcBorders>
            <w:tcMar>
              <w:top w:w="45" w:type="dxa"/>
              <w:left w:w="45" w:type="dxa"/>
              <w:bottom w:w="45" w:type="dxa"/>
              <w:right w:w="45" w:type="dxa"/>
            </w:tcMar>
            <w:vAlign w:val="center"/>
          </w:tcPr>
          <w:p w14:paraId="58E5BBEB"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105 serum metabolites were measured. Eight metabolites with high predictive value for RIF were indole-3-propionic acid, </w:t>
            </w:r>
            <w:r w:rsidRPr="00D578DF">
              <w:rPr>
                <w:rFonts w:ascii="Times New Roman" w:hAnsi="Times New Roman" w:cs="Times New Roman"/>
                <w:sz w:val="20"/>
                <w:szCs w:val="20"/>
              </w:rPr>
              <w:lastRenderedPageBreak/>
              <w:t xml:space="preserve">beta-alanine, </w:t>
            </w:r>
            <w:proofErr w:type="spellStart"/>
            <w:r w:rsidRPr="00D578DF">
              <w:rPr>
                <w:rFonts w:ascii="Times New Roman" w:hAnsi="Times New Roman" w:cs="Times New Roman"/>
                <w:sz w:val="20"/>
                <w:szCs w:val="20"/>
              </w:rPr>
              <w:t>myristoleic</w:t>
            </w:r>
            <w:proofErr w:type="spellEnd"/>
            <w:r w:rsidRPr="00D578DF">
              <w:rPr>
                <w:rFonts w:ascii="Times New Roman" w:hAnsi="Times New Roman" w:cs="Times New Roman"/>
                <w:sz w:val="20"/>
                <w:szCs w:val="20"/>
              </w:rPr>
              <w:t xml:space="preserve"> acid, malic acid, indole, DL-</w:t>
            </w:r>
            <w:proofErr w:type="spellStart"/>
            <w:r w:rsidRPr="00D578DF">
              <w:rPr>
                <w:rFonts w:ascii="Times New Roman" w:hAnsi="Times New Roman" w:cs="Times New Roman"/>
                <w:sz w:val="20"/>
                <w:szCs w:val="20"/>
              </w:rPr>
              <w:t>isocitric</w:t>
            </w:r>
            <w:proofErr w:type="spellEnd"/>
            <w:r w:rsidRPr="00D578DF">
              <w:rPr>
                <w:rFonts w:ascii="Times New Roman" w:hAnsi="Times New Roman" w:cs="Times New Roman"/>
                <w:sz w:val="20"/>
                <w:szCs w:val="20"/>
              </w:rPr>
              <w:t xml:space="preserve"> acid, proline and itaconic acid.</w:t>
            </w:r>
          </w:p>
        </w:tc>
        <w:tc>
          <w:tcPr>
            <w:tcW w:w="2411" w:type="dxa"/>
            <w:tcBorders>
              <w:top w:val="nil"/>
              <w:left w:val="nil"/>
              <w:bottom w:val="nil"/>
              <w:right w:val="nil"/>
            </w:tcBorders>
            <w:tcMar>
              <w:top w:w="45" w:type="dxa"/>
              <w:left w:w="45" w:type="dxa"/>
              <w:bottom w:w="45" w:type="dxa"/>
              <w:right w:w="45" w:type="dxa"/>
            </w:tcMar>
            <w:vAlign w:val="center"/>
          </w:tcPr>
          <w:p w14:paraId="00670CA7"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Candidate serial serum metabolomic panel for RIF prediction during HRT-FET; requires external validation.</w:t>
            </w:r>
          </w:p>
        </w:tc>
        <w:tc>
          <w:tcPr>
            <w:tcW w:w="1738" w:type="dxa"/>
            <w:tcBorders>
              <w:top w:val="nil"/>
              <w:left w:val="nil"/>
              <w:bottom w:val="nil"/>
              <w:right w:val="nil"/>
            </w:tcBorders>
            <w:tcMar>
              <w:top w:w="45" w:type="dxa"/>
              <w:left w:w="45" w:type="dxa"/>
              <w:bottom w:w="45" w:type="dxa"/>
              <w:right w:w="45" w:type="dxa"/>
            </w:tcMar>
            <w:vAlign w:val="center"/>
          </w:tcPr>
          <w:p w14:paraId="0C5D13D3"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Serum metabolomics; serial sampling; PLS-DA and ROC analysis</w:t>
            </w:r>
          </w:p>
        </w:tc>
        <w:tc>
          <w:tcPr>
            <w:tcW w:w="1364" w:type="dxa"/>
            <w:tcBorders>
              <w:top w:val="nil"/>
              <w:left w:val="nil"/>
              <w:bottom w:val="nil"/>
              <w:right w:val="nil"/>
            </w:tcBorders>
            <w:tcMar>
              <w:top w:w="45" w:type="dxa"/>
              <w:left w:w="45" w:type="dxa"/>
              <w:bottom w:w="45" w:type="dxa"/>
              <w:right w:w="45" w:type="dxa"/>
            </w:tcMar>
            <w:vAlign w:val="center"/>
          </w:tcPr>
          <w:p w14:paraId="69CE3F1F"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Dynamic sampling across endometrial transformation and RIF-specific </w:t>
            </w:r>
            <w:r w:rsidRPr="00D578DF">
              <w:rPr>
                <w:rFonts w:ascii="Times New Roman" w:hAnsi="Times New Roman" w:cs="Times New Roman"/>
                <w:sz w:val="20"/>
                <w:szCs w:val="20"/>
              </w:rPr>
              <w:lastRenderedPageBreak/>
              <w:t>prediction modelling.</w:t>
            </w:r>
          </w:p>
        </w:tc>
        <w:tc>
          <w:tcPr>
            <w:tcW w:w="1380" w:type="dxa"/>
            <w:tcBorders>
              <w:top w:val="nil"/>
              <w:left w:val="nil"/>
              <w:bottom w:val="nil"/>
              <w:right w:val="nil"/>
            </w:tcBorders>
            <w:tcMar>
              <w:top w:w="45" w:type="dxa"/>
              <w:left w:w="45" w:type="dxa"/>
              <w:bottom w:w="45" w:type="dxa"/>
              <w:right w:w="45" w:type="dxa"/>
            </w:tcMar>
            <w:vAlign w:val="center"/>
          </w:tcPr>
          <w:p w14:paraId="28587CB1"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 xml:space="preserve">Candidate-marker study; </w:t>
            </w:r>
            <w:proofErr w:type="spellStart"/>
            <w:r w:rsidRPr="00D578DF">
              <w:rPr>
                <w:rFonts w:ascii="Times New Roman" w:hAnsi="Times New Roman" w:cs="Times New Roman"/>
                <w:sz w:val="20"/>
                <w:szCs w:val="20"/>
              </w:rPr>
              <w:t>generalisability</w:t>
            </w:r>
            <w:proofErr w:type="spellEnd"/>
            <w:r w:rsidRPr="00D578DF">
              <w:rPr>
                <w:rFonts w:ascii="Times New Roman" w:hAnsi="Times New Roman" w:cs="Times New Roman"/>
                <w:sz w:val="20"/>
                <w:szCs w:val="20"/>
              </w:rPr>
              <w:t xml:space="preserve"> and external clinical </w:t>
            </w:r>
            <w:r w:rsidRPr="00D578DF">
              <w:rPr>
                <w:rFonts w:ascii="Times New Roman" w:hAnsi="Times New Roman" w:cs="Times New Roman"/>
                <w:sz w:val="20"/>
                <w:szCs w:val="20"/>
              </w:rPr>
              <w:lastRenderedPageBreak/>
              <w:t>validation remain limited.</w:t>
            </w:r>
          </w:p>
        </w:tc>
      </w:tr>
      <w:tr w:rsidR="00D7116D" w:rsidRPr="00D578DF" w14:paraId="2BA16EA1"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54E7BB49"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lastRenderedPageBreak/>
              <w:t>Fan Y et al., 2023 [76]</w:t>
            </w:r>
          </w:p>
        </w:tc>
        <w:tc>
          <w:tcPr>
            <w:tcW w:w="1114" w:type="dxa"/>
            <w:tcBorders>
              <w:top w:val="nil"/>
              <w:left w:val="nil"/>
              <w:bottom w:val="nil"/>
              <w:right w:val="nil"/>
            </w:tcBorders>
            <w:tcMar>
              <w:top w:w="45" w:type="dxa"/>
              <w:left w:w="45" w:type="dxa"/>
              <w:bottom w:w="45" w:type="dxa"/>
              <w:right w:w="45" w:type="dxa"/>
            </w:tcMar>
            <w:vAlign w:val="center"/>
          </w:tcPr>
          <w:p w14:paraId="5908BC5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International Journal of Molecular Sciences</w:t>
            </w:r>
          </w:p>
        </w:tc>
        <w:tc>
          <w:tcPr>
            <w:tcW w:w="1189" w:type="dxa"/>
            <w:tcBorders>
              <w:top w:val="nil"/>
              <w:left w:val="nil"/>
              <w:bottom w:val="nil"/>
              <w:right w:val="nil"/>
            </w:tcBorders>
            <w:tcMar>
              <w:top w:w="45" w:type="dxa"/>
              <w:left w:w="45" w:type="dxa"/>
              <w:bottom w:w="45" w:type="dxa"/>
              <w:right w:w="45" w:type="dxa"/>
            </w:tcMar>
            <w:vAlign w:val="center"/>
          </w:tcPr>
          <w:p w14:paraId="3F2ECAE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Transcriptomic bioinformatics + clinical expression validation</w:t>
            </w:r>
          </w:p>
        </w:tc>
        <w:tc>
          <w:tcPr>
            <w:tcW w:w="1055" w:type="dxa"/>
            <w:tcBorders>
              <w:top w:val="nil"/>
              <w:left w:val="nil"/>
              <w:bottom w:val="nil"/>
              <w:right w:val="nil"/>
            </w:tcBorders>
            <w:tcMar>
              <w:top w:w="45" w:type="dxa"/>
              <w:left w:w="45" w:type="dxa"/>
              <w:bottom w:w="45" w:type="dxa"/>
              <w:right w:w="45" w:type="dxa"/>
            </w:tcMar>
            <w:vAlign w:val="center"/>
          </w:tcPr>
          <w:p w14:paraId="012B8DB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Public transcriptomics: 70 RIF + 99 normal endometria; RT-qPCR/ROC validation in clinical samples</w:t>
            </w:r>
          </w:p>
        </w:tc>
        <w:tc>
          <w:tcPr>
            <w:tcW w:w="1787" w:type="dxa"/>
            <w:tcBorders>
              <w:top w:val="nil"/>
              <w:left w:val="nil"/>
              <w:bottom w:val="nil"/>
              <w:right w:val="nil"/>
            </w:tcBorders>
            <w:tcMar>
              <w:top w:w="45" w:type="dxa"/>
              <w:left w:w="45" w:type="dxa"/>
              <w:bottom w:w="45" w:type="dxa"/>
              <w:right w:w="45" w:type="dxa"/>
            </w:tcMar>
            <w:vAlign w:val="center"/>
          </w:tcPr>
          <w:p w14:paraId="7EE94281"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109 metabolism-related RIF genes; two metabolic RIF subtypes; eight characteristic genes (SRD5A1, POLR3E, PPA2, PAPSS1, PRUNE, CA12, PDE6D, RBKS); derivation AUC 0.902 and external validation AUC 0.867.</w:t>
            </w:r>
          </w:p>
        </w:tc>
        <w:tc>
          <w:tcPr>
            <w:tcW w:w="2411" w:type="dxa"/>
            <w:tcBorders>
              <w:top w:val="nil"/>
              <w:left w:val="nil"/>
              <w:bottom w:val="nil"/>
              <w:right w:val="nil"/>
            </w:tcBorders>
            <w:tcMar>
              <w:top w:w="45" w:type="dxa"/>
              <w:left w:w="45" w:type="dxa"/>
              <w:bottom w:w="45" w:type="dxa"/>
              <w:right w:w="45" w:type="dxa"/>
            </w:tcMar>
            <w:vAlign w:val="center"/>
          </w:tcPr>
          <w:p w14:paraId="55A94D91"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Metabolism-related transcriptomic subtyping and candidate diagnostic genes; not a metabolomics experiment.</w:t>
            </w:r>
          </w:p>
        </w:tc>
        <w:tc>
          <w:tcPr>
            <w:tcW w:w="1738" w:type="dxa"/>
            <w:tcBorders>
              <w:top w:val="nil"/>
              <w:left w:val="nil"/>
              <w:bottom w:val="nil"/>
              <w:right w:val="nil"/>
            </w:tcBorders>
            <w:tcMar>
              <w:top w:w="45" w:type="dxa"/>
              <w:left w:w="45" w:type="dxa"/>
              <w:bottom w:w="45" w:type="dxa"/>
              <w:right w:w="45" w:type="dxa"/>
            </w:tcMar>
            <w:vAlign w:val="center"/>
          </w:tcPr>
          <w:p w14:paraId="5B119F0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Consensus clustering; machine learning; immune infiltration; RT-qPCR; ROC validation</w:t>
            </w:r>
          </w:p>
        </w:tc>
        <w:tc>
          <w:tcPr>
            <w:tcW w:w="1364" w:type="dxa"/>
            <w:tcBorders>
              <w:top w:val="nil"/>
              <w:left w:val="nil"/>
              <w:bottom w:val="nil"/>
              <w:right w:val="nil"/>
            </w:tcBorders>
            <w:tcMar>
              <w:top w:w="45" w:type="dxa"/>
              <w:left w:w="45" w:type="dxa"/>
              <w:bottom w:w="45" w:type="dxa"/>
              <w:right w:w="45" w:type="dxa"/>
            </w:tcMar>
            <w:vAlign w:val="center"/>
          </w:tcPr>
          <w:p w14:paraId="4E0F745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Multiple public datasets plus clinical expression validation.</w:t>
            </w:r>
          </w:p>
        </w:tc>
        <w:tc>
          <w:tcPr>
            <w:tcW w:w="1380" w:type="dxa"/>
            <w:tcBorders>
              <w:top w:val="nil"/>
              <w:left w:val="nil"/>
              <w:bottom w:val="nil"/>
              <w:right w:val="nil"/>
            </w:tcBorders>
            <w:tcMar>
              <w:top w:w="45" w:type="dxa"/>
              <w:left w:w="45" w:type="dxa"/>
              <w:bottom w:w="45" w:type="dxa"/>
              <w:right w:w="45" w:type="dxa"/>
            </w:tcMar>
            <w:vAlign w:val="center"/>
          </w:tcPr>
          <w:p w14:paraId="41EFE7EE"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Transcriptome-derived metabolic inference; does not establish three lipid/amino-acid/carbohydrate metabolomic subtypes.</w:t>
            </w:r>
          </w:p>
        </w:tc>
      </w:tr>
      <w:tr w:rsidR="00D7116D" w:rsidRPr="00D578DF" w14:paraId="3CCAF7B9"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6B1DCFCE"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Yu J et al., 2025 [96]</w:t>
            </w:r>
          </w:p>
        </w:tc>
        <w:tc>
          <w:tcPr>
            <w:tcW w:w="1114" w:type="dxa"/>
            <w:tcBorders>
              <w:top w:val="nil"/>
              <w:left w:val="nil"/>
              <w:bottom w:val="nil"/>
              <w:right w:val="nil"/>
            </w:tcBorders>
            <w:tcMar>
              <w:top w:w="45" w:type="dxa"/>
              <w:left w:w="45" w:type="dxa"/>
              <w:bottom w:w="45" w:type="dxa"/>
              <w:right w:w="45" w:type="dxa"/>
            </w:tcMar>
            <w:vAlign w:val="center"/>
          </w:tcPr>
          <w:p w14:paraId="71BA105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Scientific Reports</w:t>
            </w:r>
          </w:p>
        </w:tc>
        <w:tc>
          <w:tcPr>
            <w:tcW w:w="1189" w:type="dxa"/>
            <w:tcBorders>
              <w:top w:val="nil"/>
              <w:left w:val="nil"/>
              <w:bottom w:val="nil"/>
              <w:right w:val="nil"/>
            </w:tcBorders>
            <w:tcMar>
              <w:top w:w="45" w:type="dxa"/>
              <w:left w:w="45" w:type="dxa"/>
              <w:bottom w:w="45" w:type="dxa"/>
              <w:right w:w="45" w:type="dxa"/>
            </w:tcMar>
            <w:vAlign w:val="center"/>
          </w:tcPr>
          <w:p w14:paraId="0A10BE4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Multi-omics (transcriptomics + metabolomics)</w:t>
            </w:r>
          </w:p>
        </w:tc>
        <w:tc>
          <w:tcPr>
            <w:tcW w:w="1055" w:type="dxa"/>
            <w:tcBorders>
              <w:top w:val="nil"/>
              <w:left w:val="nil"/>
              <w:bottom w:val="nil"/>
              <w:right w:val="nil"/>
            </w:tcBorders>
            <w:tcMar>
              <w:top w:w="45" w:type="dxa"/>
              <w:left w:w="45" w:type="dxa"/>
              <w:bottom w:w="45" w:type="dxa"/>
              <w:right w:w="45" w:type="dxa"/>
            </w:tcMar>
            <w:vAlign w:val="center"/>
          </w:tcPr>
          <w:p w14:paraId="3F60955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datasets</w:t>
            </w:r>
          </w:p>
        </w:tc>
        <w:tc>
          <w:tcPr>
            <w:tcW w:w="1787" w:type="dxa"/>
            <w:tcBorders>
              <w:top w:val="nil"/>
              <w:left w:val="nil"/>
              <w:bottom w:val="nil"/>
              <w:right w:val="nil"/>
            </w:tcBorders>
            <w:tcMar>
              <w:top w:w="45" w:type="dxa"/>
              <w:left w:w="45" w:type="dxa"/>
              <w:bottom w:w="45" w:type="dxa"/>
              <w:right w:w="45" w:type="dxa"/>
            </w:tcMar>
            <w:vAlign w:val="center"/>
          </w:tcPr>
          <w:p w14:paraId="774D110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Shared dysregulated metabolites (glutamine, arachidonic acid) and transcriptomic signatures between endometriosis and </w:t>
            </w:r>
            <w:r w:rsidRPr="00D578DF">
              <w:rPr>
                <w:rFonts w:ascii="Times New Roman" w:eastAsia="Calibri" w:hAnsi="Times New Roman" w:cs="Times New Roman"/>
                <w:color w:val="000000" w:themeColor="text1"/>
                <w:sz w:val="20"/>
                <w:szCs w:val="20"/>
              </w:rPr>
              <w:lastRenderedPageBreak/>
              <w:t>RIF; 8 shared therapeutic targets</w:t>
            </w:r>
          </w:p>
        </w:tc>
        <w:tc>
          <w:tcPr>
            <w:tcW w:w="2411" w:type="dxa"/>
            <w:tcBorders>
              <w:top w:val="nil"/>
              <w:left w:val="nil"/>
              <w:bottom w:val="nil"/>
              <w:right w:val="nil"/>
            </w:tcBorders>
            <w:tcMar>
              <w:top w:w="45" w:type="dxa"/>
              <w:left w:w="45" w:type="dxa"/>
              <w:bottom w:w="45" w:type="dxa"/>
              <w:right w:w="45" w:type="dxa"/>
            </w:tcMar>
            <w:vAlign w:val="center"/>
          </w:tcPr>
          <w:p w14:paraId="62921F4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Cross-disease multi-omics framework enabling repurposing of endometriosis therapies for RIF</w:t>
            </w:r>
          </w:p>
        </w:tc>
        <w:tc>
          <w:tcPr>
            <w:tcW w:w="1738" w:type="dxa"/>
            <w:tcBorders>
              <w:top w:val="nil"/>
              <w:left w:val="nil"/>
              <w:bottom w:val="nil"/>
              <w:right w:val="nil"/>
            </w:tcBorders>
            <w:tcMar>
              <w:top w:w="45" w:type="dxa"/>
              <w:left w:w="45" w:type="dxa"/>
              <w:bottom w:w="45" w:type="dxa"/>
              <w:right w:w="45" w:type="dxa"/>
            </w:tcMar>
            <w:vAlign w:val="center"/>
          </w:tcPr>
          <w:p w14:paraId="1AC64DB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Multi-omics integration; GEO + metabolomics databases</w:t>
            </w:r>
          </w:p>
        </w:tc>
        <w:tc>
          <w:tcPr>
            <w:tcW w:w="1364" w:type="dxa"/>
            <w:tcBorders>
              <w:top w:val="nil"/>
              <w:left w:val="nil"/>
              <w:bottom w:val="nil"/>
              <w:right w:val="nil"/>
            </w:tcBorders>
            <w:tcMar>
              <w:top w:w="45" w:type="dxa"/>
              <w:left w:w="45" w:type="dxa"/>
              <w:bottom w:w="45" w:type="dxa"/>
              <w:right w:w="45" w:type="dxa"/>
            </w:tcMar>
            <w:vAlign w:val="center"/>
          </w:tcPr>
          <w:p w14:paraId="449F5EE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Multi-omics integration; cross-disease translational value; Scientific Reports</w:t>
            </w:r>
          </w:p>
        </w:tc>
        <w:tc>
          <w:tcPr>
            <w:tcW w:w="1380" w:type="dxa"/>
            <w:tcBorders>
              <w:top w:val="nil"/>
              <w:left w:val="nil"/>
              <w:bottom w:val="nil"/>
              <w:right w:val="nil"/>
            </w:tcBorders>
            <w:tcMar>
              <w:top w:w="45" w:type="dxa"/>
              <w:left w:w="45" w:type="dxa"/>
              <w:bottom w:w="45" w:type="dxa"/>
              <w:right w:w="45" w:type="dxa"/>
            </w:tcMar>
            <w:vAlign w:val="center"/>
          </w:tcPr>
          <w:p w14:paraId="3108E1C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Disease overlap methodology still evolving</w:t>
            </w:r>
          </w:p>
        </w:tc>
      </w:tr>
      <w:tr w:rsidR="00D7116D" w:rsidRPr="00D578DF" w14:paraId="1F22D849"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518E38EA"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Qin D et al., 2025 [97]</w:t>
            </w:r>
          </w:p>
        </w:tc>
        <w:tc>
          <w:tcPr>
            <w:tcW w:w="1114" w:type="dxa"/>
            <w:tcBorders>
              <w:top w:val="nil"/>
              <w:left w:val="nil"/>
              <w:bottom w:val="nil"/>
              <w:right w:val="nil"/>
            </w:tcBorders>
            <w:tcMar>
              <w:top w:w="45" w:type="dxa"/>
              <w:left w:w="45" w:type="dxa"/>
              <w:bottom w:w="45" w:type="dxa"/>
              <w:right w:w="45" w:type="dxa"/>
            </w:tcMar>
            <w:vAlign w:val="center"/>
          </w:tcPr>
          <w:p w14:paraId="582A588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Scientific Reports</w:t>
            </w:r>
          </w:p>
        </w:tc>
        <w:tc>
          <w:tcPr>
            <w:tcW w:w="1189" w:type="dxa"/>
            <w:tcBorders>
              <w:top w:val="nil"/>
              <w:left w:val="nil"/>
              <w:bottom w:val="nil"/>
              <w:right w:val="nil"/>
            </w:tcBorders>
            <w:tcMar>
              <w:top w:w="45" w:type="dxa"/>
              <w:left w:w="45" w:type="dxa"/>
              <w:bottom w:w="45" w:type="dxa"/>
              <w:right w:w="45" w:type="dxa"/>
            </w:tcMar>
            <w:vAlign w:val="center"/>
          </w:tcPr>
          <w:p w14:paraId="6B920B2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Multi-omics (bioinformatics + </w:t>
            </w: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w:t>
            </w:r>
          </w:p>
        </w:tc>
        <w:tc>
          <w:tcPr>
            <w:tcW w:w="1055" w:type="dxa"/>
            <w:tcBorders>
              <w:top w:val="nil"/>
              <w:left w:val="nil"/>
              <w:bottom w:val="nil"/>
              <w:right w:val="nil"/>
            </w:tcBorders>
            <w:tcMar>
              <w:top w:w="45" w:type="dxa"/>
              <w:left w:w="45" w:type="dxa"/>
              <w:bottom w:w="45" w:type="dxa"/>
              <w:right w:w="45" w:type="dxa"/>
            </w:tcMar>
            <w:vAlign w:val="center"/>
          </w:tcPr>
          <w:p w14:paraId="5CC1C8A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datasets</w:t>
            </w:r>
          </w:p>
        </w:tc>
        <w:tc>
          <w:tcPr>
            <w:tcW w:w="1787" w:type="dxa"/>
            <w:tcBorders>
              <w:top w:val="nil"/>
              <w:left w:val="nil"/>
              <w:bottom w:val="nil"/>
              <w:right w:val="nil"/>
            </w:tcBorders>
            <w:tcMar>
              <w:top w:w="45" w:type="dxa"/>
              <w:left w:w="45" w:type="dxa"/>
              <w:bottom w:w="45" w:type="dxa"/>
              <w:right w:w="45" w:type="dxa"/>
            </w:tcMar>
            <w:vAlign w:val="center"/>
          </w:tcPr>
          <w:p w14:paraId="113B9C9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12 shared diagnostic genes; stromal fibroblast metabolic reprogramming common to endometriosis and RIF; mTOR pathway dysregulation</w:t>
            </w:r>
          </w:p>
        </w:tc>
        <w:tc>
          <w:tcPr>
            <w:tcW w:w="2411" w:type="dxa"/>
            <w:tcBorders>
              <w:top w:val="nil"/>
              <w:left w:val="nil"/>
              <w:bottom w:val="nil"/>
              <w:right w:val="nil"/>
            </w:tcBorders>
            <w:tcMar>
              <w:top w:w="45" w:type="dxa"/>
              <w:left w:w="45" w:type="dxa"/>
              <w:bottom w:w="45" w:type="dxa"/>
              <w:right w:w="45" w:type="dxa"/>
            </w:tcMar>
            <w:vAlign w:val="center"/>
          </w:tcPr>
          <w:p w14:paraId="36F3123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mTOR pathway inhibition as a shared endometriosis-RIF therapeutic strategy</w:t>
            </w:r>
          </w:p>
        </w:tc>
        <w:tc>
          <w:tcPr>
            <w:tcW w:w="1738" w:type="dxa"/>
            <w:tcBorders>
              <w:top w:val="nil"/>
              <w:left w:val="nil"/>
              <w:bottom w:val="nil"/>
              <w:right w:val="nil"/>
            </w:tcBorders>
            <w:tcMar>
              <w:top w:w="45" w:type="dxa"/>
              <w:left w:w="45" w:type="dxa"/>
              <w:bottom w:w="45" w:type="dxa"/>
              <w:right w:w="45" w:type="dxa"/>
            </w:tcMar>
            <w:vAlign w:val="center"/>
          </w:tcPr>
          <w:p w14:paraId="260F8FA5"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-seq integration; GEO; mTOR pathway analysis</w:t>
            </w:r>
          </w:p>
        </w:tc>
        <w:tc>
          <w:tcPr>
            <w:tcW w:w="1364" w:type="dxa"/>
            <w:tcBorders>
              <w:top w:val="nil"/>
              <w:left w:val="nil"/>
              <w:bottom w:val="nil"/>
              <w:right w:val="nil"/>
            </w:tcBorders>
            <w:tcMar>
              <w:top w:w="45" w:type="dxa"/>
              <w:left w:w="45" w:type="dxa"/>
              <w:bottom w:w="45" w:type="dxa"/>
              <w:right w:w="45" w:type="dxa"/>
            </w:tcMar>
            <w:vAlign w:val="center"/>
          </w:tcPr>
          <w:p w14:paraId="3E066C7B"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eastAsia="Calibri" w:hAnsi="Times New Roman" w:cs="Times New Roman"/>
                <w:color w:val="000000" w:themeColor="text1"/>
                <w:sz w:val="20"/>
                <w:szCs w:val="20"/>
              </w:rPr>
              <w:t>scRNA</w:t>
            </w:r>
            <w:proofErr w:type="spellEnd"/>
            <w:r w:rsidRPr="00D578DF">
              <w:rPr>
                <w:rFonts w:ascii="Times New Roman" w:eastAsia="Calibri" w:hAnsi="Times New Roman" w:cs="Times New Roman"/>
                <w:color w:val="000000" w:themeColor="text1"/>
                <w:sz w:val="20"/>
                <w:szCs w:val="20"/>
              </w:rPr>
              <w:t>-seq microenvironment analysis; Scientific Reports; cross-disease approach</w:t>
            </w:r>
          </w:p>
        </w:tc>
        <w:tc>
          <w:tcPr>
            <w:tcW w:w="1380" w:type="dxa"/>
            <w:tcBorders>
              <w:top w:val="nil"/>
              <w:left w:val="nil"/>
              <w:bottom w:val="nil"/>
              <w:right w:val="nil"/>
            </w:tcBorders>
            <w:tcMar>
              <w:top w:w="45" w:type="dxa"/>
              <w:left w:w="45" w:type="dxa"/>
              <w:bottom w:w="45" w:type="dxa"/>
              <w:right w:w="45" w:type="dxa"/>
            </w:tcMar>
            <w:vAlign w:val="center"/>
          </w:tcPr>
          <w:p w14:paraId="177C85B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Computational integration; no standalone RIF cohort</w:t>
            </w:r>
          </w:p>
        </w:tc>
      </w:tr>
      <w:tr w:rsidR="00D7116D" w:rsidRPr="00D578DF" w14:paraId="310CA1CC"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16D02657"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Li H et al., 2025 [98]</w:t>
            </w:r>
          </w:p>
        </w:tc>
        <w:tc>
          <w:tcPr>
            <w:tcW w:w="1114" w:type="dxa"/>
            <w:tcBorders>
              <w:top w:val="nil"/>
              <w:left w:val="nil"/>
              <w:bottom w:val="nil"/>
              <w:right w:val="nil"/>
            </w:tcBorders>
            <w:tcMar>
              <w:top w:w="45" w:type="dxa"/>
              <w:left w:w="45" w:type="dxa"/>
              <w:bottom w:w="45" w:type="dxa"/>
              <w:right w:w="45" w:type="dxa"/>
            </w:tcMar>
            <w:vAlign w:val="center"/>
          </w:tcPr>
          <w:p w14:paraId="4A5B857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Frontiers in Endocrinology</w:t>
            </w:r>
          </w:p>
        </w:tc>
        <w:tc>
          <w:tcPr>
            <w:tcW w:w="1189" w:type="dxa"/>
            <w:tcBorders>
              <w:top w:val="nil"/>
              <w:left w:val="nil"/>
              <w:bottom w:val="nil"/>
              <w:right w:val="nil"/>
            </w:tcBorders>
            <w:tcMar>
              <w:top w:w="45" w:type="dxa"/>
              <w:left w:w="45" w:type="dxa"/>
              <w:bottom w:w="45" w:type="dxa"/>
              <w:right w:w="45" w:type="dxa"/>
            </w:tcMar>
            <w:vAlign w:val="center"/>
          </w:tcPr>
          <w:p w14:paraId="341BE00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Bioinformatics</w:t>
            </w:r>
          </w:p>
        </w:tc>
        <w:tc>
          <w:tcPr>
            <w:tcW w:w="1055" w:type="dxa"/>
            <w:tcBorders>
              <w:top w:val="nil"/>
              <w:left w:val="nil"/>
              <w:bottom w:val="nil"/>
              <w:right w:val="nil"/>
            </w:tcBorders>
            <w:tcMar>
              <w:top w:w="45" w:type="dxa"/>
              <w:left w:w="45" w:type="dxa"/>
              <w:bottom w:w="45" w:type="dxa"/>
              <w:right w:w="45" w:type="dxa"/>
            </w:tcMar>
            <w:vAlign w:val="center"/>
          </w:tcPr>
          <w:p w14:paraId="2C6D3B9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datasets</w:t>
            </w:r>
          </w:p>
        </w:tc>
        <w:tc>
          <w:tcPr>
            <w:tcW w:w="1787" w:type="dxa"/>
            <w:tcBorders>
              <w:top w:val="nil"/>
              <w:left w:val="nil"/>
              <w:bottom w:val="nil"/>
              <w:right w:val="nil"/>
            </w:tcBorders>
            <w:tcMar>
              <w:top w:w="45" w:type="dxa"/>
              <w:left w:w="45" w:type="dxa"/>
              <w:bottom w:w="45" w:type="dxa"/>
              <w:right w:w="45" w:type="dxa"/>
            </w:tcMar>
            <w:vAlign w:val="center"/>
          </w:tcPr>
          <w:p w14:paraId="7592DBC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PTGS2, VEGFA, MMP9 shared biomarkers; oxidative stress and prostaglandin synthesis as shared mechanisms</w:t>
            </w:r>
          </w:p>
        </w:tc>
        <w:tc>
          <w:tcPr>
            <w:tcW w:w="2411" w:type="dxa"/>
            <w:tcBorders>
              <w:top w:val="nil"/>
              <w:left w:val="nil"/>
              <w:bottom w:val="nil"/>
              <w:right w:val="nil"/>
            </w:tcBorders>
            <w:tcMar>
              <w:top w:w="45" w:type="dxa"/>
              <w:left w:w="45" w:type="dxa"/>
              <w:bottom w:w="45" w:type="dxa"/>
              <w:right w:w="45" w:type="dxa"/>
            </w:tcMar>
            <w:vAlign w:val="center"/>
          </w:tcPr>
          <w:p w14:paraId="1E07352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Shared molecular mechanism framework enabling dual-diagnosis biomarker development for endometriosis-RIF patients</w:t>
            </w:r>
          </w:p>
        </w:tc>
        <w:tc>
          <w:tcPr>
            <w:tcW w:w="1738" w:type="dxa"/>
            <w:tcBorders>
              <w:top w:val="nil"/>
              <w:left w:val="nil"/>
              <w:bottom w:val="nil"/>
              <w:right w:val="nil"/>
            </w:tcBorders>
            <w:tcMar>
              <w:top w:w="45" w:type="dxa"/>
              <w:left w:w="45" w:type="dxa"/>
              <w:bottom w:w="45" w:type="dxa"/>
              <w:right w:w="45" w:type="dxa"/>
            </w:tcMar>
            <w:vAlign w:val="center"/>
          </w:tcPr>
          <w:p w14:paraId="158F897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 PPI network; GSEA; molecular docking</w:t>
            </w:r>
          </w:p>
        </w:tc>
        <w:tc>
          <w:tcPr>
            <w:tcW w:w="1364" w:type="dxa"/>
            <w:tcBorders>
              <w:top w:val="nil"/>
              <w:left w:val="nil"/>
              <w:bottom w:val="nil"/>
              <w:right w:val="nil"/>
            </w:tcBorders>
            <w:tcMar>
              <w:top w:w="45" w:type="dxa"/>
              <w:left w:w="45" w:type="dxa"/>
              <w:bottom w:w="45" w:type="dxa"/>
              <w:right w:w="45" w:type="dxa"/>
            </w:tcMar>
            <w:vAlign w:val="center"/>
          </w:tcPr>
          <w:p w14:paraId="3E9961B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Cross-disease shared mechanisms; Frontiers Endocrinology</w:t>
            </w:r>
          </w:p>
        </w:tc>
        <w:tc>
          <w:tcPr>
            <w:tcW w:w="1380" w:type="dxa"/>
            <w:tcBorders>
              <w:top w:val="nil"/>
              <w:left w:val="nil"/>
              <w:bottom w:val="nil"/>
              <w:right w:val="nil"/>
            </w:tcBorders>
            <w:tcMar>
              <w:top w:w="45" w:type="dxa"/>
              <w:left w:w="45" w:type="dxa"/>
              <w:bottom w:w="45" w:type="dxa"/>
              <w:right w:w="45" w:type="dxa"/>
            </w:tcMar>
            <w:vAlign w:val="center"/>
          </w:tcPr>
          <w:p w14:paraId="1D4667E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GEO-dependent; no clinical validation</w:t>
            </w:r>
          </w:p>
        </w:tc>
      </w:tr>
      <w:tr w:rsidR="00D7116D" w:rsidRPr="00D578DF" w14:paraId="39530C87"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CA7CE4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Fernando et al., 2024 [101]</w:t>
            </w:r>
          </w:p>
        </w:tc>
        <w:tc>
          <w:tcPr>
            <w:tcW w:w="1114" w:type="dxa"/>
            <w:tcBorders>
              <w:top w:val="nil"/>
              <w:left w:val="nil"/>
              <w:bottom w:val="nil"/>
              <w:right w:val="nil"/>
            </w:tcBorders>
            <w:tcMar>
              <w:top w:w="45" w:type="dxa"/>
              <w:left w:w="45" w:type="dxa"/>
              <w:bottom w:w="45" w:type="dxa"/>
              <w:right w:w="45" w:type="dxa"/>
            </w:tcMar>
            <w:vAlign w:val="center"/>
          </w:tcPr>
          <w:p w14:paraId="5CA131F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Reproductive and Developmental Medicine</w:t>
            </w:r>
          </w:p>
        </w:tc>
        <w:tc>
          <w:tcPr>
            <w:tcW w:w="1189" w:type="dxa"/>
            <w:tcBorders>
              <w:top w:val="nil"/>
              <w:left w:val="nil"/>
              <w:bottom w:val="nil"/>
              <w:right w:val="nil"/>
            </w:tcBorders>
            <w:tcMar>
              <w:top w:w="45" w:type="dxa"/>
              <w:left w:w="45" w:type="dxa"/>
              <w:bottom w:w="45" w:type="dxa"/>
              <w:right w:w="45" w:type="dxa"/>
            </w:tcMar>
            <w:vAlign w:val="center"/>
          </w:tcPr>
          <w:p w14:paraId="2F07999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Review (mini)</w:t>
            </w:r>
          </w:p>
        </w:tc>
        <w:tc>
          <w:tcPr>
            <w:tcW w:w="1055" w:type="dxa"/>
            <w:tcBorders>
              <w:top w:val="nil"/>
              <w:left w:val="nil"/>
              <w:bottom w:val="nil"/>
              <w:right w:val="nil"/>
            </w:tcBorders>
            <w:tcMar>
              <w:top w:w="45" w:type="dxa"/>
              <w:left w:w="45" w:type="dxa"/>
              <w:bottom w:w="45" w:type="dxa"/>
              <w:right w:w="45" w:type="dxa"/>
            </w:tcMar>
            <w:vAlign w:val="center"/>
          </w:tcPr>
          <w:p w14:paraId="519C1829"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6C57C2B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Summary of transcriptomics, proteomics, metabolomics contributions to WOI biology; embryo dialogue </w:t>
            </w:r>
            <w:r w:rsidRPr="00D578DF">
              <w:rPr>
                <w:rFonts w:ascii="Times New Roman" w:eastAsia="Calibri" w:hAnsi="Times New Roman" w:cs="Times New Roman"/>
                <w:color w:val="000000" w:themeColor="text1"/>
                <w:sz w:val="20"/>
                <w:szCs w:val="20"/>
              </w:rPr>
              <w:lastRenderedPageBreak/>
              <w:t>metabolite signals (LIF, glycodelin-A)</w:t>
            </w:r>
          </w:p>
        </w:tc>
        <w:tc>
          <w:tcPr>
            <w:tcW w:w="2411" w:type="dxa"/>
            <w:tcBorders>
              <w:top w:val="nil"/>
              <w:left w:val="nil"/>
              <w:bottom w:val="nil"/>
              <w:right w:val="nil"/>
            </w:tcBorders>
            <w:tcMar>
              <w:top w:w="45" w:type="dxa"/>
              <w:left w:w="45" w:type="dxa"/>
              <w:bottom w:w="45" w:type="dxa"/>
              <w:right w:w="45" w:type="dxa"/>
            </w:tcMar>
            <w:vAlign w:val="center"/>
          </w:tcPr>
          <w:p w14:paraId="7DD6074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lastRenderedPageBreak/>
              <w:t>Multi-omics integration strategy for next-generation WOI diagnostic tools</w:t>
            </w:r>
          </w:p>
        </w:tc>
        <w:tc>
          <w:tcPr>
            <w:tcW w:w="1738" w:type="dxa"/>
            <w:tcBorders>
              <w:top w:val="nil"/>
              <w:left w:val="nil"/>
              <w:bottom w:val="nil"/>
              <w:right w:val="nil"/>
            </w:tcBorders>
            <w:tcMar>
              <w:top w:w="45" w:type="dxa"/>
              <w:left w:w="45" w:type="dxa"/>
              <w:bottom w:w="45" w:type="dxa"/>
              <w:right w:w="45" w:type="dxa"/>
            </w:tcMar>
            <w:vAlign w:val="center"/>
          </w:tcPr>
          <w:p w14:paraId="16E2012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synthesis</w:t>
            </w:r>
          </w:p>
        </w:tc>
        <w:tc>
          <w:tcPr>
            <w:tcW w:w="1364" w:type="dxa"/>
            <w:tcBorders>
              <w:top w:val="nil"/>
              <w:left w:val="nil"/>
              <w:bottom w:val="nil"/>
              <w:right w:val="nil"/>
            </w:tcBorders>
            <w:tcMar>
              <w:top w:w="45" w:type="dxa"/>
              <w:left w:w="45" w:type="dxa"/>
              <w:bottom w:w="45" w:type="dxa"/>
              <w:right w:w="45" w:type="dxa"/>
            </w:tcMar>
            <w:vAlign w:val="center"/>
          </w:tcPr>
          <w:p w14:paraId="77528D8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Concise multi-omics overview; embryo implantation focus</w:t>
            </w:r>
          </w:p>
        </w:tc>
        <w:tc>
          <w:tcPr>
            <w:tcW w:w="1380" w:type="dxa"/>
            <w:tcBorders>
              <w:top w:val="nil"/>
              <w:left w:val="nil"/>
              <w:bottom w:val="nil"/>
              <w:right w:val="nil"/>
            </w:tcBorders>
            <w:tcMar>
              <w:top w:w="45" w:type="dxa"/>
              <w:left w:w="45" w:type="dxa"/>
              <w:bottom w:w="45" w:type="dxa"/>
              <w:right w:w="45" w:type="dxa"/>
            </w:tcMar>
            <w:vAlign w:val="center"/>
          </w:tcPr>
          <w:p w14:paraId="350C70E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Mini-review; limited depth; no systematic search</w:t>
            </w:r>
          </w:p>
        </w:tc>
      </w:tr>
      <w:tr w:rsidR="00D7116D" w:rsidRPr="00D578DF" w14:paraId="49748335"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2147800"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Chen P et al., 2022 [32]</w:t>
            </w:r>
          </w:p>
        </w:tc>
        <w:tc>
          <w:tcPr>
            <w:tcW w:w="1114" w:type="dxa"/>
            <w:tcBorders>
              <w:top w:val="nil"/>
              <w:left w:val="nil"/>
              <w:bottom w:val="nil"/>
              <w:right w:val="nil"/>
            </w:tcBorders>
            <w:tcMar>
              <w:top w:w="45" w:type="dxa"/>
              <w:left w:w="45" w:type="dxa"/>
              <w:bottom w:w="45" w:type="dxa"/>
              <w:right w:w="45" w:type="dxa"/>
            </w:tcMar>
            <w:vAlign w:val="center"/>
          </w:tcPr>
          <w:p w14:paraId="264C737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Journal of Assisted Reproduction and Genetics</w:t>
            </w:r>
          </w:p>
        </w:tc>
        <w:tc>
          <w:tcPr>
            <w:tcW w:w="1189" w:type="dxa"/>
            <w:tcBorders>
              <w:top w:val="nil"/>
              <w:left w:val="nil"/>
              <w:bottom w:val="nil"/>
              <w:right w:val="nil"/>
            </w:tcBorders>
            <w:tcMar>
              <w:top w:w="45" w:type="dxa"/>
              <w:left w:w="45" w:type="dxa"/>
              <w:bottom w:w="45" w:type="dxa"/>
              <w:right w:w="45" w:type="dxa"/>
            </w:tcMar>
            <w:vAlign w:val="center"/>
          </w:tcPr>
          <w:p w14:paraId="5DF753EE"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RIF case-control microbiome + transcriptomics</w:t>
            </w:r>
          </w:p>
        </w:tc>
        <w:tc>
          <w:tcPr>
            <w:tcW w:w="1055" w:type="dxa"/>
            <w:tcBorders>
              <w:top w:val="nil"/>
              <w:left w:val="nil"/>
              <w:bottom w:val="nil"/>
              <w:right w:val="nil"/>
            </w:tcBorders>
            <w:tcMar>
              <w:top w:w="45" w:type="dxa"/>
              <w:left w:w="45" w:type="dxa"/>
              <w:bottom w:w="45" w:type="dxa"/>
              <w:right w:w="45" w:type="dxa"/>
            </w:tcMar>
            <w:vAlign w:val="center"/>
          </w:tcPr>
          <w:p w14:paraId="745BC346"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111 patients: 75 RIF + 36 controls; transcriptome sequencing in 60</w:t>
            </w:r>
          </w:p>
        </w:tc>
        <w:tc>
          <w:tcPr>
            <w:tcW w:w="1787" w:type="dxa"/>
            <w:tcBorders>
              <w:top w:val="nil"/>
              <w:left w:val="nil"/>
              <w:bottom w:val="nil"/>
              <w:right w:val="nil"/>
            </w:tcBorders>
            <w:tcMar>
              <w:top w:w="45" w:type="dxa"/>
              <w:left w:w="45" w:type="dxa"/>
              <w:bottom w:w="45" w:type="dxa"/>
              <w:right w:w="45" w:type="dxa"/>
            </w:tcMar>
            <w:vAlign w:val="center"/>
          </w:tcPr>
          <w:p w14:paraId="7F5F5142"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Endometrial microbial community structure/composition differed in RIF. The authors proposed that abnormal microbiota may affect implantation through altered endometrial immune adaptation and blood-vessel formation.</w:t>
            </w:r>
          </w:p>
        </w:tc>
        <w:tc>
          <w:tcPr>
            <w:tcW w:w="2411" w:type="dxa"/>
            <w:tcBorders>
              <w:top w:val="nil"/>
              <w:left w:val="nil"/>
              <w:bottom w:val="nil"/>
              <w:right w:val="nil"/>
            </w:tcBorders>
            <w:tcMar>
              <w:top w:w="45" w:type="dxa"/>
              <w:left w:w="45" w:type="dxa"/>
              <w:bottom w:w="45" w:type="dxa"/>
              <w:right w:w="45" w:type="dxa"/>
            </w:tcMar>
            <w:vAlign w:val="center"/>
          </w:tcPr>
          <w:p w14:paraId="06BD427F"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Host–microbiome interaction evidence in RIF; does not directly demonstrate NF-kB/TNF-alpha activation by </w:t>
            </w:r>
            <w:proofErr w:type="spellStart"/>
            <w:r w:rsidRPr="00D578DF">
              <w:rPr>
                <w:rFonts w:ascii="Times New Roman" w:hAnsi="Times New Roman" w:cs="Times New Roman"/>
                <w:sz w:val="20"/>
                <w:szCs w:val="20"/>
              </w:rPr>
              <w:t>dysbiotic</w:t>
            </w:r>
            <w:proofErr w:type="spellEnd"/>
            <w:r w:rsidRPr="00D578DF">
              <w:rPr>
                <w:rFonts w:ascii="Times New Roman" w:hAnsi="Times New Roman" w:cs="Times New Roman"/>
                <w:sz w:val="20"/>
                <w:szCs w:val="20"/>
              </w:rPr>
              <w:t xml:space="preserve"> taxa.</w:t>
            </w:r>
          </w:p>
        </w:tc>
        <w:tc>
          <w:tcPr>
            <w:tcW w:w="1738" w:type="dxa"/>
            <w:tcBorders>
              <w:top w:val="nil"/>
              <w:left w:val="nil"/>
              <w:bottom w:val="nil"/>
              <w:right w:val="nil"/>
            </w:tcBorders>
            <w:tcMar>
              <w:top w:w="45" w:type="dxa"/>
              <w:left w:w="45" w:type="dxa"/>
              <w:bottom w:w="45" w:type="dxa"/>
              <w:right w:w="45" w:type="dxa"/>
            </w:tcMar>
            <w:vAlign w:val="center"/>
          </w:tcPr>
          <w:p w14:paraId="25ACBCCF"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16S rRNA sequencing + endometrial high-throughput transcriptome sequencing</w:t>
            </w:r>
          </w:p>
        </w:tc>
        <w:tc>
          <w:tcPr>
            <w:tcW w:w="1364" w:type="dxa"/>
            <w:tcBorders>
              <w:top w:val="nil"/>
              <w:left w:val="nil"/>
              <w:bottom w:val="nil"/>
              <w:right w:val="nil"/>
            </w:tcBorders>
            <w:tcMar>
              <w:top w:w="45" w:type="dxa"/>
              <w:left w:w="45" w:type="dxa"/>
              <w:bottom w:w="45" w:type="dxa"/>
              <w:right w:w="45" w:type="dxa"/>
            </w:tcMar>
            <w:vAlign w:val="center"/>
          </w:tcPr>
          <w:p w14:paraId="6ED40D4A"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Direct integration of endometrial microbiome and host transcriptomics in RIF.</w:t>
            </w:r>
          </w:p>
        </w:tc>
        <w:tc>
          <w:tcPr>
            <w:tcW w:w="1380" w:type="dxa"/>
            <w:tcBorders>
              <w:top w:val="nil"/>
              <w:left w:val="nil"/>
              <w:bottom w:val="nil"/>
              <w:right w:val="nil"/>
            </w:tcBorders>
            <w:tcMar>
              <w:top w:w="45" w:type="dxa"/>
              <w:left w:w="45" w:type="dxa"/>
              <w:bottom w:w="45" w:type="dxa"/>
              <w:right w:w="45" w:type="dxa"/>
            </w:tcMar>
            <w:vAlign w:val="center"/>
          </w:tcPr>
          <w:p w14:paraId="580EC3A5"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Associational design; proposed mechanisms require functional validation.</w:t>
            </w:r>
          </w:p>
        </w:tc>
      </w:tr>
      <w:tr w:rsidR="00D7116D" w:rsidRPr="00D578DF" w14:paraId="3F0BC72E"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15DA622C"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Iwami et al., 2023 [31]</w:t>
            </w:r>
          </w:p>
        </w:tc>
        <w:tc>
          <w:tcPr>
            <w:tcW w:w="1114" w:type="dxa"/>
            <w:tcBorders>
              <w:top w:val="nil"/>
              <w:left w:val="nil"/>
              <w:bottom w:val="nil"/>
              <w:right w:val="nil"/>
            </w:tcBorders>
            <w:tcMar>
              <w:top w:w="45" w:type="dxa"/>
              <w:left w:w="45" w:type="dxa"/>
              <w:bottom w:w="45" w:type="dxa"/>
              <w:right w:w="45" w:type="dxa"/>
            </w:tcMar>
            <w:vAlign w:val="center"/>
          </w:tcPr>
          <w:p w14:paraId="75F4E44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Journal of Assisted Reproduction and Genetics</w:t>
            </w:r>
          </w:p>
        </w:tc>
        <w:tc>
          <w:tcPr>
            <w:tcW w:w="1189" w:type="dxa"/>
            <w:tcBorders>
              <w:top w:val="nil"/>
              <w:left w:val="nil"/>
              <w:bottom w:val="nil"/>
              <w:right w:val="nil"/>
            </w:tcBorders>
            <w:tcMar>
              <w:top w:w="45" w:type="dxa"/>
              <w:left w:w="45" w:type="dxa"/>
              <w:bottom w:w="45" w:type="dxa"/>
              <w:right w:w="45" w:type="dxa"/>
            </w:tcMar>
            <w:vAlign w:val="center"/>
          </w:tcPr>
          <w:p w14:paraId="4EE5B39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Prospective non-</w:t>
            </w:r>
            <w:proofErr w:type="spellStart"/>
            <w:r w:rsidRPr="00D578DF">
              <w:rPr>
                <w:rFonts w:ascii="Times New Roman" w:hAnsi="Times New Roman" w:cs="Times New Roman"/>
                <w:sz w:val="20"/>
                <w:szCs w:val="20"/>
              </w:rPr>
              <w:t>randomised</w:t>
            </w:r>
            <w:proofErr w:type="spellEnd"/>
            <w:r w:rsidRPr="00D578DF">
              <w:rPr>
                <w:rFonts w:ascii="Times New Roman" w:hAnsi="Times New Roman" w:cs="Times New Roman"/>
                <w:sz w:val="20"/>
                <w:szCs w:val="20"/>
              </w:rPr>
              <w:t xml:space="preserve"> cohort (microbiome-guided management)</w:t>
            </w:r>
          </w:p>
        </w:tc>
        <w:tc>
          <w:tcPr>
            <w:tcW w:w="1055" w:type="dxa"/>
            <w:tcBorders>
              <w:top w:val="nil"/>
              <w:left w:val="nil"/>
              <w:bottom w:val="nil"/>
              <w:right w:val="nil"/>
            </w:tcBorders>
            <w:tcMar>
              <w:top w:w="45" w:type="dxa"/>
              <w:left w:w="45" w:type="dxa"/>
              <w:bottom w:w="45" w:type="dxa"/>
              <w:right w:w="45" w:type="dxa"/>
            </w:tcMar>
            <w:vAlign w:val="center"/>
          </w:tcPr>
          <w:p w14:paraId="5D28366C"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195 women with RIF: 131 underwent 16S sequencing; 64 comparison patients</w:t>
            </w:r>
          </w:p>
        </w:tc>
        <w:tc>
          <w:tcPr>
            <w:tcW w:w="1787" w:type="dxa"/>
            <w:tcBorders>
              <w:top w:val="nil"/>
              <w:left w:val="nil"/>
              <w:bottom w:val="nil"/>
              <w:right w:val="nil"/>
            </w:tcBorders>
            <w:tcMar>
              <w:top w:w="45" w:type="dxa"/>
              <w:left w:w="45" w:type="dxa"/>
              <w:bottom w:w="45" w:type="dxa"/>
              <w:right w:w="45" w:type="dxa"/>
            </w:tcMar>
            <w:vAlign w:val="center"/>
          </w:tcPr>
          <w:p w14:paraId="6ABCA366"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Abnormal microbiota in 30/131 (22.9%); 29 received antibiotics followed by probiotics. Cumulative clinical pregnancy 64.5% vs. 33.3%, ongoing pregnancy 48.9% vs. 32.8%, cumulative </w:t>
            </w:r>
            <w:r w:rsidRPr="00D578DF">
              <w:rPr>
                <w:rFonts w:ascii="Times New Roman" w:hAnsi="Times New Roman" w:cs="Times New Roman"/>
                <w:sz w:val="20"/>
                <w:szCs w:val="20"/>
              </w:rPr>
              <w:lastRenderedPageBreak/>
              <w:t>live birth 48.9% vs. 31.2%.</w:t>
            </w:r>
          </w:p>
        </w:tc>
        <w:tc>
          <w:tcPr>
            <w:tcW w:w="2411" w:type="dxa"/>
            <w:tcBorders>
              <w:top w:val="nil"/>
              <w:left w:val="nil"/>
              <w:bottom w:val="nil"/>
              <w:right w:val="nil"/>
            </w:tcBorders>
            <w:tcMar>
              <w:top w:w="45" w:type="dxa"/>
              <w:left w:w="45" w:type="dxa"/>
              <w:bottom w:w="45" w:type="dxa"/>
              <w:right w:w="45" w:type="dxa"/>
            </w:tcMar>
            <w:vAlign w:val="center"/>
          </w:tcPr>
          <w:p w14:paraId="61D57BE9"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lastRenderedPageBreak/>
              <w:t>Sequencing-guided microbiome assessment with targeted treatment was associated with improved outcomes, but causality/treatment efficacy cannot be established from the non-</w:t>
            </w:r>
            <w:proofErr w:type="spellStart"/>
            <w:r w:rsidRPr="00D578DF">
              <w:rPr>
                <w:rFonts w:ascii="Times New Roman" w:hAnsi="Times New Roman" w:cs="Times New Roman"/>
                <w:sz w:val="20"/>
                <w:szCs w:val="20"/>
              </w:rPr>
              <w:t>randomised</w:t>
            </w:r>
            <w:proofErr w:type="spellEnd"/>
            <w:r w:rsidRPr="00D578DF">
              <w:rPr>
                <w:rFonts w:ascii="Times New Roman" w:hAnsi="Times New Roman" w:cs="Times New Roman"/>
                <w:sz w:val="20"/>
                <w:szCs w:val="20"/>
              </w:rPr>
              <w:t xml:space="preserve"> design.</w:t>
            </w:r>
          </w:p>
        </w:tc>
        <w:tc>
          <w:tcPr>
            <w:tcW w:w="1738" w:type="dxa"/>
            <w:tcBorders>
              <w:top w:val="nil"/>
              <w:left w:val="nil"/>
              <w:bottom w:val="nil"/>
              <w:right w:val="nil"/>
            </w:tcBorders>
            <w:tcMar>
              <w:top w:w="45" w:type="dxa"/>
              <w:left w:w="45" w:type="dxa"/>
              <w:bottom w:w="45" w:type="dxa"/>
              <w:right w:w="45" w:type="dxa"/>
            </w:tcMar>
            <w:vAlign w:val="center"/>
          </w:tcPr>
          <w:p w14:paraId="55FF7D26"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Endometrial microbial 16S rRNA gene sequencing; genus-guided antibiotics + probiotics</w:t>
            </w:r>
          </w:p>
        </w:tc>
        <w:tc>
          <w:tcPr>
            <w:tcW w:w="1364" w:type="dxa"/>
            <w:tcBorders>
              <w:top w:val="nil"/>
              <w:left w:val="nil"/>
              <w:bottom w:val="nil"/>
              <w:right w:val="nil"/>
            </w:tcBorders>
            <w:tcMar>
              <w:top w:w="45" w:type="dxa"/>
              <w:left w:w="45" w:type="dxa"/>
              <w:bottom w:w="45" w:type="dxa"/>
              <w:right w:w="45" w:type="dxa"/>
            </w:tcMar>
            <w:vAlign w:val="center"/>
          </w:tcPr>
          <w:p w14:paraId="4570FD09"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RIF-specific prospective cohort with clinically relevant pregnancy/live-birth outcomes.</w:t>
            </w:r>
          </w:p>
        </w:tc>
        <w:tc>
          <w:tcPr>
            <w:tcW w:w="1380" w:type="dxa"/>
            <w:tcBorders>
              <w:top w:val="nil"/>
              <w:left w:val="nil"/>
              <w:bottom w:val="nil"/>
              <w:right w:val="nil"/>
            </w:tcBorders>
            <w:tcMar>
              <w:top w:w="45" w:type="dxa"/>
              <w:left w:w="45" w:type="dxa"/>
              <w:bottom w:w="45" w:type="dxa"/>
              <w:right w:w="45" w:type="dxa"/>
            </w:tcMar>
            <w:vAlign w:val="center"/>
          </w:tcPr>
          <w:p w14:paraId="1AA82122"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Non-</w:t>
            </w:r>
            <w:proofErr w:type="spellStart"/>
            <w:r w:rsidRPr="00D578DF">
              <w:rPr>
                <w:rFonts w:ascii="Times New Roman" w:hAnsi="Times New Roman" w:cs="Times New Roman"/>
                <w:sz w:val="20"/>
                <w:szCs w:val="20"/>
              </w:rPr>
              <w:t>randomised</w:t>
            </w:r>
            <w:proofErr w:type="spellEnd"/>
            <w:r w:rsidRPr="00D578DF">
              <w:rPr>
                <w:rFonts w:ascii="Times New Roman" w:hAnsi="Times New Roman" w:cs="Times New Roman"/>
                <w:sz w:val="20"/>
                <w:szCs w:val="20"/>
              </w:rPr>
              <w:t>; single-</w:t>
            </w:r>
            <w:proofErr w:type="spellStart"/>
            <w:r w:rsidRPr="00D578DF">
              <w:rPr>
                <w:rFonts w:ascii="Times New Roman" w:hAnsi="Times New Roman" w:cs="Times New Roman"/>
                <w:sz w:val="20"/>
                <w:szCs w:val="20"/>
              </w:rPr>
              <w:t>centre</w:t>
            </w:r>
            <w:proofErr w:type="spellEnd"/>
            <w:r w:rsidRPr="00D578DF">
              <w:rPr>
                <w:rFonts w:ascii="Times New Roman" w:hAnsi="Times New Roman" w:cs="Times New Roman"/>
                <w:sz w:val="20"/>
                <w:szCs w:val="20"/>
              </w:rPr>
              <w:t>; treatment and selection confounding; not evidence that antibiotics are universally effective.</w:t>
            </w:r>
          </w:p>
        </w:tc>
      </w:tr>
      <w:tr w:rsidR="00D7116D" w:rsidRPr="00D578DF" w14:paraId="1BF69991"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41E50188"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Lozano et al., 2023 [30]</w:t>
            </w:r>
          </w:p>
        </w:tc>
        <w:tc>
          <w:tcPr>
            <w:tcW w:w="1114" w:type="dxa"/>
            <w:tcBorders>
              <w:top w:val="nil"/>
              <w:left w:val="nil"/>
              <w:bottom w:val="nil"/>
              <w:right w:val="nil"/>
            </w:tcBorders>
            <w:tcMar>
              <w:top w:w="45" w:type="dxa"/>
              <w:left w:w="45" w:type="dxa"/>
              <w:bottom w:w="45" w:type="dxa"/>
              <w:right w:w="45" w:type="dxa"/>
            </w:tcMar>
            <w:vAlign w:val="center"/>
          </w:tcPr>
          <w:p w14:paraId="0978A5BC"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Microorganisms</w:t>
            </w:r>
          </w:p>
        </w:tc>
        <w:tc>
          <w:tcPr>
            <w:tcW w:w="1189" w:type="dxa"/>
            <w:tcBorders>
              <w:top w:val="nil"/>
              <w:left w:val="nil"/>
              <w:bottom w:val="nil"/>
              <w:right w:val="nil"/>
            </w:tcBorders>
            <w:tcMar>
              <w:top w:w="45" w:type="dxa"/>
              <w:left w:w="45" w:type="dxa"/>
              <w:bottom w:w="45" w:type="dxa"/>
              <w:right w:w="45" w:type="dxa"/>
            </w:tcMar>
            <w:vAlign w:val="center"/>
          </w:tcPr>
          <w:p w14:paraId="747AE347"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Prospective cohort</w:t>
            </w:r>
          </w:p>
        </w:tc>
        <w:tc>
          <w:tcPr>
            <w:tcW w:w="1055" w:type="dxa"/>
            <w:tcBorders>
              <w:top w:val="nil"/>
              <w:left w:val="nil"/>
              <w:bottom w:val="nil"/>
              <w:right w:val="nil"/>
            </w:tcBorders>
            <w:tcMar>
              <w:top w:w="45" w:type="dxa"/>
              <w:left w:w="45" w:type="dxa"/>
              <w:bottom w:w="45" w:type="dxa"/>
              <w:right w:w="45" w:type="dxa"/>
            </w:tcMar>
            <w:vAlign w:val="center"/>
          </w:tcPr>
          <w:p w14:paraId="296E0DA9"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45 ART patients: 27 RIF + 18 controls</w:t>
            </w:r>
          </w:p>
        </w:tc>
        <w:tc>
          <w:tcPr>
            <w:tcW w:w="1787" w:type="dxa"/>
            <w:tcBorders>
              <w:top w:val="nil"/>
              <w:left w:val="nil"/>
              <w:bottom w:val="nil"/>
              <w:right w:val="nil"/>
            </w:tcBorders>
            <w:tcMar>
              <w:top w:w="45" w:type="dxa"/>
              <w:left w:w="45" w:type="dxa"/>
              <w:bottom w:w="45" w:type="dxa"/>
              <w:right w:w="45" w:type="dxa"/>
            </w:tcMar>
            <w:vAlign w:val="center"/>
          </w:tcPr>
          <w:p w14:paraId="7E0ED166"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 xml:space="preserve">Lactobacillus was the most abundant genus in both groups but was lower in RIF (92.27%) than controls (97.96%). Prevotella, Streptococcus, Bifidobacterium, Lactobacillus and </w:t>
            </w:r>
            <w:proofErr w:type="spellStart"/>
            <w:r w:rsidRPr="00D578DF">
              <w:rPr>
                <w:rFonts w:ascii="Times New Roman" w:hAnsi="Times New Roman" w:cs="Times New Roman"/>
                <w:sz w:val="20"/>
                <w:szCs w:val="20"/>
              </w:rPr>
              <w:t>Dialister</w:t>
            </w:r>
            <w:proofErr w:type="spellEnd"/>
            <w:r w:rsidRPr="00D578DF">
              <w:rPr>
                <w:rFonts w:ascii="Times New Roman" w:hAnsi="Times New Roman" w:cs="Times New Roman"/>
                <w:sz w:val="20"/>
                <w:szCs w:val="20"/>
              </w:rPr>
              <w:t xml:space="preserve"> differed between groups; alpha diversity was not significantly different.</w:t>
            </w:r>
          </w:p>
        </w:tc>
        <w:tc>
          <w:tcPr>
            <w:tcW w:w="2411" w:type="dxa"/>
            <w:tcBorders>
              <w:top w:val="nil"/>
              <w:left w:val="nil"/>
              <w:bottom w:val="nil"/>
              <w:right w:val="nil"/>
            </w:tcBorders>
            <w:tcMar>
              <w:top w:w="45" w:type="dxa"/>
              <w:left w:w="45" w:type="dxa"/>
              <w:bottom w:w="45" w:type="dxa"/>
              <w:right w:w="45" w:type="dxa"/>
            </w:tcMar>
            <w:vAlign w:val="center"/>
          </w:tcPr>
          <w:p w14:paraId="1984416D"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Supports an association between endometrial community composition and RIF; does not establish a universal dysbiosis threshold or treatment indication.</w:t>
            </w:r>
          </w:p>
        </w:tc>
        <w:tc>
          <w:tcPr>
            <w:tcW w:w="1738" w:type="dxa"/>
            <w:tcBorders>
              <w:top w:val="nil"/>
              <w:left w:val="nil"/>
              <w:bottom w:val="nil"/>
              <w:right w:val="nil"/>
            </w:tcBorders>
            <w:tcMar>
              <w:top w:w="45" w:type="dxa"/>
              <w:left w:w="45" w:type="dxa"/>
              <w:bottom w:w="45" w:type="dxa"/>
              <w:right w:w="45" w:type="dxa"/>
            </w:tcMar>
            <w:vAlign w:val="center"/>
          </w:tcPr>
          <w:p w14:paraId="01CEA062"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16S rRNA gene massive sequencing of endometrial samples</w:t>
            </w:r>
          </w:p>
        </w:tc>
        <w:tc>
          <w:tcPr>
            <w:tcW w:w="1364" w:type="dxa"/>
            <w:tcBorders>
              <w:top w:val="nil"/>
              <w:left w:val="nil"/>
              <w:bottom w:val="nil"/>
              <w:right w:val="nil"/>
            </w:tcBorders>
            <w:tcMar>
              <w:top w:w="45" w:type="dxa"/>
              <w:left w:w="45" w:type="dxa"/>
              <w:bottom w:w="45" w:type="dxa"/>
              <w:right w:w="45" w:type="dxa"/>
            </w:tcMar>
            <w:vAlign w:val="center"/>
          </w:tcPr>
          <w:p w14:paraId="6EEB8267"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Direct RIF-versus-control endometrial microbiome comparison.</w:t>
            </w:r>
          </w:p>
        </w:tc>
        <w:tc>
          <w:tcPr>
            <w:tcW w:w="1380" w:type="dxa"/>
            <w:tcBorders>
              <w:top w:val="nil"/>
              <w:left w:val="nil"/>
              <w:bottom w:val="nil"/>
              <w:right w:val="nil"/>
            </w:tcBorders>
            <w:tcMar>
              <w:top w:w="45" w:type="dxa"/>
              <w:left w:w="45" w:type="dxa"/>
              <w:bottom w:w="45" w:type="dxa"/>
              <w:right w:w="45" w:type="dxa"/>
            </w:tcMar>
            <w:vAlign w:val="center"/>
          </w:tcPr>
          <w:p w14:paraId="5BF6891A" w14:textId="77777777" w:rsidR="00750508" w:rsidRPr="00D578DF" w:rsidRDefault="00B35C98">
            <w:pPr>
              <w:rPr>
                <w:rFonts w:ascii="Times New Roman" w:hAnsi="Times New Roman" w:cs="Times New Roman"/>
                <w:sz w:val="20"/>
                <w:szCs w:val="20"/>
              </w:rPr>
            </w:pPr>
            <w:r w:rsidRPr="00D578DF">
              <w:rPr>
                <w:rFonts w:ascii="Times New Roman" w:hAnsi="Times New Roman" w:cs="Times New Roman"/>
                <w:sz w:val="20"/>
                <w:szCs w:val="20"/>
              </w:rPr>
              <w:t>Small low-biomass microbiome cohort; potential contamination and 16S taxonomic-resolution limitations.</w:t>
            </w:r>
          </w:p>
        </w:tc>
      </w:tr>
      <w:tr w:rsidR="00D7116D" w:rsidRPr="00D578DF" w14:paraId="0B9F9587" w14:textId="77777777" w:rsidTr="00D578DF">
        <w:trPr>
          <w:trHeight w:val="915"/>
          <w:jc w:val="center"/>
        </w:trPr>
        <w:tc>
          <w:tcPr>
            <w:tcW w:w="922" w:type="dxa"/>
            <w:tcBorders>
              <w:top w:val="nil"/>
              <w:left w:val="nil"/>
              <w:bottom w:val="nil"/>
              <w:right w:val="nil"/>
            </w:tcBorders>
            <w:tcMar>
              <w:top w:w="45" w:type="dxa"/>
              <w:left w:w="45" w:type="dxa"/>
              <w:bottom w:w="45" w:type="dxa"/>
              <w:right w:w="45" w:type="dxa"/>
            </w:tcMar>
            <w:vAlign w:val="center"/>
          </w:tcPr>
          <w:p w14:paraId="5E6E1176"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Ruiz-Alonso et al., 2021 [55]</w:t>
            </w:r>
          </w:p>
        </w:tc>
        <w:tc>
          <w:tcPr>
            <w:tcW w:w="1114" w:type="dxa"/>
            <w:tcBorders>
              <w:top w:val="nil"/>
              <w:left w:val="nil"/>
              <w:bottom w:val="nil"/>
              <w:right w:val="nil"/>
            </w:tcBorders>
            <w:tcMar>
              <w:top w:w="45" w:type="dxa"/>
              <w:left w:w="45" w:type="dxa"/>
              <w:bottom w:w="45" w:type="dxa"/>
              <w:right w:w="45" w:type="dxa"/>
            </w:tcMar>
            <w:vAlign w:val="center"/>
          </w:tcPr>
          <w:p w14:paraId="3FA0C82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Human Reproduction Open</w:t>
            </w:r>
          </w:p>
        </w:tc>
        <w:tc>
          <w:tcPr>
            <w:tcW w:w="1189" w:type="dxa"/>
            <w:tcBorders>
              <w:top w:val="nil"/>
              <w:left w:val="nil"/>
              <w:bottom w:val="nil"/>
              <w:right w:val="nil"/>
            </w:tcBorders>
            <w:tcMar>
              <w:top w:w="45" w:type="dxa"/>
              <w:left w:w="45" w:type="dxa"/>
              <w:bottom w:w="45" w:type="dxa"/>
              <w:right w:w="45" w:type="dxa"/>
            </w:tcMar>
            <w:vAlign w:val="center"/>
          </w:tcPr>
          <w:p w14:paraId="162AD29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Critical Systematic Review</w:t>
            </w:r>
          </w:p>
        </w:tc>
        <w:tc>
          <w:tcPr>
            <w:tcW w:w="1055" w:type="dxa"/>
            <w:tcBorders>
              <w:top w:val="nil"/>
              <w:left w:val="nil"/>
              <w:bottom w:val="nil"/>
              <w:right w:val="nil"/>
            </w:tcBorders>
            <w:tcMar>
              <w:top w:w="45" w:type="dxa"/>
              <w:left w:w="45" w:type="dxa"/>
              <w:bottom w:w="45" w:type="dxa"/>
              <w:right w:w="45" w:type="dxa"/>
            </w:tcMar>
            <w:vAlign w:val="center"/>
          </w:tcPr>
          <w:p w14:paraId="03DE9A1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Multiple ERA RCTs and cohorts</w:t>
            </w:r>
          </w:p>
        </w:tc>
        <w:tc>
          <w:tcPr>
            <w:tcW w:w="1787" w:type="dxa"/>
            <w:tcBorders>
              <w:top w:val="nil"/>
              <w:left w:val="nil"/>
              <w:bottom w:val="nil"/>
              <w:right w:val="nil"/>
            </w:tcBorders>
            <w:tcMar>
              <w:top w:w="45" w:type="dxa"/>
              <w:left w:w="45" w:type="dxa"/>
              <w:bottom w:w="45" w:type="dxa"/>
              <w:right w:w="45" w:type="dxa"/>
            </w:tcMar>
            <w:vAlign w:val="center"/>
          </w:tcPr>
          <w:p w14:paraId="0DCA420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ERA shows clinical benefit in WOI-displaced patients (28% of RIF); no benefit in unselected RIF; EMMA/ALICE microbiome tests co-developed</w:t>
            </w:r>
          </w:p>
        </w:tc>
        <w:tc>
          <w:tcPr>
            <w:tcW w:w="2411" w:type="dxa"/>
            <w:tcBorders>
              <w:top w:val="nil"/>
              <w:left w:val="nil"/>
              <w:bottom w:val="nil"/>
              <w:right w:val="nil"/>
            </w:tcBorders>
            <w:tcMar>
              <w:top w:w="45" w:type="dxa"/>
              <w:left w:w="45" w:type="dxa"/>
              <w:bottom w:w="45" w:type="dxa"/>
              <w:right w:w="45" w:type="dxa"/>
            </w:tcMar>
            <w:vAlign w:val="center"/>
          </w:tcPr>
          <w:p w14:paraId="23536F3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ERA should be restricted to WOI-displaced RIF patients; EMMA/ALICE microbiome testing requires stronger RCT evidence</w:t>
            </w:r>
          </w:p>
        </w:tc>
        <w:tc>
          <w:tcPr>
            <w:tcW w:w="1738" w:type="dxa"/>
            <w:tcBorders>
              <w:top w:val="nil"/>
              <w:left w:val="nil"/>
              <w:bottom w:val="nil"/>
              <w:right w:val="nil"/>
            </w:tcBorders>
            <w:tcMar>
              <w:top w:w="45" w:type="dxa"/>
              <w:left w:w="45" w:type="dxa"/>
              <w:bottom w:w="45" w:type="dxa"/>
              <w:right w:w="45" w:type="dxa"/>
            </w:tcMar>
            <w:vAlign w:val="center"/>
          </w:tcPr>
          <w:p w14:paraId="52DF648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AMSTAR-2; RCT meta-analysis; GRADE</w:t>
            </w:r>
          </w:p>
        </w:tc>
        <w:tc>
          <w:tcPr>
            <w:tcW w:w="1364" w:type="dxa"/>
            <w:tcBorders>
              <w:top w:val="nil"/>
              <w:left w:val="nil"/>
              <w:bottom w:val="nil"/>
              <w:right w:val="nil"/>
            </w:tcBorders>
            <w:tcMar>
              <w:top w:w="45" w:type="dxa"/>
              <w:left w:w="45" w:type="dxa"/>
              <w:bottom w:w="45" w:type="dxa"/>
              <w:right w:w="45" w:type="dxa"/>
            </w:tcMar>
            <w:vAlign w:val="center"/>
          </w:tcPr>
          <w:p w14:paraId="5F217CE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Critical ERA appraisal; AMSTAR-2; Human Reproduction Open; RCT evidence reviewed</w:t>
            </w:r>
          </w:p>
        </w:tc>
        <w:tc>
          <w:tcPr>
            <w:tcW w:w="1380" w:type="dxa"/>
            <w:tcBorders>
              <w:top w:val="nil"/>
              <w:left w:val="nil"/>
              <w:bottom w:val="nil"/>
              <w:right w:val="nil"/>
            </w:tcBorders>
            <w:tcMar>
              <w:top w:w="45" w:type="dxa"/>
              <w:left w:w="45" w:type="dxa"/>
              <w:bottom w:w="45" w:type="dxa"/>
              <w:right w:w="45" w:type="dxa"/>
            </w:tcMar>
            <w:vAlign w:val="center"/>
          </w:tcPr>
          <w:p w14:paraId="22C21B57"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Potential author competing interest (ERA developers)</w:t>
            </w:r>
          </w:p>
        </w:tc>
      </w:tr>
      <w:tr w:rsidR="00D7116D" w:rsidRPr="00D578DF" w14:paraId="073F4DBD"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04380302"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lastRenderedPageBreak/>
              <w:t>Stoyancheva</w:t>
            </w:r>
            <w:proofErr w:type="spellEnd"/>
            <w:r w:rsidRPr="00D578DF">
              <w:rPr>
                <w:rFonts w:ascii="Times New Roman" w:hAnsi="Times New Roman" w:cs="Times New Roman"/>
                <w:color w:val="000000"/>
                <w:sz w:val="20"/>
                <w:szCs w:val="20"/>
              </w:rPr>
              <w:t xml:space="preserve"> et al., 2025 [103]</w:t>
            </w:r>
          </w:p>
        </w:tc>
        <w:tc>
          <w:tcPr>
            <w:tcW w:w="1114" w:type="dxa"/>
            <w:tcBorders>
              <w:top w:val="nil"/>
              <w:left w:val="nil"/>
              <w:bottom w:val="nil"/>
              <w:right w:val="nil"/>
            </w:tcBorders>
            <w:tcMar>
              <w:top w:w="45" w:type="dxa"/>
              <w:left w:w="45" w:type="dxa"/>
              <w:bottom w:w="45" w:type="dxa"/>
              <w:right w:w="45" w:type="dxa"/>
            </w:tcMar>
            <w:vAlign w:val="center"/>
          </w:tcPr>
          <w:p w14:paraId="73D8289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International Journal of Molecular Sciences</w:t>
            </w:r>
          </w:p>
        </w:tc>
        <w:tc>
          <w:tcPr>
            <w:tcW w:w="1189" w:type="dxa"/>
            <w:tcBorders>
              <w:top w:val="nil"/>
              <w:left w:val="nil"/>
              <w:bottom w:val="nil"/>
              <w:right w:val="nil"/>
            </w:tcBorders>
            <w:tcMar>
              <w:top w:w="45" w:type="dxa"/>
              <w:left w:w="45" w:type="dxa"/>
              <w:bottom w:w="45" w:type="dxa"/>
              <w:right w:w="45" w:type="dxa"/>
            </w:tcMar>
            <w:vAlign w:val="center"/>
          </w:tcPr>
          <w:p w14:paraId="4699D98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Review</w:t>
            </w:r>
          </w:p>
        </w:tc>
        <w:tc>
          <w:tcPr>
            <w:tcW w:w="1055" w:type="dxa"/>
            <w:tcBorders>
              <w:top w:val="nil"/>
              <w:left w:val="nil"/>
              <w:bottom w:val="nil"/>
              <w:right w:val="nil"/>
            </w:tcBorders>
            <w:tcMar>
              <w:top w:w="45" w:type="dxa"/>
              <w:left w:w="45" w:type="dxa"/>
              <w:bottom w:w="45" w:type="dxa"/>
              <w:right w:w="45" w:type="dxa"/>
            </w:tcMar>
            <w:vAlign w:val="center"/>
          </w:tcPr>
          <w:p w14:paraId="173C1F7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w:t>
            </w:r>
          </w:p>
        </w:tc>
        <w:tc>
          <w:tcPr>
            <w:tcW w:w="1787" w:type="dxa"/>
            <w:tcBorders>
              <w:top w:val="nil"/>
              <w:left w:val="nil"/>
              <w:bottom w:val="nil"/>
              <w:right w:val="nil"/>
            </w:tcBorders>
            <w:tcMar>
              <w:top w:w="45" w:type="dxa"/>
              <w:left w:w="45" w:type="dxa"/>
              <w:bottom w:w="45" w:type="dxa"/>
              <w:right w:w="45" w:type="dxa"/>
            </w:tcMar>
            <w:vAlign w:val="center"/>
          </w:tcPr>
          <w:p w14:paraId="7890BE6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Lactobacillus-dominant endometrial microbiome optimal for receptivity; dysbiosis mechanisms: altered mucus, TLR </w:t>
            </w:r>
            <w:proofErr w:type="spellStart"/>
            <w:r w:rsidRPr="00D578DF">
              <w:rPr>
                <w:rFonts w:ascii="Times New Roman" w:eastAsia="Calibri" w:hAnsi="Times New Roman" w:cs="Times New Roman"/>
                <w:color w:val="000000" w:themeColor="text1"/>
                <w:sz w:val="20"/>
                <w:szCs w:val="20"/>
              </w:rPr>
              <w:t>signalling</w:t>
            </w:r>
            <w:proofErr w:type="spellEnd"/>
            <w:r w:rsidRPr="00D578DF">
              <w:rPr>
                <w:rFonts w:ascii="Times New Roman" w:eastAsia="Calibri" w:hAnsi="Times New Roman" w:cs="Times New Roman"/>
                <w:color w:val="000000" w:themeColor="text1"/>
                <w:sz w:val="20"/>
                <w:szCs w:val="20"/>
              </w:rPr>
              <w:t>, immune priming; emerging metagenomics approaches</w:t>
            </w:r>
          </w:p>
        </w:tc>
        <w:tc>
          <w:tcPr>
            <w:tcW w:w="2411" w:type="dxa"/>
            <w:tcBorders>
              <w:top w:val="nil"/>
              <w:left w:val="nil"/>
              <w:bottom w:val="nil"/>
              <w:right w:val="nil"/>
            </w:tcBorders>
            <w:tcMar>
              <w:top w:w="45" w:type="dxa"/>
              <w:left w:w="45" w:type="dxa"/>
              <w:bottom w:w="45" w:type="dxa"/>
              <w:right w:w="45" w:type="dxa"/>
            </w:tcMar>
            <w:vAlign w:val="center"/>
          </w:tcPr>
          <w:p w14:paraId="63E52D8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Microbiome-guided pre-implantation clinical protocols; next-generation metagenomics for species-level endometrial microbiome </w:t>
            </w:r>
            <w:proofErr w:type="spellStart"/>
            <w:r w:rsidRPr="00D578DF">
              <w:rPr>
                <w:rFonts w:ascii="Times New Roman" w:eastAsia="Calibri" w:hAnsi="Times New Roman" w:cs="Times New Roman"/>
                <w:color w:val="000000" w:themeColor="text1"/>
                <w:sz w:val="20"/>
                <w:szCs w:val="20"/>
              </w:rPr>
              <w:t>characterisation</w:t>
            </w:r>
            <w:proofErr w:type="spellEnd"/>
          </w:p>
        </w:tc>
        <w:tc>
          <w:tcPr>
            <w:tcW w:w="1738" w:type="dxa"/>
            <w:tcBorders>
              <w:top w:val="nil"/>
              <w:left w:val="nil"/>
              <w:bottom w:val="nil"/>
              <w:right w:val="nil"/>
            </w:tcBorders>
            <w:tcMar>
              <w:top w:w="45" w:type="dxa"/>
              <w:left w:w="45" w:type="dxa"/>
              <w:bottom w:w="45" w:type="dxa"/>
              <w:right w:w="45" w:type="dxa"/>
            </w:tcMar>
            <w:vAlign w:val="center"/>
          </w:tcPr>
          <w:p w14:paraId="6A10E2E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Literature synthesis; metagenomics overview</w:t>
            </w:r>
          </w:p>
        </w:tc>
        <w:tc>
          <w:tcPr>
            <w:tcW w:w="1364" w:type="dxa"/>
            <w:tcBorders>
              <w:top w:val="nil"/>
              <w:left w:val="nil"/>
              <w:bottom w:val="nil"/>
              <w:right w:val="nil"/>
            </w:tcBorders>
            <w:tcMar>
              <w:top w:w="45" w:type="dxa"/>
              <w:left w:w="45" w:type="dxa"/>
              <w:bottom w:w="45" w:type="dxa"/>
              <w:right w:w="45" w:type="dxa"/>
            </w:tcMar>
            <w:vAlign w:val="center"/>
          </w:tcPr>
          <w:p w14:paraId="24DE3EC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Most current microbiomics review (2026); diverse perspectives framework</w:t>
            </w:r>
          </w:p>
        </w:tc>
        <w:tc>
          <w:tcPr>
            <w:tcW w:w="1380" w:type="dxa"/>
            <w:tcBorders>
              <w:top w:val="nil"/>
              <w:left w:val="nil"/>
              <w:bottom w:val="nil"/>
              <w:right w:val="nil"/>
            </w:tcBorders>
            <w:tcMar>
              <w:top w:w="45" w:type="dxa"/>
              <w:left w:w="45" w:type="dxa"/>
              <w:bottom w:w="45" w:type="dxa"/>
              <w:right w:w="45" w:type="dxa"/>
            </w:tcMar>
            <w:vAlign w:val="center"/>
          </w:tcPr>
          <w:p w14:paraId="7D1AC68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Narrative; no PRISMA</w:t>
            </w:r>
          </w:p>
        </w:tc>
      </w:tr>
      <w:tr w:rsidR="00D7116D" w:rsidRPr="00D578DF" w14:paraId="0221818F" w14:textId="77777777" w:rsidTr="00D578DF">
        <w:trPr>
          <w:trHeight w:val="1530"/>
          <w:jc w:val="center"/>
        </w:trPr>
        <w:tc>
          <w:tcPr>
            <w:tcW w:w="922" w:type="dxa"/>
            <w:tcBorders>
              <w:top w:val="nil"/>
              <w:left w:val="nil"/>
              <w:bottom w:val="nil"/>
              <w:right w:val="nil"/>
            </w:tcBorders>
            <w:tcMar>
              <w:top w:w="45" w:type="dxa"/>
              <w:left w:w="45" w:type="dxa"/>
              <w:bottom w:w="45" w:type="dxa"/>
              <w:right w:w="45" w:type="dxa"/>
            </w:tcMar>
            <w:vAlign w:val="center"/>
          </w:tcPr>
          <w:p w14:paraId="229608BB"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 xml:space="preserve">Stevens </w:t>
            </w:r>
            <w:proofErr w:type="spellStart"/>
            <w:r w:rsidRPr="00D578DF">
              <w:rPr>
                <w:rFonts w:ascii="Times New Roman" w:hAnsi="Times New Roman" w:cs="Times New Roman"/>
                <w:color w:val="000000"/>
                <w:sz w:val="20"/>
                <w:szCs w:val="20"/>
              </w:rPr>
              <w:t>Brentjens</w:t>
            </w:r>
            <w:proofErr w:type="spellEnd"/>
            <w:r w:rsidRPr="00D578DF">
              <w:rPr>
                <w:rFonts w:ascii="Times New Roman" w:hAnsi="Times New Roman" w:cs="Times New Roman"/>
                <w:color w:val="000000"/>
                <w:sz w:val="20"/>
                <w:szCs w:val="20"/>
              </w:rPr>
              <w:t xml:space="preserve"> et al., 2022 [58]</w:t>
            </w:r>
          </w:p>
        </w:tc>
        <w:tc>
          <w:tcPr>
            <w:tcW w:w="1114" w:type="dxa"/>
            <w:tcBorders>
              <w:top w:val="nil"/>
              <w:left w:val="nil"/>
              <w:bottom w:val="nil"/>
              <w:right w:val="nil"/>
            </w:tcBorders>
            <w:tcMar>
              <w:top w:w="45" w:type="dxa"/>
              <w:left w:w="45" w:type="dxa"/>
              <w:bottom w:w="45" w:type="dxa"/>
              <w:right w:w="45" w:type="dxa"/>
            </w:tcMar>
            <w:vAlign w:val="center"/>
          </w:tcPr>
          <w:p w14:paraId="70D9A2D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BMJ Open</w:t>
            </w:r>
          </w:p>
        </w:tc>
        <w:tc>
          <w:tcPr>
            <w:tcW w:w="1189" w:type="dxa"/>
            <w:tcBorders>
              <w:top w:val="nil"/>
              <w:left w:val="nil"/>
              <w:bottom w:val="nil"/>
              <w:right w:val="nil"/>
            </w:tcBorders>
            <w:tcMar>
              <w:top w:w="45" w:type="dxa"/>
              <w:left w:w="45" w:type="dxa"/>
              <w:bottom w:w="45" w:type="dxa"/>
              <w:right w:w="45" w:type="dxa"/>
            </w:tcMar>
            <w:vAlign w:val="center"/>
          </w:tcPr>
          <w:p w14:paraId="6848A85B"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Study Protocol (multi-disciplinary)</w:t>
            </w:r>
          </w:p>
        </w:tc>
        <w:tc>
          <w:tcPr>
            <w:tcW w:w="1055" w:type="dxa"/>
            <w:tcBorders>
              <w:top w:val="nil"/>
              <w:left w:val="nil"/>
              <w:bottom w:val="nil"/>
              <w:right w:val="nil"/>
            </w:tcBorders>
            <w:tcMar>
              <w:top w:w="45" w:type="dxa"/>
              <w:left w:w="45" w:type="dxa"/>
              <w:bottom w:w="45" w:type="dxa"/>
              <w:right w:w="45" w:type="dxa"/>
            </w:tcMar>
            <w:vAlign w:val="center"/>
          </w:tcPr>
          <w:p w14:paraId="466FA95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N/A (protocol; planned N=300)</w:t>
            </w:r>
          </w:p>
        </w:tc>
        <w:tc>
          <w:tcPr>
            <w:tcW w:w="1787" w:type="dxa"/>
            <w:tcBorders>
              <w:top w:val="nil"/>
              <w:left w:val="nil"/>
              <w:bottom w:val="nil"/>
              <w:right w:val="nil"/>
            </w:tcBorders>
            <w:tcMar>
              <w:top w:w="45" w:type="dxa"/>
              <w:left w:w="45" w:type="dxa"/>
              <w:bottom w:w="45" w:type="dxa"/>
              <w:right w:w="45" w:type="dxa"/>
            </w:tcMar>
            <w:vAlign w:val="center"/>
          </w:tcPr>
          <w:p w14:paraId="44BF3E6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Protocol integrating endometrial microbiome (16S rRNA), ERA, NK cell profiling, and immune markers in RIF and recurrent miscarriage</w:t>
            </w:r>
          </w:p>
        </w:tc>
        <w:tc>
          <w:tcPr>
            <w:tcW w:w="2411" w:type="dxa"/>
            <w:tcBorders>
              <w:top w:val="nil"/>
              <w:left w:val="nil"/>
              <w:bottom w:val="nil"/>
              <w:right w:val="nil"/>
            </w:tcBorders>
            <w:tcMar>
              <w:top w:w="45" w:type="dxa"/>
              <w:left w:w="45" w:type="dxa"/>
              <w:bottom w:w="45" w:type="dxa"/>
              <w:right w:w="45" w:type="dxa"/>
            </w:tcMar>
            <w:vAlign w:val="center"/>
          </w:tcPr>
          <w:p w14:paraId="77C8BA5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Largest planned multi-arm RIF study; microbiome-immune-ERA integration framework for clinical RIF management</w:t>
            </w:r>
          </w:p>
        </w:tc>
        <w:tc>
          <w:tcPr>
            <w:tcW w:w="1738" w:type="dxa"/>
            <w:tcBorders>
              <w:top w:val="nil"/>
              <w:left w:val="nil"/>
              <w:bottom w:val="nil"/>
              <w:right w:val="nil"/>
            </w:tcBorders>
            <w:tcMar>
              <w:top w:w="45" w:type="dxa"/>
              <w:left w:w="45" w:type="dxa"/>
              <w:bottom w:w="45" w:type="dxa"/>
              <w:right w:w="45" w:type="dxa"/>
            </w:tcMar>
            <w:vAlign w:val="center"/>
          </w:tcPr>
          <w:p w14:paraId="6AA0C6A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SPIRIT checklist; 16S rRNA + ERA + NK cell + immunology protocol</w:t>
            </w:r>
          </w:p>
        </w:tc>
        <w:tc>
          <w:tcPr>
            <w:tcW w:w="1364" w:type="dxa"/>
            <w:tcBorders>
              <w:top w:val="nil"/>
              <w:left w:val="nil"/>
              <w:bottom w:val="nil"/>
              <w:right w:val="nil"/>
            </w:tcBorders>
            <w:tcMar>
              <w:top w:w="45" w:type="dxa"/>
              <w:left w:w="45" w:type="dxa"/>
              <w:bottom w:w="45" w:type="dxa"/>
              <w:right w:w="45" w:type="dxa"/>
            </w:tcMar>
            <w:vAlign w:val="center"/>
          </w:tcPr>
          <w:p w14:paraId="34F135F4"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SPIRIT-reported; multi-arm including microbiomics; BMJ Open; large planned cohort</w:t>
            </w:r>
          </w:p>
        </w:tc>
        <w:tc>
          <w:tcPr>
            <w:tcW w:w="1380" w:type="dxa"/>
            <w:tcBorders>
              <w:top w:val="nil"/>
              <w:left w:val="nil"/>
              <w:bottom w:val="nil"/>
              <w:right w:val="nil"/>
            </w:tcBorders>
            <w:tcMar>
              <w:top w:w="45" w:type="dxa"/>
              <w:left w:w="45" w:type="dxa"/>
              <w:bottom w:w="45" w:type="dxa"/>
              <w:right w:w="45" w:type="dxa"/>
            </w:tcMar>
            <w:vAlign w:val="center"/>
          </w:tcPr>
          <w:p w14:paraId="24AFAA35"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Results not yet reported; protocol only</w:t>
            </w:r>
          </w:p>
        </w:tc>
      </w:tr>
      <w:tr w:rsidR="00D7116D" w:rsidRPr="00D578DF" w14:paraId="60C33004" w14:textId="77777777" w:rsidTr="00D578DF">
        <w:trPr>
          <w:trHeight w:val="1215"/>
          <w:jc w:val="center"/>
        </w:trPr>
        <w:tc>
          <w:tcPr>
            <w:tcW w:w="922" w:type="dxa"/>
            <w:tcBorders>
              <w:top w:val="nil"/>
              <w:left w:val="nil"/>
              <w:bottom w:val="nil"/>
              <w:right w:val="nil"/>
            </w:tcBorders>
            <w:tcMar>
              <w:top w:w="45" w:type="dxa"/>
              <w:left w:w="45" w:type="dxa"/>
              <w:bottom w:w="45" w:type="dxa"/>
              <w:right w:w="45" w:type="dxa"/>
            </w:tcMar>
            <w:vAlign w:val="center"/>
          </w:tcPr>
          <w:p w14:paraId="5A73F74E" w14:textId="77777777" w:rsidR="00D7116D" w:rsidRPr="00D578DF" w:rsidRDefault="00D7116D" w:rsidP="00D7116D">
            <w:pPr>
              <w:rPr>
                <w:rFonts w:ascii="Times New Roman" w:hAnsi="Times New Roman" w:cs="Times New Roman"/>
                <w:sz w:val="20"/>
                <w:szCs w:val="20"/>
              </w:rPr>
            </w:pPr>
            <w:r w:rsidRPr="00D578DF">
              <w:rPr>
                <w:rFonts w:ascii="Times New Roman" w:hAnsi="Times New Roman" w:cs="Times New Roman"/>
                <w:color w:val="000000"/>
                <w:sz w:val="20"/>
                <w:szCs w:val="20"/>
              </w:rPr>
              <w:t>ÖZALTIN et al., 2022 [56]</w:t>
            </w:r>
          </w:p>
        </w:tc>
        <w:tc>
          <w:tcPr>
            <w:tcW w:w="1114" w:type="dxa"/>
            <w:tcBorders>
              <w:top w:val="nil"/>
              <w:left w:val="nil"/>
              <w:bottom w:val="nil"/>
              <w:right w:val="nil"/>
            </w:tcBorders>
            <w:tcMar>
              <w:top w:w="45" w:type="dxa"/>
              <w:left w:w="45" w:type="dxa"/>
              <w:bottom w:w="45" w:type="dxa"/>
              <w:right w:w="45" w:type="dxa"/>
            </w:tcMar>
            <w:vAlign w:val="center"/>
          </w:tcPr>
          <w:p w14:paraId="2DE3598F"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Clinical and Experimental Obstetrics &amp; Gynecology</w:t>
            </w:r>
          </w:p>
        </w:tc>
        <w:tc>
          <w:tcPr>
            <w:tcW w:w="1189" w:type="dxa"/>
            <w:tcBorders>
              <w:top w:val="nil"/>
              <w:left w:val="nil"/>
              <w:bottom w:val="nil"/>
              <w:right w:val="nil"/>
            </w:tcBorders>
            <w:tcMar>
              <w:top w:w="45" w:type="dxa"/>
              <w:left w:w="45" w:type="dxa"/>
              <w:bottom w:w="45" w:type="dxa"/>
              <w:right w:w="45" w:type="dxa"/>
            </w:tcMar>
            <w:vAlign w:val="center"/>
          </w:tcPr>
          <w:p w14:paraId="05EF94DA"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Retrospective cohort</w:t>
            </w:r>
          </w:p>
        </w:tc>
        <w:tc>
          <w:tcPr>
            <w:tcW w:w="1055" w:type="dxa"/>
            <w:tcBorders>
              <w:top w:val="nil"/>
              <w:left w:val="nil"/>
              <w:bottom w:val="nil"/>
              <w:right w:val="nil"/>
            </w:tcBorders>
            <w:tcMar>
              <w:top w:w="45" w:type="dxa"/>
              <w:left w:w="45" w:type="dxa"/>
              <w:bottom w:w="45" w:type="dxa"/>
              <w:right w:w="45" w:type="dxa"/>
            </w:tcMar>
            <w:vAlign w:val="center"/>
          </w:tcPr>
          <w:p w14:paraId="532E10C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85 RIF (euploid transfer)</w:t>
            </w:r>
          </w:p>
        </w:tc>
        <w:tc>
          <w:tcPr>
            <w:tcW w:w="1787" w:type="dxa"/>
            <w:tcBorders>
              <w:top w:val="nil"/>
              <w:left w:val="nil"/>
              <w:bottom w:val="nil"/>
              <w:right w:val="nil"/>
            </w:tcBorders>
            <w:tcMar>
              <w:top w:w="45" w:type="dxa"/>
              <w:left w:w="45" w:type="dxa"/>
              <w:bottom w:w="45" w:type="dxa"/>
              <w:right w:w="45" w:type="dxa"/>
            </w:tcMar>
            <w:vAlign w:val="center"/>
          </w:tcPr>
          <w:p w14:paraId="2945F11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ERA-guided </w:t>
            </w:r>
            <w:proofErr w:type="spellStart"/>
            <w:r w:rsidRPr="00D578DF">
              <w:rPr>
                <w:rFonts w:ascii="Times New Roman" w:eastAsia="Calibri" w:hAnsi="Times New Roman" w:cs="Times New Roman"/>
                <w:color w:val="000000" w:themeColor="text1"/>
                <w:sz w:val="20"/>
                <w:szCs w:val="20"/>
              </w:rPr>
              <w:t>pET</w:t>
            </w:r>
            <w:proofErr w:type="spellEnd"/>
            <w:r w:rsidRPr="00D578DF">
              <w:rPr>
                <w:rFonts w:ascii="Times New Roman" w:eastAsia="Calibri" w:hAnsi="Times New Roman" w:cs="Times New Roman"/>
                <w:color w:val="000000" w:themeColor="text1"/>
                <w:sz w:val="20"/>
                <w:szCs w:val="20"/>
              </w:rPr>
              <w:t xml:space="preserve"> improved LBR from 32% to 54% in RIF patients with euploid embryos; 26% displacement rate</w:t>
            </w:r>
          </w:p>
        </w:tc>
        <w:tc>
          <w:tcPr>
            <w:tcW w:w="2411" w:type="dxa"/>
            <w:tcBorders>
              <w:top w:val="nil"/>
              <w:left w:val="nil"/>
              <w:bottom w:val="nil"/>
              <w:right w:val="nil"/>
            </w:tcBorders>
            <w:tcMar>
              <w:top w:w="45" w:type="dxa"/>
              <w:left w:w="45" w:type="dxa"/>
              <w:bottom w:w="45" w:type="dxa"/>
              <w:right w:w="45" w:type="dxa"/>
            </w:tcMar>
            <w:vAlign w:val="center"/>
          </w:tcPr>
          <w:p w14:paraId="7B3DE60D"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ERA-guided </w:t>
            </w:r>
            <w:proofErr w:type="spellStart"/>
            <w:r w:rsidRPr="00D578DF">
              <w:rPr>
                <w:rFonts w:ascii="Times New Roman" w:eastAsia="Calibri" w:hAnsi="Times New Roman" w:cs="Times New Roman"/>
                <w:color w:val="000000" w:themeColor="text1"/>
                <w:sz w:val="20"/>
                <w:szCs w:val="20"/>
              </w:rPr>
              <w:t>pET</w:t>
            </w:r>
            <w:proofErr w:type="spellEnd"/>
            <w:r w:rsidRPr="00D578DF">
              <w:rPr>
                <w:rFonts w:ascii="Times New Roman" w:eastAsia="Calibri" w:hAnsi="Times New Roman" w:cs="Times New Roman"/>
                <w:color w:val="000000" w:themeColor="text1"/>
                <w:sz w:val="20"/>
                <w:szCs w:val="20"/>
              </w:rPr>
              <w:t xml:space="preserve"> as evidence-based practice for euploid embryo RIF patients; 26% will benefit from protocol change</w:t>
            </w:r>
          </w:p>
        </w:tc>
        <w:tc>
          <w:tcPr>
            <w:tcW w:w="1738" w:type="dxa"/>
            <w:tcBorders>
              <w:top w:val="nil"/>
              <w:left w:val="nil"/>
              <w:bottom w:val="nil"/>
              <w:right w:val="nil"/>
            </w:tcBorders>
            <w:tcMar>
              <w:top w:w="45" w:type="dxa"/>
              <w:left w:w="45" w:type="dxa"/>
              <w:bottom w:w="45" w:type="dxa"/>
              <w:right w:w="45" w:type="dxa"/>
            </w:tcMar>
            <w:vAlign w:val="center"/>
          </w:tcPr>
          <w:p w14:paraId="10AF6880"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ERA (</w:t>
            </w:r>
            <w:proofErr w:type="spellStart"/>
            <w:r w:rsidRPr="00D578DF">
              <w:rPr>
                <w:rFonts w:ascii="Times New Roman" w:eastAsia="Calibri" w:hAnsi="Times New Roman" w:cs="Times New Roman"/>
                <w:color w:val="000000" w:themeColor="text1"/>
                <w:sz w:val="20"/>
                <w:szCs w:val="20"/>
              </w:rPr>
              <w:t>Igenomix</w:t>
            </w:r>
            <w:proofErr w:type="spellEnd"/>
            <w:r w:rsidRPr="00D578DF">
              <w:rPr>
                <w:rFonts w:ascii="Times New Roman" w:eastAsia="Calibri" w:hAnsi="Times New Roman" w:cs="Times New Roman"/>
                <w:color w:val="000000" w:themeColor="text1"/>
                <w:sz w:val="20"/>
                <w:szCs w:val="20"/>
              </w:rPr>
              <w:t>); euploid ET design; LBR primary outcome</w:t>
            </w:r>
          </w:p>
        </w:tc>
        <w:tc>
          <w:tcPr>
            <w:tcW w:w="1364" w:type="dxa"/>
            <w:tcBorders>
              <w:top w:val="nil"/>
              <w:left w:val="nil"/>
              <w:bottom w:val="nil"/>
              <w:right w:val="nil"/>
            </w:tcBorders>
            <w:tcMar>
              <w:top w:w="45" w:type="dxa"/>
              <w:left w:w="45" w:type="dxa"/>
              <w:bottom w:w="45" w:type="dxa"/>
              <w:right w:w="45" w:type="dxa"/>
            </w:tcMar>
            <w:vAlign w:val="center"/>
          </w:tcPr>
          <w:p w14:paraId="3448C00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Euploid transfer design controls embryo quality; clinical outcome data</w:t>
            </w:r>
          </w:p>
        </w:tc>
        <w:tc>
          <w:tcPr>
            <w:tcW w:w="1380" w:type="dxa"/>
            <w:tcBorders>
              <w:top w:val="nil"/>
              <w:left w:val="nil"/>
              <w:bottom w:val="nil"/>
              <w:right w:val="nil"/>
            </w:tcBorders>
            <w:tcMar>
              <w:top w:w="45" w:type="dxa"/>
              <w:left w:w="45" w:type="dxa"/>
              <w:bottom w:w="45" w:type="dxa"/>
              <w:right w:w="45" w:type="dxa"/>
            </w:tcMar>
            <w:vAlign w:val="center"/>
          </w:tcPr>
          <w:p w14:paraId="65FAC77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Retrospective; single-</w:t>
            </w:r>
            <w:proofErr w:type="spellStart"/>
            <w:r w:rsidRPr="00D578DF">
              <w:rPr>
                <w:rFonts w:ascii="Times New Roman" w:eastAsia="Calibri" w:hAnsi="Times New Roman" w:cs="Times New Roman"/>
                <w:color w:val="000000" w:themeColor="text1"/>
                <w:sz w:val="20"/>
                <w:szCs w:val="20"/>
              </w:rPr>
              <w:t>centre</w:t>
            </w:r>
            <w:proofErr w:type="spellEnd"/>
            <w:r w:rsidRPr="00D578DF">
              <w:rPr>
                <w:rFonts w:ascii="Times New Roman" w:eastAsia="Calibri" w:hAnsi="Times New Roman" w:cs="Times New Roman"/>
                <w:color w:val="000000" w:themeColor="text1"/>
                <w:sz w:val="20"/>
                <w:szCs w:val="20"/>
              </w:rPr>
              <w:t>; ERA commercial involvement</w:t>
            </w:r>
          </w:p>
        </w:tc>
      </w:tr>
      <w:tr w:rsidR="00D7116D" w:rsidRPr="00D578DF" w14:paraId="39182696" w14:textId="77777777" w:rsidTr="00D578DF">
        <w:trPr>
          <w:trHeight w:val="915"/>
          <w:jc w:val="center"/>
        </w:trPr>
        <w:tc>
          <w:tcPr>
            <w:tcW w:w="922" w:type="dxa"/>
            <w:tcBorders>
              <w:top w:val="nil"/>
              <w:left w:val="nil"/>
              <w:bottom w:val="single" w:sz="8" w:space="0" w:color="000000"/>
              <w:right w:val="nil"/>
            </w:tcBorders>
            <w:tcMar>
              <w:top w:w="45" w:type="dxa"/>
              <w:left w:w="45" w:type="dxa"/>
              <w:bottom w:w="45" w:type="dxa"/>
              <w:right w:w="45" w:type="dxa"/>
            </w:tcMar>
            <w:vAlign w:val="center"/>
          </w:tcPr>
          <w:p w14:paraId="3B15F919" w14:textId="77777777" w:rsidR="00D7116D" w:rsidRPr="00D578DF" w:rsidRDefault="00D7116D" w:rsidP="00D7116D">
            <w:pPr>
              <w:rPr>
                <w:rFonts w:ascii="Times New Roman" w:hAnsi="Times New Roman" w:cs="Times New Roman"/>
                <w:sz w:val="20"/>
                <w:szCs w:val="20"/>
              </w:rPr>
            </w:pPr>
            <w:proofErr w:type="spellStart"/>
            <w:r w:rsidRPr="00D578DF">
              <w:rPr>
                <w:rFonts w:ascii="Times New Roman" w:hAnsi="Times New Roman" w:cs="Times New Roman"/>
                <w:color w:val="000000"/>
                <w:sz w:val="20"/>
                <w:szCs w:val="20"/>
              </w:rPr>
              <w:lastRenderedPageBreak/>
              <w:t>Maziotis</w:t>
            </w:r>
            <w:proofErr w:type="spellEnd"/>
            <w:r w:rsidRPr="00D578DF">
              <w:rPr>
                <w:rFonts w:ascii="Times New Roman" w:hAnsi="Times New Roman" w:cs="Times New Roman"/>
                <w:color w:val="000000"/>
                <w:sz w:val="20"/>
                <w:szCs w:val="20"/>
              </w:rPr>
              <w:t xml:space="preserve"> et al., 2022 [57]</w:t>
            </w:r>
          </w:p>
        </w:tc>
        <w:tc>
          <w:tcPr>
            <w:tcW w:w="1114" w:type="dxa"/>
            <w:tcBorders>
              <w:top w:val="nil"/>
              <w:left w:val="nil"/>
              <w:bottom w:val="single" w:sz="8" w:space="0" w:color="000000"/>
              <w:right w:val="nil"/>
            </w:tcBorders>
            <w:tcMar>
              <w:top w:w="45" w:type="dxa"/>
              <w:left w:w="45" w:type="dxa"/>
              <w:bottom w:w="45" w:type="dxa"/>
              <w:right w:w="45" w:type="dxa"/>
            </w:tcMar>
            <w:vAlign w:val="center"/>
          </w:tcPr>
          <w:p w14:paraId="55020048"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Diagnostics</w:t>
            </w:r>
          </w:p>
        </w:tc>
        <w:tc>
          <w:tcPr>
            <w:tcW w:w="1189" w:type="dxa"/>
            <w:tcBorders>
              <w:top w:val="nil"/>
              <w:left w:val="nil"/>
              <w:bottom w:val="single" w:sz="8" w:space="0" w:color="000000"/>
              <w:right w:val="nil"/>
            </w:tcBorders>
            <w:tcMar>
              <w:top w:w="45" w:type="dxa"/>
              <w:left w:w="45" w:type="dxa"/>
              <w:bottom w:w="45" w:type="dxa"/>
              <w:right w:w="45" w:type="dxa"/>
            </w:tcMar>
            <w:vAlign w:val="center"/>
          </w:tcPr>
          <w:p w14:paraId="48D1BFF1"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Systematic Review</w:t>
            </w:r>
          </w:p>
        </w:tc>
        <w:tc>
          <w:tcPr>
            <w:tcW w:w="1055" w:type="dxa"/>
            <w:tcBorders>
              <w:top w:val="nil"/>
              <w:left w:val="nil"/>
              <w:bottom w:val="single" w:sz="8" w:space="0" w:color="000000"/>
              <w:right w:val="nil"/>
            </w:tcBorders>
            <w:tcMar>
              <w:top w:w="45" w:type="dxa"/>
              <w:left w:w="45" w:type="dxa"/>
              <w:bottom w:w="45" w:type="dxa"/>
              <w:right w:w="45" w:type="dxa"/>
            </w:tcMar>
            <w:vAlign w:val="center"/>
          </w:tcPr>
          <w:p w14:paraId="31BD6F12"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 xml:space="preserve">Multiple molecular tests (ERA, EMMA, ALICE, </w:t>
            </w:r>
            <w:proofErr w:type="spellStart"/>
            <w:r w:rsidRPr="00D578DF">
              <w:rPr>
                <w:rFonts w:ascii="Times New Roman" w:eastAsia="Calibri" w:hAnsi="Times New Roman" w:cs="Times New Roman"/>
                <w:color w:val="000000" w:themeColor="text1"/>
                <w:sz w:val="20"/>
                <w:szCs w:val="20"/>
              </w:rPr>
              <w:t>ReceptIVFity</w:t>
            </w:r>
            <w:proofErr w:type="spellEnd"/>
            <w:r w:rsidRPr="00D578DF">
              <w:rPr>
                <w:rFonts w:ascii="Times New Roman" w:eastAsia="Calibri" w:hAnsi="Times New Roman" w:cs="Times New Roman"/>
                <w:color w:val="000000" w:themeColor="text1"/>
                <w:sz w:val="20"/>
                <w:szCs w:val="20"/>
              </w:rPr>
              <w:t>)</w:t>
            </w:r>
          </w:p>
        </w:tc>
        <w:tc>
          <w:tcPr>
            <w:tcW w:w="1787" w:type="dxa"/>
            <w:tcBorders>
              <w:top w:val="nil"/>
              <w:left w:val="nil"/>
              <w:bottom w:val="single" w:sz="8" w:space="0" w:color="000000"/>
              <w:right w:val="nil"/>
            </w:tcBorders>
            <w:tcMar>
              <w:top w:w="45" w:type="dxa"/>
              <w:left w:w="45" w:type="dxa"/>
              <w:bottom w:w="45" w:type="dxa"/>
              <w:right w:w="45" w:type="dxa"/>
            </w:tcMar>
            <w:vAlign w:val="center"/>
          </w:tcPr>
          <w:p w14:paraId="4B5ADC4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ERA: Level II evidence for WOI; EMMA/ALICE: Level III evidence; insufficient RCT data for routine recommendation of all tests</w:t>
            </w:r>
          </w:p>
        </w:tc>
        <w:tc>
          <w:tcPr>
            <w:tcW w:w="2411" w:type="dxa"/>
            <w:tcBorders>
              <w:top w:val="nil"/>
              <w:left w:val="nil"/>
              <w:bottom w:val="single" w:sz="8" w:space="0" w:color="000000"/>
              <w:right w:val="nil"/>
            </w:tcBorders>
            <w:tcMar>
              <w:top w:w="45" w:type="dxa"/>
              <w:left w:w="45" w:type="dxa"/>
              <w:bottom w:w="45" w:type="dxa"/>
              <w:right w:w="45" w:type="dxa"/>
            </w:tcMar>
            <w:vAlign w:val="center"/>
          </w:tcPr>
          <w:p w14:paraId="77C2833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Evidence-based clinical guidance for ERA/EMMA/ALICE test selection in RIF workup; RCTs urgently needed for ALICE/EMMA</w:t>
            </w:r>
          </w:p>
        </w:tc>
        <w:tc>
          <w:tcPr>
            <w:tcW w:w="1738" w:type="dxa"/>
            <w:tcBorders>
              <w:top w:val="nil"/>
              <w:left w:val="nil"/>
              <w:bottom w:val="single" w:sz="8" w:space="0" w:color="000000"/>
              <w:right w:val="nil"/>
            </w:tcBorders>
            <w:tcMar>
              <w:top w:w="45" w:type="dxa"/>
              <w:left w:w="45" w:type="dxa"/>
              <w:bottom w:w="45" w:type="dxa"/>
              <w:right w:w="45" w:type="dxa"/>
            </w:tcMar>
            <w:vAlign w:val="center"/>
          </w:tcPr>
          <w:p w14:paraId="7C309783"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AMSTAR-2; GRADE; PRISMA; multiple test evaluation</w:t>
            </w:r>
          </w:p>
        </w:tc>
        <w:tc>
          <w:tcPr>
            <w:tcW w:w="1364" w:type="dxa"/>
            <w:tcBorders>
              <w:top w:val="nil"/>
              <w:left w:val="nil"/>
              <w:bottom w:val="single" w:sz="8" w:space="0" w:color="000000"/>
              <w:right w:val="nil"/>
            </w:tcBorders>
            <w:tcMar>
              <w:top w:w="45" w:type="dxa"/>
              <w:left w:w="45" w:type="dxa"/>
              <w:bottom w:w="45" w:type="dxa"/>
              <w:right w:w="45" w:type="dxa"/>
            </w:tcMar>
            <w:vAlign w:val="center"/>
          </w:tcPr>
          <w:p w14:paraId="6F31882E"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PRISMA/AMSTAR-2; GRADE; comprehensive molecular test evaluation; Diagnostics</w:t>
            </w:r>
          </w:p>
        </w:tc>
        <w:tc>
          <w:tcPr>
            <w:tcW w:w="1380" w:type="dxa"/>
            <w:tcBorders>
              <w:top w:val="nil"/>
              <w:left w:val="nil"/>
              <w:bottom w:val="single" w:sz="8" w:space="0" w:color="000000"/>
              <w:right w:val="nil"/>
            </w:tcBorders>
            <w:tcMar>
              <w:top w:w="45" w:type="dxa"/>
              <w:left w:w="45" w:type="dxa"/>
              <w:bottom w:w="45" w:type="dxa"/>
              <w:right w:w="45" w:type="dxa"/>
            </w:tcMar>
            <w:vAlign w:val="center"/>
          </w:tcPr>
          <w:p w14:paraId="5A4235D6" w14:textId="77777777" w:rsidR="00D7116D" w:rsidRPr="00D578DF" w:rsidRDefault="00D7116D" w:rsidP="00D7116D">
            <w:pPr>
              <w:rPr>
                <w:rFonts w:ascii="Times New Roman" w:hAnsi="Times New Roman" w:cs="Times New Roman"/>
                <w:sz w:val="20"/>
                <w:szCs w:val="20"/>
              </w:rPr>
            </w:pPr>
            <w:r w:rsidRPr="00D578DF">
              <w:rPr>
                <w:rFonts w:ascii="Times New Roman" w:eastAsia="Calibri" w:hAnsi="Times New Roman" w:cs="Times New Roman"/>
                <w:color w:val="000000" w:themeColor="text1"/>
                <w:sz w:val="20"/>
                <w:szCs w:val="20"/>
              </w:rPr>
              <w:t>ERA/EMMA/ALICE developer studies may introduce bias</w:t>
            </w:r>
          </w:p>
        </w:tc>
      </w:tr>
    </w:tbl>
    <w:p w14:paraId="38E3779C" w14:textId="63A119DC" w:rsidR="124E78AD" w:rsidRPr="00BC284D" w:rsidRDefault="00D578DF" w:rsidP="124E78AD">
      <w:pPr>
        <w:jc w:val="both"/>
        <w:rPr>
          <w:rFonts w:ascii="Times New Roman" w:hAnsi="Times New Roman" w:cs="Times New Roman"/>
          <w:color w:val="EE0000"/>
          <w:sz w:val="20"/>
          <w:szCs w:val="20"/>
        </w:rPr>
      </w:pPr>
      <w:r w:rsidRPr="00BC284D">
        <w:rPr>
          <w:rFonts w:ascii="Times New Roman" w:hAnsi="Times New Roman" w:cs="Times New Roman"/>
          <w:color w:val="EE0000"/>
          <w:sz w:val="20"/>
          <w:szCs w:val="20"/>
          <w:vertAlign w:val="superscript"/>
        </w:rPr>
        <w:t>*</w:t>
      </w:r>
      <w:r w:rsidRPr="00BC284D">
        <w:rPr>
          <w:rFonts w:ascii="Times New Roman" w:hAnsi="Times New Roman" w:cs="Times New Roman"/>
          <w:color w:val="EE0000"/>
          <w:sz w:val="20"/>
          <w:szCs w:val="20"/>
        </w:rPr>
        <w:t>The review retained 92 publications. Primary/original-data studies informed the formal molecular synthesis, whereas reviews, meta-analyses, protocols, and contextual publications were used separately for biological or methodological interpretation and reference screening. Rows that are not RIF-specific are explicitly labelled as contextual and should not be interpreted as direct RIF biomarker validation.</w:t>
      </w:r>
    </w:p>
    <w:p w14:paraId="0970725E" w14:textId="77777777" w:rsidR="007D7901" w:rsidRPr="00D578DF" w:rsidRDefault="007D7901" w:rsidP="124E78AD">
      <w:pPr>
        <w:jc w:val="both"/>
        <w:rPr>
          <w:rFonts w:ascii="Times New Roman" w:hAnsi="Times New Roman" w:cs="Times New Roman"/>
          <w:sz w:val="20"/>
          <w:szCs w:val="20"/>
        </w:rPr>
      </w:pPr>
    </w:p>
    <w:p w14:paraId="39E039B2" w14:textId="77777777" w:rsidR="001C6BF7" w:rsidRPr="00D578DF" w:rsidRDefault="001C6BF7" w:rsidP="001C6BF7">
      <w:pPr>
        <w:jc w:val="both"/>
        <w:rPr>
          <w:rFonts w:ascii="Times New Roman" w:hAnsi="Times New Roman" w:cs="Times New Roman"/>
          <w:b/>
          <w:bCs/>
          <w:sz w:val="20"/>
          <w:szCs w:val="20"/>
        </w:rPr>
      </w:pPr>
    </w:p>
    <w:p w14:paraId="6A122852" w14:textId="77777777" w:rsidR="001C6BF7" w:rsidRPr="00D578DF" w:rsidRDefault="001C6BF7" w:rsidP="001C6BF7">
      <w:pPr>
        <w:jc w:val="both"/>
        <w:rPr>
          <w:rFonts w:ascii="Times New Roman" w:hAnsi="Times New Roman" w:cs="Times New Roman"/>
          <w:b/>
          <w:bCs/>
          <w:sz w:val="20"/>
          <w:szCs w:val="20"/>
        </w:rPr>
      </w:pPr>
    </w:p>
    <w:p w14:paraId="55A1B6A4" w14:textId="77777777" w:rsidR="001C6BF7" w:rsidRPr="00D578DF" w:rsidRDefault="001C6BF7" w:rsidP="001C6BF7">
      <w:pPr>
        <w:jc w:val="both"/>
        <w:rPr>
          <w:rFonts w:ascii="Times New Roman" w:hAnsi="Times New Roman" w:cs="Times New Roman"/>
          <w:b/>
          <w:bCs/>
          <w:sz w:val="20"/>
          <w:szCs w:val="20"/>
        </w:rPr>
      </w:pPr>
    </w:p>
    <w:p w14:paraId="37E89E26" w14:textId="77777777" w:rsidR="001C6BF7" w:rsidRPr="00D578DF" w:rsidRDefault="001C6BF7" w:rsidP="001C6BF7">
      <w:pPr>
        <w:jc w:val="both"/>
        <w:rPr>
          <w:rFonts w:ascii="Times New Roman" w:hAnsi="Times New Roman" w:cs="Times New Roman"/>
          <w:b/>
          <w:bCs/>
          <w:sz w:val="20"/>
          <w:szCs w:val="20"/>
        </w:rPr>
      </w:pPr>
    </w:p>
    <w:p w14:paraId="1ADFF4D2" w14:textId="77777777" w:rsidR="00D578DF" w:rsidRPr="00D578DF" w:rsidRDefault="00D578DF">
      <w:pPr>
        <w:rPr>
          <w:rFonts w:ascii="Times New Roman" w:hAnsi="Times New Roman" w:cs="Times New Roman"/>
          <w:b/>
          <w:bCs/>
          <w:sz w:val="20"/>
          <w:szCs w:val="20"/>
        </w:rPr>
      </w:pPr>
      <w:r w:rsidRPr="00D578DF">
        <w:rPr>
          <w:rFonts w:ascii="Times New Roman" w:hAnsi="Times New Roman" w:cs="Times New Roman"/>
          <w:b/>
          <w:bCs/>
          <w:sz w:val="20"/>
          <w:szCs w:val="20"/>
        </w:rPr>
        <w:br w:type="page"/>
      </w:r>
    </w:p>
    <w:p w14:paraId="7207F935" w14:textId="3669FB71" w:rsidR="00750508" w:rsidRPr="00D578DF" w:rsidRDefault="544CE685" w:rsidP="001C6BF7">
      <w:pPr>
        <w:jc w:val="both"/>
        <w:rPr>
          <w:rFonts w:ascii="Times New Roman" w:hAnsi="Times New Roman" w:cs="Times New Roman"/>
          <w:b/>
          <w:bCs/>
          <w:sz w:val="20"/>
          <w:szCs w:val="20"/>
        </w:rPr>
      </w:pPr>
      <w:r w:rsidRPr="00D578DF">
        <w:rPr>
          <w:rFonts w:ascii="Times New Roman" w:hAnsi="Times New Roman" w:cs="Times New Roman"/>
          <w:b/>
          <w:bCs/>
          <w:sz w:val="20"/>
          <w:szCs w:val="20"/>
        </w:rPr>
        <w:lastRenderedPageBreak/>
        <w:t>Table S3. Study-design-specific methodological quality assessment</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424"/>
        <w:gridCol w:w="2440"/>
        <w:gridCol w:w="3315"/>
        <w:gridCol w:w="2380"/>
        <w:gridCol w:w="2401"/>
      </w:tblGrid>
      <w:tr w:rsidR="005367AA" w:rsidRPr="00D578DF" w14:paraId="5F7C3846" w14:textId="77777777">
        <w:trPr>
          <w:tblHeader/>
          <w:jc w:val="center"/>
        </w:trPr>
        <w:tc>
          <w:tcPr>
            <w:tcW w:w="2592" w:type="dxa"/>
            <w:tcBorders>
              <w:top w:val="single" w:sz="8" w:space="0" w:color="000000"/>
              <w:left w:val="nil"/>
              <w:bottom w:val="single" w:sz="8" w:space="0" w:color="000000"/>
              <w:right w:val="nil"/>
            </w:tcBorders>
            <w:vAlign w:val="center"/>
          </w:tcPr>
          <w:p w14:paraId="36F06B8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b/>
                <w:sz w:val="20"/>
                <w:szCs w:val="20"/>
              </w:rPr>
              <w:t>First Author et al., Year</w:t>
            </w:r>
          </w:p>
        </w:tc>
        <w:tc>
          <w:tcPr>
            <w:tcW w:w="2592" w:type="dxa"/>
            <w:tcBorders>
              <w:top w:val="single" w:sz="8" w:space="0" w:color="000000"/>
              <w:left w:val="nil"/>
              <w:bottom w:val="single" w:sz="8" w:space="0" w:color="000000"/>
              <w:right w:val="nil"/>
            </w:tcBorders>
            <w:vAlign w:val="center"/>
          </w:tcPr>
          <w:p w14:paraId="405ADF7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b/>
                <w:sz w:val="20"/>
                <w:szCs w:val="20"/>
              </w:rPr>
              <w:t>QA Tool / Method Used</w:t>
            </w:r>
          </w:p>
        </w:tc>
        <w:tc>
          <w:tcPr>
            <w:tcW w:w="2592" w:type="dxa"/>
            <w:tcBorders>
              <w:top w:val="single" w:sz="8" w:space="0" w:color="000000"/>
              <w:left w:val="nil"/>
              <w:bottom w:val="single" w:sz="8" w:space="0" w:color="000000"/>
              <w:right w:val="nil"/>
            </w:tcBorders>
            <w:vAlign w:val="center"/>
          </w:tcPr>
          <w:p w14:paraId="793B602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b/>
                <w:sz w:val="20"/>
                <w:szCs w:val="20"/>
              </w:rPr>
              <w:t>Key QA Criteria Assessed</w:t>
            </w:r>
          </w:p>
        </w:tc>
        <w:tc>
          <w:tcPr>
            <w:tcW w:w="2592" w:type="dxa"/>
            <w:tcBorders>
              <w:top w:val="single" w:sz="8" w:space="0" w:color="000000"/>
              <w:left w:val="nil"/>
              <w:bottom w:val="single" w:sz="8" w:space="0" w:color="000000"/>
              <w:right w:val="nil"/>
            </w:tcBorders>
            <w:vAlign w:val="center"/>
          </w:tcPr>
          <w:p w14:paraId="75E55B9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b/>
                <w:sz w:val="20"/>
                <w:szCs w:val="20"/>
              </w:rPr>
              <w:t>OCEBM Level of Evidence</w:t>
            </w:r>
          </w:p>
        </w:tc>
        <w:tc>
          <w:tcPr>
            <w:tcW w:w="2592" w:type="dxa"/>
            <w:tcBorders>
              <w:top w:val="single" w:sz="8" w:space="0" w:color="000000"/>
              <w:left w:val="nil"/>
              <w:bottom w:val="single" w:sz="8" w:space="0" w:color="000000"/>
              <w:right w:val="nil"/>
            </w:tcBorders>
            <w:vAlign w:val="center"/>
          </w:tcPr>
          <w:p w14:paraId="7AF68C9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b/>
                <w:sz w:val="20"/>
                <w:szCs w:val="20"/>
              </w:rPr>
              <w:t>Within-tool descriptive appraisal</w:t>
            </w:r>
          </w:p>
        </w:tc>
      </w:tr>
      <w:tr w:rsidR="005367AA" w:rsidRPr="00D578DF" w14:paraId="7D5FA3E6" w14:textId="77777777">
        <w:trPr>
          <w:jc w:val="center"/>
        </w:trPr>
        <w:tc>
          <w:tcPr>
            <w:tcW w:w="2592" w:type="dxa"/>
            <w:tcBorders>
              <w:top w:val="nil"/>
              <w:left w:val="nil"/>
              <w:bottom w:val="nil"/>
              <w:right w:val="nil"/>
            </w:tcBorders>
            <w:vAlign w:val="center"/>
          </w:tcPr>
          <w:p w14:paraId="3B87B0EB"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Mrozikiewicz</w:t>
            </w:r>
            <w:proofErr w:type="spellEnd"/>
            <w:r w:rsidRPr="00D578DF">
              <w:rPr>
                <w:rFonts w:ascii="Times New Roman" w:hAnsi="Times New Roman" w:cs="Times New Roman"/>
                <w:sz w:val="20"/>
                <w:szCs w:val="20"/>
              </w:rPr>
              <w:t xml:space="preserve"> et al., 2021 [35]</w:t>
            </w:r>
          </w:p>
        </w:tc>
        <w:tc>
          <w:tcPr>
            <w:tcW w:w="2592" w:type="dxa"/>
            <w:tcBorders>
              <w:top w:val="nil"/>
              <w:left w:val="nil"/>
              <w:bottom w:val="nil"/>
              <w:right w:val="nil"/>
            </w:tcBorders>
            <w:vAlign w:val="center"/>
          </w:tcPr>
          <w:p w14:paraId="5F9AF8E4" w14:textId="7337D8F2"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574B34A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Comprehensiveness of search; quality of included evidence; mechanistic depth; clinical applicability</w:t>
            </w:r>
          </w:p>
        </w:tc>
        <w:tc>
          <w:tcPr>
            <w:tcW w:w="2592" w:type="dxa"/>
            <w:tcBorders>
              <w:top w:val="nil"/>
              <w:left w:val="nil"/>
              <w:bottom w:val="nil"/>
              <w:right w:val="nil"/>
            </w:tcBorders>
            <w:vAlign w:val="center"/>
          </w:tcPr>
          <w:p w14:paraId="7B2F746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6691AB2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033E3476" w14:textId="77777777">
        <w:trPr>
          <w:jc w:val="center"/>
        </w:trPr>
        <w:tc>
          <w:tcPr>
            <w:tcW w:w="2592" w:type="dxa"/>
            <w:tcBorders>
              <w:top w:val="nil"/>
              <w:left w:val="nil"/>
              <w:bottom w:val="nil"/>
              <w:right w:val="nil"/>
            </w:tcBorders>
            <w:vAlign w:val="center"/>
          </w:tcPr>
          <w:p w14:paraId="591F994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Eker et al., 2021 [18]</w:t>
            </w:r>
          </w:p>
        </w:tc>
        <w:tc>
          <w:tcPr>
            <w:tcW w:w="2592" w:type="dxa"/>
            <w:tcBorders>
              <w:top w:val="nil"/>
              <w:left w:val="nil"/>
              <w:bottom w:val="nil"/>
              <w:right w:val="nil"/>
            </w:tcBorders>
            <w:vAlign w:val="center"/>
          </w:tcPr>
          <w:p w14:paraId="2C471F4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Newcastle-Ottawa Scale (NOS)</w:t>
            </w:r>
          </w:p>
        </w:tc>
        <w:tc>
          <w:tcPr>
            <w:tcW w:w="2592" w:type="dxa"/>
            <w:tcBorders>
              <w:top w:val="nil"/>
              <w:left w:val="nil"/>
              <w:bottom w:val="nil"/>
              <w:right w:val="nil"/>
            </w:tcBorders>
            <w:vAlign w:val="center"/>
          </w:tcPr>
          <w:p w14:paraId="3F87469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Selection/comparability; outcome ascertainment; endometrial biopsy timing; </w:t>
            </w:r>
            <w:proofErr w:type="spellStart"/>
            <w:r w:rsidRPr="00D578DF">
              <w:rPr>
                <w:rFonts w:ascii="Times New Roman" w:hAnsi="Times New Roman" w:cs="Times New Roman"/>
                <w:sz w:val="20"/>
                <w:szCs w:val="20"/>
              </w:rPr>
              <w:t>ddPCR</w:t>
            </w:r>
            <w:proofErr w:type="spellEnd"/>
            <w:r w:rsidRPr="00D578DF">
              <w:rPr>
                <w:rFonts w:ascii="Times New Roman" w:hAnsi="Times New Roman" w:cs="Times New Roman"/>
                <w:sz w:val="20"/>
                <w:szCs w:val="20"/>
              </w:rPr>
              <w:t xml:space="preserve"> mtDNA quantification and normalization</w:t>
            </w:r>
          </w:p>
        </w:tc>
        <w:tc>
          <w:tcPr>
            <w:tcW w:w="2592" w:type="dxa"/>
            <w:tcBorders>
              <w:top w:val="nil"/>
              <w:left w:val="nil"/>
              <w:bottom w:val="nil"/>
              <w:right w:val="nil"/>
            </w:tcBorders>
            <w:vAlign w:val="center"/>
          </w:tcPr>
          <w:p w14:paraId="43AB4B3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1D70962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D59ADD9" w14:textId="77777777">
        <w:trPr>
          <w:jc w:val="center"/>
        </w:trPr>
        <w:tc>
          <w:tcPr>
            <w:tcW w:w="2592" w:type="dxa"/>
            <w:tcBorders>
              <w:top w:val="nil"/>
              <w:left w:val="nil"/>
              <w:bottom w:val="nil"/>
              <w:right w:val="nil"/>
            </w:tcBorders>
            <w:vAlign w:val="center"/>
          </w:tcPr>
          <w:p w14:paraId="046F4CD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Zhang et al., 2021 [34]</w:t>
            </w:r>
          </w:p>
        </w:tc>
        <w:tc>
          <w:tcPr>
            <w:tcW w:w="2592" w:type="dxa"/>
            <w:tcBorders>
              <w:top w:val="nil"/>
              <w:left w:val="nil"/>
              <w:bottom w:val="nil"/>
              <w:right w:val="nil"/>
            </w:tcBorders>
            <w:vAlign w:val="center"/>
          </w:tcPr>
          <w:p w14:paraId="3CE4846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transcriptomic diagnostic-model criteria</w:t>
            </w:r>
          </w:p>
        </w:tc>
        <w:tc>
          <w:tcPr>
            <w:tcW w:w="2592" w:type="dxa"/>
            <w:tcBorders>
              <w:top w:val="nil"/>
              <w:left w:val="nil"/>
              <w:bottom w:val="nil"/>
              <w:right w:val="nil"/>
            </w:tcBorders>
            <w:vAlign w:val="center"/>
          </w:tcPr>
          <w:p w14:paraId="25B7D37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Healthy-population sampling; RNA-seq quality; feature selection; training/validation separation; reporting of predictive accuracy; limitation as non-RIF contextual evidence</w:t>
            </w:r>
          </w:p>
        </w:tc>
        <w:tc>
          <w:tcPr>
            <w:tcW w:w="2592" w:type="dxa"/>
            <w:tcBorders>
              <w:top w:val="nil"/>
              <w:left w:val="nil"/>
              <w:bottom w:val="nil"/>
              <w:right w:val="nil"/>
            </w:tcBorders>
            <w:vAlign w:val="center"/>
          </w:tcPr>
          <w:p w14:paraId="1837B93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2CCA70E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3782643" w14:textId="77777777">
        <w:trPr>
          <w:jc w:val="center"/>
        </w:trPr>
        <w:tc>
          <w:tcPr>
            <w:tcW w:w="2592" w:type="dxa"/>
            <w:tcBorders>
              <w:top w:val="nil"/>
              <w:left w:val="nil"/>
              <w:bottom w:val="nil"/>
              <w:right w:val="nil"/>
            </w:tcBorders>
            <w:vAlign w:val="center"/>
          </w:tcPr>
          <w:p w14:paraId="246F419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Devesa-Peiro et al., 2020 [33]</w:t>
            </w:r>
          </w:p>
        </w:tc>
        <w:tc>
          <w:tcPr>
            <w:tcW w:w="2592" w:type="dxa"/>
            <w:tcBorders>
              <w:top w:val="nil"/>
              <w:left w:val="nil"/>
              <w:bottom w:val="nil"/>
              <w:right w:val="nil"/>
            </w:tcBorders>
            <w:vAlign w:val="center"/>
          </w:tcPr>
          <w:p w14:paraId="5B33022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w:t>
            </w:r>
          </w:p>
        </w:tc>
        <w:tc>
          <w:tcPr>
            <w:tcW w:w="2592" w:type="dxa"/>
            <w:tcBorders>
              <w:top w:val="nil"/>
              <w:left w:val="nil"/>
              <w:bottom w:val="nil"/>
              <w:right w:val="nil"/>
            </w:tcBorders>
            <w:vAlign w:val="center"/>
          </w:tcPr>
          <w:p w14:paraId="4EE6B85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Search comprehensiveness; risk of bias appraisal; heterogeneity assessment; conclusions supported by data</w:t>
            </w:r>
          </w:p>
        </w:tc>
        <w:tc>
          <w:tcPr>
            <w:tcW w:w="2592" w:type="dxa"/>
            <w:tcBorders>
              <w:top w:val="nil"/>
              <w:left w:val="nil"/>
              <w:bottom w:val="nil"/>
              <w:right w:val="nil"/>
            </w:tcBorders>
            <w:vAlign w:val="center"/>
          </w:tcPr>
          <w:p w14:paraId="043B769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w:t>
            </w:r>
          </w:p>
        </w:tc>
        <w:tc>
          <w:tcPr>
            <w:tcW w:w="2592" w:type="dxa"/>
            <w:tcBorders>
              <w:top w:val="nil"/>
              <w:left w:val="nil"/>
              <w:bottom w:val="nil"/>
              <w:right w:val="nil"/>
            </w:tcBorders>
            <w:vAlign w:val="center"/>
          </w:tcPr>
          <w:p w14:paraId="7842530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0A56D01" w14:textId="77777777">
        <w:trPr>
          <w:jc w:val="center"/>
        </w:trPr>
        <w:tc>
          <w:tcPr>
            <w:tcW w:w="2592" w:type="dxa"/>
            <w:tcBorders>
              <w:top w:val="nil"/>
              <w:left w:val="nil"/>
              <w:bottom w:val="nil"/>
              <w:right w:val="nil"/>
            </w:tcBorders>
            <w:vAlign w:val="center"/>
          </w:tcPr>
          <w:p w14:paraId="53608F6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Sui et al., 2023 [11]</w:t>
            </w:r>
          </w:p>
        </w:tc>
        <w:tc>
          <w:tcPr>
            <w:tcW w:w="2592" w:type="dxa"/>
            <w:tcBorders>
              <w:top w:val="nil"/>
              <w:left w:val="nil"/>
              <w:bottom w:val="nil"/>
              <w:right w:val="nil"/>
            </w:tcBorders>
            <w:vAlign w:val="center"/>
          </w:tcPr>
          <w:p w14:paraId="3A6A9C6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10-point Bioinformatic QA</w:t>
            </w:r>
          </w:p>
        </w:tc>
        <w:tc>
          <w:tcPr>
            <w:tcW w:w="2592" w:type="dxa"/>
            <w:tcBorders>
              <w:top w:val="nil"/>
              <w:left w:val="nil"/>
              <w:bottom w:val="nil"/>
              <w:right w:val="nil"/>
            </w:tcBorders>
            <w:vAlign w:val="center"/>
          </w:tcPr>
          <w:p w14:paraId="26FE7BB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Dataset quality/heterogeneity; differential expression pipeline; pathway enrichment </w:t>
            </w:r>
            <w:proofErr w:type="spellStart"/>
            <w:r w:rsidRPr="00D578DF">
              <w:rPr>
                <w:rFonts w:ascii="Times New Roman" w:hAnsi="Times New Roman" w:cs="Times New Roman"/>
                <w:sz w:val="20"/>
                <w:szCs w:val="20"/>
              </w:rPr>
              <w:t>rigour</w:t>
            </w:r>
            <w:proofErr w:type="spellEnd"/>
            <w:r w:rsidRPr="00D578DF">
              <w:rPr>
                <w:rFonts w:ascii="Times New Roman" w:hAnsi="Times New Roman" w:cs="Times New Roman"/>
                <w:sz w:val="20"/>
                <w:szCs w:val="20"/>
              </w:rPr>
              <w:t>; hub gene validation strategy</w:t>
            </w:r>
          </w:p>
        </w:tc>
        <w:tc>
          <w:tcPr>
            <w:tcW w:w="2592" w:type="dxa"/>
            <w:tcBorders>
              <w:top w:val="nil"/>
              <w:left w:val="nil"/>
              <w:bottom w:val="nil"/>
              <w:right w:val="nil"/>
            </w:tcBorders>
            <w:vAlign w:val="center"/>
          </w:tcPr>
          <w:p w14:paraId="0BDD486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432FED0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033624AE" w14:textId="77777777">
        <w:trPr>
          <w:jc w:val="center"/>
        </w:trPr>
        <w:tc>
          <w:tcPr>
            <w:tcW w:w="2592" w:type="dxa"/>
            <w:tcBorders>
              <w:top w:val="nil"/>
              <w:left w:val="nil"/>
              <w:bottom w:val="nil"/>
              <w:right w:val="nil"/>
            </w:tcBorders>
            <w:vAlign w:val="center"/>
          </w:tcPr>
          <w:p w14:paraId="0553871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Lin et al., 2025 [73]</w:t>
            </w:r>
          </w:p>
        </w:tc>
        <w:tc>
          <w:tcPr>
            <w:tcW w:w="2592" w:type="dxa"/>
            <w:tcBorders>
              <w:top w:val="nil"/>
              <w:left w:val="nil"/>
              <w:bottom w:val="nil"/>
              <w:right w:val="nil"/>
            </w:tcBorders>
            <w:vAlign w:val="center"/>
          </w:tcPr>
          <w:p w14:paraId="707190D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ML QA Criteria</w:t>
            </w:r>
          </w:p>
        </w:tc>
        <w:tc>
          <w:tcPr>
            <w:tcW w:w="2592" w:type="dxa"/>
            <w:tcBorders>
              <w:top w:val="nil"/>
              <w:left w:val="nil"/>
              <w:bottom w:val="nil"/>
              <w:right w:val="nil"/>
            </w:tcBorders>
            <w:vAlign w:val="center"/>
          </w:tcPr>
          <w:p w14:paraId="4FCF212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Feature selection method; overfitting control (cross-validation); performance metrics (AUC, sensitivity, specificity); biological plausibility</w:t>
            </w:r>
          </w:p>
        </w:tc>
        <w:tc>
          <w:tcPr>
            <w:tcW w:w="2592" w:type="dxa"/>
            <w:tcBorders>
              <w:top w:val="nil"/>
              <w:left w:val="nil"/>
              <w:bottom w:val="nil"/>
              <w:right w:val="nil"/>
            </w:tcBorders>
            <w:vAlign w:val="center"/>
          </w:tcPr>
          <w:p w14:paraId="5838089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78AF96B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09578C0B" w14:textId="77777777">
        <w:trPr>
          <w:jc w:val="center"/>
        </w:trPr>
        <w:tc>
          <w:tcPr>
            <w:tcW w:w="2592" w:type="dxa"/>
            <w:tcBorders>
              <w:top w:val="nil"/>
              <w:left w:val="nil"/>
              <w:bottom w:val="nil"/>
              <w:right w:val="nil"/>
            </w:tcBorders>
            <w:vAlign w:val="center"/>
          </w:tcPr>
          <w:p w14:paraId="4F29E93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Li et al., 2023 [14]</w:t>
            </w:r>
          </w:p>
        </w:tc>
        <w:tc>
          <w:tcPr>
            <w:tcW w:w="2592" w:type="dxa"/>
            <w:tcBorders>
              <w:top w:val="nil"/>
              <w:left w:val="nil"/>
              <w:bottom w:val="nil"/>
              <w:right w:val="nil"/>
            </w:tcBorders>
            <w:vAlign w:val="center"/>
          </w:tcPr>
          <w:p w14:paraId="15E50A8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 NOS</w:t>
            </w:r>
          </w:p>
        </w:tc>
        <w:tc>
          <w:tcPr>
            <w:tcW w:w="2592" w:type="dxa"/>
            <w:tcBorders>
              <w:top w:val="nil"/>
              <w:left w:val="nil"/>
              <w:bottom w:val="nil"/>
              <w:right w:val="nil"/>
            </w:tcBorders>
            <w:vAlign w:val="center"/>
          </w:tcPr>
          <w:p w14:paraId="0ED186D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Bioinformatic </w:t>
            </w:r>
            <w:proofErr w:type="spellStart"/>
            <w:r w:rsidRPr="00D578DF">
              <w:rPr>
                <w:rFonts w:ascii="Times New Roman" w:hAnsi="Times New Roman" w:cs="Times New Roman"/>
                <w:sz w:val="20"/>
                <w:szCs w:val="20"/>
              </w:rPr>
              <w:t>rigour</w:t>
            </w:r>
            <w:proofErr w:type="spellEnd"/>
            <w:r w:rsidRPr="00D578DF">
              <w:rPr>
                <w:rFonts w:ascii="Times New Roman" w:hAnsi="Times New Roman" w:cs="Times New Roman"/>
                <w:sz w:val="20"/>
                <w:szCs w:val="20"/>
              </w:rPr>
              <w:t>; IHC validation of top candidates; immune deconvolution method (CIBERSORT)</w:t>
            </w:r>
          </w:p>
        </w:tc>
        <w:tc>
          <w:tcPr>
            <w:tcW w:w="2592" w:type="dxa"/>
            <w:tcBorders>
              <w:top w:val="nil"/>
              <w:left w:val="nil"/>
              <w:bottom w:val="nil"/>
              <w:right w:val="nil"/>
            </w:tcBorders>
            <w:vAlign w:val="center"/>
          </w:tcPr>
          <w:p w14:paraId="172F40A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0AD0DA6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E8B6E53" w14:textId="77777777">
        <w:trPr>
          <w:jc w:val="center"/>
        </w:trPr>
        <w:tc>
          <w:tcPr>
            <w:tcW w:w="2592" w:type="dxa"/>
            <w:tcBorders>
              <w:top w:val="nil"/>
              <w:left w:val="nil"/>
              <w:bottom w:val="nil"/>
              <w:right w:val="nil"/>
            </w:tcBorders>
            <w:vAlign w:val="center"/>
          </w:tcPr>
          <w:p w14:paraId="7EA447A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Hakimi et al., 2025 [15]</w:t>
            </w:r>
          </w:p>
        </w:tc>
        <w:tc>
          <w:tcPr>
            <w:tcW w:w="2592" w:type="dxa"/>
            <w:tcBorders>
              <w:top w:val="nil"/>
              <w:left w:val="nil"/>
              <w:bottom w:val="nil"/>
              <w:right w:val="nil"/>
            </w:tcBorders>
            <w:vAlign w:val="center"/>
          </w:tcPr>
          <w:p w14:paraId="7F5EB53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QA</w:t>
            </w:r>
          </w:p>
        </w:tc>
        <w:tc>
          <w:tcPr>
            <w:tcW w:w="2592" w:type="dxa"/>
            <w:tcBorders>
              <w:top w:val="nil"/>
              <w:left w:val="nil"/>
              <w:bottom w:val="nil"/>
              <w:right w:val="nil"/>
            </w:tcBorders>
            <w:vAlign w:val="center"/>
          </w:tcPr>
          <w:p w14:paraId="6F5A616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Cross-disease gene overlap methodology; network construction (PPI); hub gene selection criteria; enrichment analysis</w:t>
            </w:r>
          </w:p>
        </w:tc>
        <w:tc>
          <w:tcPr>
            <w:tcW w:w="2592" w:type="dxa"/>
            <w:tcBorders>
              <w:top w:val="nil"/>
              <w:left w:val="nil"/>
              <w:bottom w:val="nil"/>
              <w:right w:val="nil"/>
            </w:tcBorders>
            <w:vAlign w:val="center"/>
          </w:tcPr>
          <w:p w14:paraId="7956D02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127D5DF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49F35890" w14:textId="77777777">
        <w:trPr>
          <w:jc w:val="center"/>
        </w:trPr>
        <w:tc>
          <w:tcPr>
            <w:tcW w:w="2592" w:type="dxa"/>
            <w:tcBorders>
              <w:top w:val="nil"/>
              <w:left w:val="nil"/>
              <w:bottom w:val="nil"/>
              <w:right w:val="nil"/>
            </w:tcBorders>
            <w:vAlign w:val="center"/>
          </w:tcPr>
          <w:p w14:paraId="761467ED"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Abuhassan</w:t>
            </w:r>
            <w:proofErr w:type="spellEnd"/>
            <w:r w:rsidRPr="00D578DF">
              <w:rPr>
                <w:rFonts w:ascii="Times New Roman" w:hAnsi="Times New Roman" w:cs="Times New Roman"/>
                <w:sz w:val="20"/>
                <w:szCs w:val="20"/>
              </w:rPr>
              <w:t xml:space="preserve"> Q et al., 2026 [10]</w:t>
            </w:r>
          </w:p>
        </w:tc>
        <w:tc>
          <w:tcPr>
            <w:tcW w:w="2592" w:type="dxa"/>
            <w:tcBorders>
              <w:top w:val="nil"/>
              <w:left w:val="nil"/>
              <w:bottom w:val="nil"/>
              <w:right w:val="nil"/>
            </w:tcBorders>
            <w:vAlign w:val="center"/>
          </w:tcPr>
          <w:p w14:paraId="07E3E005" w14:textId="62F1D9A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4C15C91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Literature currency; mechanistic integration across domains; therapeutic implications discussed; bias acknowledged</w:t>
            </w:r>
          </w:p>
        </w:tc>
        <w:tc>
          <w:tcPr>
            <w:tcW w:w="2592" w:type="dxa"/>
            <w:tcBorders>
              <w:top w:val="nil"/>
              <w:left w:val="nil"/>
              <w:bottom w:val="nil"/>
              <w:right w:val="nil"/>
            </w:tcBorders>
            <w:vAlign w:val="center"/>
          </w:tcPr>
          <w:p w14:paraId="7AD0C78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368290A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5493DB72" w14:textId="77777777">
        <w:trPr>
          <w:jc w:val="center"/>
        </w:trPr>
        <w:tc>
          <w:tcPr>
            <w:tcW w:w="2592" w:type="dxa"/>
            <w:tcBorders>
              <w:top w:val="nil"/>
              <w:left w:val="nil"/>
              <w:bottom w:val="nil"/>
              <w:right w:val="nil"/>
            </w:tcBorders>
            <w:vAlign w:val="center"/>
          </w:tcPr>
          <w:p w14:paraId="1799719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Chettiar V et al., 2024 [17]</w:t>
            </w:r>
          </w:p>
        </w:tc>
        <w:tc>
          <w:tcPr>
            <w:tcW w:w="2592" w:type="dxa"/>
            <w:tcBorders>
              <w:top w:val="nil"/>
              <w:left w:val="nil"/>
              <w:bottom w:val="nil"/>
              <w:right w:val="nil"/>
            </w:tcBorders>
            <w:vAlign w:val="center"/>
          </w:tcPr>
          <w:p w14:paraId="74A8840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transcriptomic meta-analysis QA</w:t>
            </w:r>
          </w:p>
        </w:tc>
        <w:tc>
          <w:tcPr>
            <w:tcW w:w="2592" w:type="dxa"/>
            <w:tcBorders>
              <w:top w:val="nil"/>
              <w:left w:val="nil"/>
              <w:bottom w:val="nil"/>
              <w:right w:val="nil"/>
            </w:tcBorders>
            <w:vAlign w:val="center"/>
          </w:tcPr>
          <w:p w14:paraId="7FDED5C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Study selection/integration; cross-study statistical robustness; meta-signature reproducibility; pathway/network analysis; independent </w:t>
            </w:r>
            <w:proofErr w:type="spellStart"/>
            <w:r w:rsidRPr="00D578DF">
              <w:rPr>
                <w:rFonts w:ascii="Times New Roman" w:hAnsi="Times New Roman" w:cs="Times New Roman"/>
                <w:sz w:val="20"/>
                <w:szCs w:val="20"/>
              </w:rPr>
              <w:t>qRT</w:t>
            </w:r>
            <w:proofErr w:type="spellEnd"/>
            <w:r w:rsidRPr="00D578DF">
              <w:rPr>
                <w:rFonts w:ascii="Times New Roman" w:hAnsi="Times New Roman" w:cs="Times New Roman"/>
                <w:sz w:val="20"/>
                <w:szCs w:val="20"/>
              </w:rPr>
              <w:t>-PCR validation; heterogeneity and platform limitations</w:t>
            </w:r>
          </w:p>
        </w:tc>
        <w:tc>
          <w:tcPr>
            <w:tcW w:w="2592" w:type="dxa"/>
            <w:tcBorders>
              <w:top w:val="nil"/>
              <w:left w:val="nil"/>
              <w:bottom w:val="nil"/>
              <w:right w:val="nil"/>
            </w:tcBorders>
            <w:vAlign w:val="center"/>
          </w:tcPr>
          <w:p w14:paraId="22BBA18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1330DCD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422C5E0C" w14:textId="77777777">
        <w:trPr>
          <w:jc w:val="center"/>
        </w:trPr>
        <w:tc>
          <w:tcPr>
            <w:tcW w:w="2592" w:type="dxa"/>
            <w:tcBorders>
              <w:top w:val="nil"/>
              <w:left w:val="nil"/>
              <w:bottom w:val="nil"/>
              <w:right w:val="nil"/>
            </w:tcBorders>
            <w:vAlign w:val="center"/>
          </w:tcPr>
          <w:p w14:paraId="475693F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Liu Z et al., 2024 [16]</w:t>
            </w:r>
          </w:p>
        </w:tc>
        <w:tc>
          <w:tcPr>
            <w:tcW w:w="2592" w:type="dxa"/>
            <w:tcBorders>
              <w:top w:val="nil"/>
              <w:left w:val="nil"/>
              <w:bottom w:val="nil"/>
              <w:right w:val="nil"/>
            </w:tcBorders>
            <w:vAlign w:val="center"/>
          </w:tcPr>
          <w:p w14:paraId="5F77EFC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 NOS</w:t>
            </w:r>
          </w:p>
        </w:tc>
        <w:tc>
          <w:tcPr>
            <w:tcW w:w="2592" w:type="dxa"/>
            <w:tcBorders>
              <w:top w:val="nil"/>
              <w:left w:val="nil"/>
              <w:bottom w:val="nil"/>
              <w:right w:val="nil"/>
            </w:tcBorders>
            <w:vAlign w:val="center"/>
          </w:tcPr>
          <w:p w14:paraId="17369F3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Multi-dataset preprocessing; WGCNA/PPI hub-gene selection; immune deconvolution; ROC analysis; independent RIF/control </w:t>
            </w:r>
            <w:proofErr w:type="spellStart"/>
            <w:r w:rsidRPr="00D578DF">
              <w:rPr>
                <w:rFonts w:ascii="Times New Roman" w:hAnsi="Times New Roman" w:cs="Times New Roman"/>
                <w:sz w:val="20"/>
                <w:szCs w:val="20"/>
              </w:rPr>
              <w:t>qRT</w:t>
            </w:r>
            <w:proofErr w:type="spellEnd"/>
            <w:r w:rsidRPr="00D578DF">
              <w:rPr>
                <w:rFonts w:ascii="Times New Roman" w:hAnsi="Times New Roman" w:cs="Times New Roman"/>
                <w:sz w:val="20"/>
                <w:szCs w:val="20"/>
              </w:rPr>
              <w:t>-PCR validation; heterogeneity and protein-level validation</w:t>
            </w:r>
          </w:p>
        </w:tc>
        <w:tc>
          <w:tcPr>
            <w:tcW w:w="2592" w:type="dxa"/>
            <w:tcBorders>
              <w:top w:val="nil"/>
              <w:left w:val="nil"/>
              <w:bottom w:val="nil"/>
              <w:right w:val="nil"/>
            </w:tcBorders>
            <w:vAlign w:val="center"/>
          </w:tcPr>
          <w:p w14:paraId="258655A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2D9181C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2ECDDA5" w14:textId="77777777">
        <w:trPr>
          <w:jc w:val="center"/>
        </w:trPr>
        <w:tc>
          <w:tcPr>
            <w:tcW w:w="2592" w:type="dxa"/>
            <w:tcBorders>
              <w:top w:val="nil"/>
              <w:left w:val="nil"/>
              <w:bottom w:val="nil"/>
              <w:right w:val="nil"/>
            </w:tcBorders>
            <w:vAlign w:val="center"/>
          </w:tcPr>
          <w:p w14:paraId="3B20D96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Lai ZZ et al., 2023 [13]</w:t>
            </w:r>
          </w:p>
        </w:tc>
        <w:tc>
          <w:tcPr>
            <w:tcW w:w="2592" w:type="dxa"/>
            <w:tcBorders>
              <w:top w:val="nil"/>
              <w:left w:val="nil"/>
              <w:bottom w:val="nil"/>
              <w:right w:val="nil"/>
            </w:tcBorders>
            <w:vAlign w:val="center"/>
          </w:tcPr>
          <w:p w14:paraId="76407B6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QA</w:t>
            </w:r>
          </w:p>
        </w:tc>
        <w:tc>
          <w:tcPr>
            <w:tcW w:w="2592" w:type="dxa"/>
            <w:tcBorders>
              <w:top w:val="nil"/>
              <w:left w:val="nil"/>
              <w:bottom w:val="nil"/>
              <w:right w:val="nil"/>
            </w:tcBorders>
            <w:vAlign w:val="center"/>
          </w:tcPr>
          <w:p w14:paraId="22CC54A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Dataset selection; differential expression method; GSEA; immune infiltration (TIMER/CIBERSORT)</w:t>
            </w:r>
          </w:p>
        </w:tc>
        <w:tc>
          <w:tcPr>
            <w:tcW w:w="2592" w:type="dxa"/>
            <w:tcBorders>
              <w:top w:val="nil"/>
              <w:left w:val="nil"/>
              <w:bottom w:val="nil"/>
              <w:right w:val="nil"/>
            </w:tcBorders>
            <w:vAlign w:val="center"/>
          </w:tcPr>
          <w:p w14:paraId="13D9345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0EBA7A2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2F100DA3" w14:textId="77777777">
        <w:trPr>
          <w:jc w:val="center"/>
        </w:trPr>
        <w:tc>
          <w:tcPr>
            <w:tcW w:w="2592" w:type="dxa"/>
            <w:tcBorders>
              <w:top w:val="nil"/>
              <w:left w:val="nil"/>
              <w:bottom w:val="nil"/>
              <w:right w:val="nil"/>
            </w:tcBorders>
            <w:vAlign w:val="center"/>
          </w:tcPr>
          <w:p w14:paraId="73FFD49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Lai ZZ et al., 2023 [12]</w:t>
            </w:r>
          </w:p>
        </w:tc>
        <w:tc>
          <w:tcPr>
            <w:tcW w:w="2592" w:type="dxa"/>
            <w:tcBorders>
              <w:top w:val="nil"/>
              <w:left w:val="nil"/>
              <w:bottom w:val="nil"/>
              <w:right w:val="nil"/>
            </w:tcBorders>
            <w:vAlign w:val="center"/>
          </w:tcPr>
          <w:p w14:paraId="388C646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QA</w:t>
            </w:r>
          </w:p>
        </w:tc>
        <w:tc>
          <w:tcPr>
            <w:tcW w:w="2592" w:type="dxa"/>
            <w:tcBorders>
              <w:top w:val="nil"/>
              <w:left w:val="nil"/>
              <w:bottom w:val="nil"/>
              <w:right w:val="nil"/>
            </w:tcBorders>
            <w:vAlign w:val="center"/>
          </w:tcPr>
          <w:p w14:paraId="7CF577E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Immune deconvolution quality; marker specificity; pathway enrichment; reproducibility</w:t>
            </w:r>
          </w:p>
        </w:tc>
        <w:tc>
          <w:tcPr>
            <w:tcW w:w="2592" w:type="dxa"/>
            <w:tcBorders>
              <w:top w:val="nil"/>
              <w:left w:val="nil"/>
              <w:bottom w:val="nil"/>
              <w:right w:val="nil"/>
            </w:tcBorders>
            <w:vAlign w:val="center"/>
          </w:tcPr>
          <w:p w14:paraId="7005854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1ED6BCA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0CC0E9C5" w14:textId="77777777">
        <w:trPr>
          <w:jc w:val="center"/>
        </w:trPr>
        <w:tc>
          <w:tcPr>
            <w:tcW w:w="2592" w:type="dxa"/>
            <w:tcBorders>
              <w:top w:val="nil"/>
              <w:left w:val="nil"/>
              <w:bottom w:val="nil"/>
              <w:right w:val="nil"/>
            </w:tcBorders>
            <w:vAlign w:val="center"/>
          </w:tcPr>
          <w:p w14:paraId="15E7FE2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Pathare AD et al., 2020 [36]</w:t>
            </w:r>
          </w:p>
        </w:tc>
        <w:tc>
          <w:tcPr>
            <w:tcW w:w="2592" w:type="dxa"/>
            <w:tcBorders>
              <w:top w:val="nil"/>
              <w:left w:val="nil"/>
              <w:bottom w:val="nil"/>
              <w:right w:val="nil"/>
            </w:tcBorders>
            <w:vAlign w:val="center"/>
          </w:tcPr>
          <w:p w14:paraId="000F0DF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5C98969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Selection/comparability; genome-wide methylation/expression methodology; multiple-testing/statistical analysis; methylation-expression correlation; very small cohort</w:t>
            </w:r>
          </w:p>
        </w:tc>
        <w:tc>
          <w:tcPr>
            <w:tcW w:w="2592" w:type="dxa"/>
            <w:tcBorders>
              <w:top w:val="nil"/>
              <w:left w:val="nil"/>
              <w:bottom w:val="nil"/>
              <w:right w:val="nil"/>
            </w:tcBorders>
            <w:vAlign w:val="center"/>
          </w:tcPr>
          <w:p w14:paraId="64D656C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0DCD018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4B40C9E9" w14:textId="77777777">
        <w:trPr>
          <w:jc w:val="center"/>
        </w:trPr>
        <w:tc>
          <w:tcPr>
            <w:tcW w:w="2592" w:type="dxa"/>
            <w:tcBorders>
              <w:top w:val="nil"/>
              <w:left w:val="nil"/>
              <w:bottom w:val="nil"/>
              <w:right w:val="nil"/>
            </w:tcBorders>
            <w:vAlign w:val="center"/>
          </w:tcPr>
          <w:p w14:paraId="5FD4EDD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Xue P et al., 2021 [40]</w:t>
            </w:r>
          </w:p>
        </w:tc>
        <w:tc>
          <w:tcPr>
            <w:tcW w:w="2592" w:type="dxa"/>
            <w:tcBorders>
              <w:top w:val="nil"/>
              <w:left w:val="nil"/>
              <w:bottom w:val="nil"/>
              <w:right w:val="nil"/>
            </w:tcBorders>
            <w:vAlign w:val="center"/>
          </w:tcPr>
          <w:p w14:paraId="06B5A26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Functional QA</w:t>
            </w:r>
          </w:p>
        </w:tc>
        <w:tc>
          <w:tcPr>
            <w:tcW w:w="2592" w:type="dxa"/>
            <w:tcBorders>
              <w:top w:val="nil"/>
              <w:left w:val="nil"/>
              <w:bottom w:val="nil"/>
              <w:right w:val="nil"/>
            </w:tcBorders>
            <w:vAlign w:val="center"/>
          </w:tcPr>
          <w:p w14:paraId="0123497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Mechanistic clarity (gain/loss of function); rescue experiments; in vivo confirmation; HOXA10 pathway validation</w:t>
            </w:r>
          </w:p>
        </w:tc>
        <w:tc>
          <w:tcPr>
            <w:tcW w:w="2592" w:type="dxa"/>
            <w:tcBorders>
              <w:top w:val="nil"/>
              <w:left w:val="nil"/>
              <w:bottom w:val="nil"/>
              <w:right w:val="nil"/>
            </w:tcBorders>
            <w:vAlign w:val="center"/>
          </w:tcPr>
          <w:p w14:paraId="41C5449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47E5858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5CB1369" w14:textId="77777777">
        <w:trPr>
          <w:jc w:val="center"/>
        </w:trPr>
        <w:tc>
          <w:tcPr>
            <w:tcW w:w="2592" w:type="dxa"/>
            <w:tcBorders>
              <w:top w:val="nil"/>
              <w:left w:val="nil"/>
              <w:bottom w:val="nil"/>
              <w:right w:val="nil"/>
            </w:tcBorders>
            <w:vAlign w:val="center"/>
          </w:tcPr>
          <w:p w14:paraId="0F8ED42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Zhao F et al., 2021 [44]</w:t>
            </w:r>
          </w:p>
        </w:tc>
        <w:tc>
          <w:tcPr>
            <w:tcW w:w="2592" w:type="dxa"/>
            <w:tcBorders>
              <w:top w:val="nil"/>
              <w:left w:val="nil"/>
              <w:bottom w:val="nil"/>
              <w:right w:val="nil"/>
            </w:tcBorders>
            <w:vAlign w:val="center"/>
          </w:tcPr>
          <w:p w14:paraId="756C995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Functional QA</w:t>
            </w:r>
          </w:p>
        </w:tc>
        <w:tc>
          <w:tcPr>
            <w:tcW w:w="2592" w:type="dxa"/>
            <w:tcBorders>
              <w:top w:val="nil"/>
              <w:left w:val="nil"/>
              <w:bottom w:val="nil"/>
              <w:right w:val="nil"/>
            </w:tcBorders>
            <w:vAlign w:val="center"/>
          </w:tcPr>
          <w:p w14:paraId="624407B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RIF/control sampling; circRNA-miRNA-HOXA10 mechanism; dual-luciferase validation; proliferation/</w:t>
            </w:r>
            <w:proofErr w:type="spellStart"/>
            <w:r w:rsidRPr="00D578DF">
              <w:rPr>
                <w:rFonts w:ascii="Times New Roman" w:hAnsi="Times New Roman" w:cs="Times New Roman"/>
                <w:sz w:val="20"/>
                <w:szCs w:val="20"/>
              </w:rPr>
              <w:t>decidualisation</w:t>
            </w:r>
            <w:proofErr w:type="spellEnd"/>
            <w:r w:rsidRPr="00D578DF">
              <w:rPr>
                <w:rFonts w:ascii="Times New Roman" w:hAnsi="Times New Roman" w:cs="Times New Roman"/>
                <w:sz w:val="20"/>
                <w:szCs w:val="20"/>
              </w:rPr>
              <w:t xml:space="preserve"> functional assays</w:t>
            </w:r>
          </w:p>
        </w:tc>
        <w:tc>
          <w:tcPr>
            <w:tcW w:w="2592" w:type="dxa"/>
            <w:tcBorders>
              <w:top w:val="nil"/>
              <w:left w:val="nil"/>
              <w:bottom w:val="nil"/>
              <w:right w:val="nil"/>
            </w:tcBorders>
            <w:vAlign w:val="center"/>
          </w:tcPr>
          <w:p w14:paraId="66E887E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01B2073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EB737B3" w14:textId="77777777">
        <w:trPr>
          <w:jc w:val="center"/>
        </w:trPr>
        <w:tc>
          <w:tcPr>
            <w:tcW w:w="2592" w:type="dxa"/>
            <w:tcBorders>
              <w:top w:val="nil"/>
              <w:left w:val="nil"/>
              <w:bottom w:val="nil"/>
              <w:right w:val="nil"/>
            </w:tcBorders>
            <w:vAlign w:val="center"/>
          </w:tcPr>
          <w:p w14:paraId="7AB45B7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Zhao H et al., 2022 [41]</w:t>
            </w:r>
          </w:p>
        </w:tc>
        <w:tc>
          <w:tcPr>
            <w:tcW w:w="2592" w:type="dxa"/>
            <w:tcBorders>
              <w:top w:val="nil"/>
              <w:left w:val="nil"/>
              <w:bottom w:val="nil"/>
              <w:right w:val="nil"/>
            </w:tcBorders>
            <w:vAlign w:val="center"/>
          </w:tcPr>
          <w:p w14:paraId="7426D20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Functional + NOS</w:t>
            </w:r>
          </w:p>
        </w:tc>
        <w:tc>
          <w:tcPr>
            <w:tcW w:w="2592" w:type="dxa"/>
            <w:tcBorders>
              <w:top w:val="nil"/>
              <w:left w:val="nil"/>
              <w:bottom w:val="nil"/>
              <w:right w:val="nil"/>
            </w:tcBorders>
            <w:vAlign w:val="center"/>
          </w:tcPr>
          <w:p w14:paraId="10544E0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Human RIF confirmation; PTBP1 interaction; PKM1/2 splicing mechanism; knockdown/overexpression and rescue experiments</w:t>
            </w:r>
          </w:p>
        </w:tc>
        <w:tc>
          <w:tcPr>
            <w:tcW w:w="2592" w:type="dxa"/>
            <w:tcBorders>
              <w:top w:val="nil"/>
              <w:left w:val="nil"/>
              <w:bottom w:val="nil"/>
              <w:right w:val="nil"/>
            </w:tcBorders>
            <w:vAlign w:val="center"/>
          </w:tcPr>
          <w:p w14:paraId="0D433E2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67B3906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4075696" w14:textId="77777777">
        <w:trPr>
          <w:jc w:val="center"/>
        </w:trPr>
        <w:tc>
          <w:tcPr>
            <w:tcW w:w="2592" w:type="dxa"/>
            <w:tcBorders>
              <w:top w:val="nil"/>
              <w:left w:val="nil"/>
              <w:bottom w:val="nil"/>
              <w:right w:val="nil"/>
            </w:tcBorders>
            <w:vAlign w:val="center"/>
          </w:tcPr>
          <w:p w14:paraId="05E0B30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Adamczyk M et al., 2022 [39]</w:t>
            </w:r>
          </w:p>
        </w:tc>
        <w:tc>
          <w:tcPr>
            <w:tcW w:w="2592" w:type="dxa"/>
            <w:tcBorders>
              <w:top w:val="nil"/>
              <w:left w:val="nil"/>
              <w:bottom w:val="nil"/>
              <w:right w:val="nil"/>
            </w:tcBorders>
            <w:vAlign w:val="center"/>
          </w:tcPr>
          <w:p w14:paraId="18410E0E" w14:textId="3629215E"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12C4E1E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Scope definition; search breadth; mechanistic synthesis; clinical translation discussed</w:t>
            </w:r>
          </w:p>
        </w:tc>
        <w:tc>
          <w:tcPr>
            <w:tcW w:w="2592" w:type="dxa"/>
            <w:tcBorders>
              <w:top w:val="nil"/>
              <w:left w:val="nil"/>
              <w:bottom w:val="nil"/>
              <w:right w:val="nil"/>
            </w:tcBorders>
            <w:vAlign w:val="center"/>
          </w:tcPr>
          <w:p w14:paraId="261AA12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66A506E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343C44B6" w14:textId="77777777">
        <w:trPr>
          <w:jc w:val="center"/>
        </w:trPr>
        <w:tc>
          <w:tcPr>
            <w:tcW w:w="2592" w:type="dxa"/>
            <w:tcBorders>
              <w:top w:val="nil"/>
              <w:left w:val="nil"/>
              <w:bottom w:val="nil"/>
              <w:right w:val="nil"/>
            </w:tcBorders>
            <w:vAlign w:val="center"/>
          </w:tcPr>
          <w:p w14:paraId="0891A3F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Fu H et al., 2022 [42]</w:t>
            </w:r>
          </w:p>
        </w:tc>
        <w:tc>
          <w:tcPr>
            <w:tcW w:w="2592" w:type="dxa"/>
            <w:tcBorders>
              <w:top w:val="nil"/>
              <w:left w:val="nil"/>
              <w:bottom w:val="nil"/>
              <w:right w:val="nil"/>
            </w:tcBorders>
            <w:vAlign w:val="center"/>
          </w:tcPr>
          <w:p w14:paraId="564B1A2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Functional QA</w:t>
            </w:r>
          </w:p>
        </w:tc>
        <w:tc>
          <w:tcPr>
            <w:tcW w:w="2592" w:type="dxa"/>
            <w:tcBorders>
              <w:top w:val="nil"/>
              <w:left w:val="nil"/>
              <w:bottom w:val="nil"/>
              <w:right w:val="nil"/>
            </w:tcBorders>
            <w:vAlign w:val="center"/>
          </w:tcPr>
          <w:p w14:paraId="1A3766E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Novel target (TOP2A) identification; NF-</w:t>
            </w:r>
            <w:proofErr w:type="spellStart"/>
            <w:r w:rsidRPr="00D578DF">
              <w:rPr>
                <w:rFonts w:ascii="Times New Roman" w:hAnsi="Times New Roman" w:cs="Times New Roman"/>
                <w:sz w:val="20"/>
                <w:szCs w:val="20"/>
              </w:rPr>
              <w:t>κB</w:t>
            </w:r>
            <w:proofErr w:type="spellEnd"/>
            <w:r w:rsidRPr="00D578DF">
              <w:rPr>
                <w:rFonts w:ascii="Times New Roman" w:hAnsi="Times New Roman" w:cs="Times New Roman"/>
                <w:sz w:val="20"/>
                <w:szCs w:val="20"/>
              </w:rPr>
              <w:t xml:space="preserve"> pathway dissection; siRNA </w:t>
            </w:r>
            <w:r w:rsidRPr="00D578DF">
              <w:rPr>
                <w:rFonts w:ascii="Times New Roman" w:hAnsi="Times New Roman" w:cs="Times New Roman"/>
                <w:sz w:val="20"/>
                <w:szCs w:val="20"/>
              </w:rPr>
              <w:lastRenderedPageBreak/>
              <w:t>knockdown validation; clinical sample IHC</w:t>
            </w:r>
          </w:p>
        </w:tc>
        <w:tc>
          <w:tcPr>
            <w:tcW w:w="2592" w:type="dxa"/>
            <w:tcBorders>
              <w:top w:val="nil"/>
              <w:left w:val="nil"/>
              <w:bottom w:val="nil"/>
              <w:right w:val="nil"/>
            </w:tcBorders>
            <w:vAlign w:val="center"/>
          </w:tcPr>
          <w:p w14:paraId="5A741EE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Level III</w:t>
            </w:r>
          </w:p>
        </w:tc>
        <w:tc>
          <w:tcPr>
            <w:tcW w:w="2592" w:type="dxa"/>
            <w:tcBorders>
              <w:top w:val="nil"/>
              <w:left w:val="nil"/>
              <w:bottom w:val="nil"/>
              <w:right w:val="nil"/>
            </w:tcBorders>
            <w:vAlign w:val="center"/>
          </w:tcPr>
          <w:p w14:paraId="33D2ACC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4DBA5E32" w14:textId="77777777">
        <w:trPr>
          <w:jc w:val="center"/>
        </w:trPr>
        <w:tc>
          <w:tcPr>
            <w:tcW w:w="2592" w:type="dxa"/>
            <w:tcBorders>
              <w:top w:val="nil"/>
              <w:left w:val="nil"/>
              <w:bottom w:val="nil"/>
              <w:right w:val="nil"/>
            </w:tcBorders>
            <w:vAlign w:val="center"/>
          </w:tcPr>
          <w:p w14:paraId="0724C6D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Tian Y et al., 2023 [52]</w:t>
            </w:r>
          </w:p>
        </w:tc>
        <w:tc>
          <w:tcPr>
            <w:tcW w:w="2592" w:type="dxa"/>
            <w:tcBorders>
              <w:top w:val="nil"/>
              <w:left w:val="nil"/>
              <w:bottom w:val="nil"/>
              <w:right w:val="nil"/>
            </w:tcBorders>
            <w:vAlign w:val="center"/>
          </w:tcPr>
          <w:p w14:paraId="28ED264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Functional QA</w:t>
            </w:r>
          </w:p>
        </w:tc>
        <w:tc>
          <w:tcPr>
            <w:tcW w:w="2592" w:type="dxa"/>
            <w:tcBorders>
              <w:top w:val="nil"/>
              <w:left w:val="nil"/>
              <w:bottom w:val="nil"/>
              <w:right w:val="nil"/>
            </w:tcBorders>
            <w:vAlign w:val="center"/>
          </w:tcPr>
          <w:p w14:paraId="2CE3765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Controlled design; RNA-seq platform; before-after biopsy comparison; clinical intervention context</w:t>
            </w:r>
          </w:p>
        </w:tc>
        <w:tc>
          <w:tcPr>
            <w:tcW w:w="2592" w:type="dxa"/>
            <w:tcBorders>
              <w:top w:val="nil"/>
              <w:left w:val="nil"/>
              <w:bottom w:val="nil"/>
              <w:right w:val="nil"/>
            </w:tcBorders>
            <w:vAlign w:val="center"/>
          </w:tcPr>
          <w:p w14:paraId="2D40F3E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2FD9B32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379DFAAC" w14:textId="77777777">
        <w:trPr>
          <w:jc w:val="center"/>
        </w:trPr>
        <w:tc>
          <w:tcPr>
            <w:tcW w:w="2592" w:type="dxa"/>
            <w:tcBorders>
              <w:top w:val="nil"/>
              <w:left w:val="nil"/>
              <w:bottom w:val="nil"/>
              <w:right w:val="nil"/>
            </w:tcBorders>
            <w:vAlign w:val="center"/>
          </w:tcPr>
          <w:p w14:paraId="01BC702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Wang A et al., 2024 [45]</w:t>
            </w:r>
          </w:p>
        </w:tc>
        <w:tc>
          <w:tcPr>
            <w:tcW w:w="2592" w:type="dxa"/>
            <w:tcBorders>
              <w:top w:val="nil"/>
              <w:left w:val="nil"/>
              <w:bottom w:val="nil"/>
              <w:right w:val="nil"/>
            </w:tcBorders>
            <w:vAlign w:val="center"/>
          </w:tcPr>
          <w:p w14:paraId="3526F5F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QA</w:t>
            </w:r>
          </w:p>
        </w:tc>
        <w:tc>
          <w:tcPr>
            <w:tcW w:w="2592" w:type="dxa"/>
            <w:tcBorders>
              <w:top w:val="nil"/>
              <w:left w:val="nil"/>
              <w:bottom w:val="nil"/>
              <w:right w:val="nil"/>
            </w:tcBorders>
            <w:vAlign w:val="center"/>
          </w:tcPr>
          <w:p w14:paraId="32B6B2E4"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ceRNA</w:t>
            </w:r>
            <w:proofErr w:type="spellEnd"/>
            <w:r w:rsidRPr="00D578DF">
              <w:rPr>
                <w:rFonts w:ascii="Times New Roman" w:hAnsi="Times New Roman" w:cs="Times New Roman"/>
                <w:sz w:val="20"/>
                <w:szCs w:val="20"/>
              </w:rPr>
              <w:t xml:space="preserve"> network construction methodology; angiogenesis gene selection; hub </w:t>
            </w:r>
            <w:proofErr w:type="spellStart"/>
            <w:r w:rsidRPr="00D578DF">
              <w:rPr>
                <w:rFonts w:ascii="Times New Roman" w:hAnsi="Times New Roman" w:cs="Times New Roman"/>
                <w:sz w:val="20"/>
                <w:szCs w:val="20"/>
              </w:rPr>
              <w:t>circRNA</w:t>
            </w:r>
            <w:proofErr w:type="spellEnd"/>
            <w:r w:rsidRPr="00D578DF">
              <w:rPr>
                <w:rFonts w:ascii="Times New Roman" w:hAnsi="Times New Roman" w:cs="Times New Roman"/>
                <w:sz w:val="20"/>
                <w:szCs w:val="20"/>
              </w:rPr>
              <w:t xml:space="preserve"> identification; experimental validation presence</w:t>
            </w:r>
          </w:p>
        </w:tc>
        <w:tc>
          <w:tcPr>
            <w:tcW w:w="2592" w:type="dxa"/>
            <w:tcBorders>
              <w:top w:val="nil"/>
              <w:left w:val="nil"/>
              <w:bottom w:val="nil"/>
              <w:right w:val="nil"/>
            </w:tcBorders>
            <w:vAlign w:val="center"/>
          </w:tcPr>
          <w:p w14:paraId="25F99B1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73C0698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132E9CBD" w14:textId="77777777">
        <w:trPr>
          <w:jc w:val="center"/>
        </w:trPr>
        <w:tc>
          <w:tcPr>
            <w:tcW w:w="2592" w:type="dxa"/>
            <w:tcBorders>
              <w:top w:val="nil"/>
              <w:left w:val="nil"/>
              <w:bottom w:val="nil"/>
              <w:right w:val="nil"/>
            </w:tcBorders>
            <w:vAlign w:val="center"/>
          </w:tcPr>
          <w:p w14:paraId="42A6780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Luo J et al., 2024 [46]</w:t>
            </w:r>
          </w:p>
        </w:tc>
        <w:tc>
          <w:tcPr>
            <w:tcW w:w="2592" w:type="dxa"/>
            <w:tcBorders>
              <w:top w:val="nil"/>
              <w:left w:val="nil"/>
              <w:bottom w:val="nil"/>
              <w:right w:val="nil"/>
            </w:tcBorders>
            <w:vAlign w:val="center"/>
          </w:tcPr>
          <w:p w14:paraId="0757220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QA</w:t>
            </w:r>
          </w:p>
        </w:tc>
        <w:tc>
          <w:tcPr>
            <w:tcW w:w="2592" w:type="dxa"/>
            <w:tcBorders>
              <w:top w:val="nil"/>
              <w:left w:val="nil"/>
              <w:bottom w:val="nil"/>
              <w:right w:val="nil"/>
            </w:tcBorders>
            <w:vAlign w:val="center"/>
          </w:tcPr>
          <w:p w14:paraId="34C006B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TF-miRNA-mRNA tripartite network; </w:t>
            </w:r>
            <w:proofErr w:type="spellStart"/>
            <w:r w:rsidRPr="00D578DF">
              <w:rPr>
                <w:rFonts w:ascii="Times New Roman" w:hAnsi="Times New Roman" w:cs="Times New Roman"/>
                <w:sz w:val="20"/>
                <w:szCs w:val="20"/>
              </w:rPr>
              <w:t>ChIP</w:t>
            </w:r>
            <w:proofErr w:type="spellEnd"/>
            <w:r w:rsidRPr="00D578DF">
              <w:rPr>
                <w:rFonts w:ascii="Times New Roman" w:hAnsi="Times New Roman" w:cs="Times New Roman"/>
                <w:sz w:val="20"/>
                <w:szCs w:val="20"/>
              </w:rPr>
              <w:t>-seq data integration; hub node selection criteria; pathway enrichment</w:t>
            </w:r>
          </w:p>
        </w:tc>
        <w:tc>
          <w:tcPr>
            <w:tcW w:w="2592" w:type="dxa"/>
            <w:tcBorders>
              <w:top w:val="nil"/>
              <w:left w:val="nil"/>
              <w:bottom w:val="nil"/>
              <w:right w:val="nil"/>
            </w:tcBorders>
            <w:vAlign w:val="center"/>
          </w:tcPr>
          <w:p w14:paraId="45CF1EA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35D6F98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24A3E05A" w14:textId="77777777">
        <w:trPr>
          <w:jc w:val="center"/>
        </w:trPr>
        <w:tc>
          <w:tcPr>
            <w:tcW w:w="2592" w:type="dxa"/>
            <w:tcBorders>
              <w:top w:val="nil"/>
              <w:left w:val="nil"/>
              <w:bottom w:val="nil"/>
              <w:right w:val="nil"/>
            </w:tcBorders>
            <w:vAlign w:val="center"/>
          </w:tcPr>
          <w:p w14:paraId="7E3FAE16"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Kudlay</w:t>
            </w:r>
            <w:proofErr w:type="spellEnd"/>
            <w:r w:rsidRPr="00D578DF">
              <w:rPr>
                <w:rFonts w:ascii="Times New Roman" w:hAnsi="Times New Roman" w:cs="Times New Roman"/>
                <w:sz w:val="20"/>
                <w:szCs w:val="20"/>
              </w:rPr>
              <w:t xml:space="preserve"> D et al., 2025 [37]</w:t>
            </w:r>
          </w:p>
        </w:tc>
        <w:tc>
          <w:tcPr>
            <w:tcW w:w="2592" w:type="dxa"/>
            <w:tcBorders>
              <w:top w:val="nil"/>
              <w:left w:val="nil"/>
              <w:bottom w:val="nil"/>
              <w:right w:val="nil"/>
            </w:tcBorders>
            <w:vAlign w:val="center"/>
          </w:tcPr>
          <w:p w14:paraId="6C06815E" w14:textId="070DC41C"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509DEB4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Mechanistic depth on HOXA locus; clinical ART context; therapeutic implications; literature currency</w:t>
            </w:r>
          </w:p>
        </w:tc>
        <w:tc>
          <w:tcPr>
            <w:tcW w:w="2592" w:type="dxa"/>
            <w:tcBorders>
              <w:top w:val="nil"/>
              <w:left w:val="nil"/>
              <w:bottom w:val="nil"/>
              <w:right w:val="nil"/>
            </w:tcBorders>
            <w:vAlign w:val="center"/>
          </w:tcPr>
          <w:p w14:paraId="5557236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0AF6443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4DBC3A13" w14:textId="77777777">
        <w:trPr>
          <w:jc w:val="center"/>
        </w:trPr>
        <w:tc>
          <w:tcPr>
            <w:tcW w:w="2592" w:type="dxa"/>
            <w:tcBorders>
              <w:top w:val="nil"/>
              <w:left w:val="nil"/>
              <w:bottom w:val="nil"/>
              <w:right w:val="nil"/>
            </w:tcBorders>
            <w:vAlign w:val="center"/>
          </w:tcPr>
          <w:p w14:paraId="3DE2A587"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Pirlog</w:t>
            </w:r>
            <w:proofErr w:type="spellEnd"/>
            <w:r w:rsidRPr="00D578DF">
              <w:rPr>
                <w:rFonts w:ascii="Times New Roman" w:hAnsi="Times New Roman" w:cs="Times New Roman"/>
                <w:sz w:val="20"/>
                <w:szCs w:val="20"/>
              </w:rPr>
              <w:t xml:space="preserve"> LM et al., 2025 [38]</w:t>
            </w:r>
          </w:p>
        </w:tc>
        <w:tc>
          <w:tcPr>
            <w:tcW w:w="2592" w:type="dxa"/>
            <w:tcBorders>
              <w:top w:val="nil"/>
              <w:left w:val="nil"/>
              <w:bottom w:val="nil"/>
              <w:right w:val="nil"/>
            </w:tcBorders>
            <w:vAlign w:val="center"/>
          </w:tcPr>
          <w:p w14:paraId="3AF4F4CD" w14:textId="379C6CFC"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62601E4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Breadth across benign endometrial disorders; HOXA pathway clarity; molecular-to-clinical translation</w:t>
            </w:r>
          </w:p>
        </w:tc>
        <w:tc>
          <w:tcPr>
            <w:tcW w:w="2592" w:type="dxa"/>
            <w:tcBorders>
              <w:top w:val="nil"/>
              <w:left w:val="nil"/>
              <w:bottom w:val="nil"/>
              <w:right w:val="nil"/>
            </w:tcBorders>
            <w:vAlign w:val="center"/>
          </w:tcPr>
          <w:p w14:paraId="1C75B64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6ADD7AC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0A93381E" w14:textId="77777777">
        <w:trPr>
          <w:jc w:val="center"/>
        </w:trPr>
        <w:tc>
          <w:tcPr>
            <w:tcW w:w="2592" w:type="dxa"/>
            <w:tcBorders>
              <w:top w:val="nil"/>
              <w:left w:val="nil"/>
              <w:bottom w:val="nil"/>
              <w:right w:val="nil"/>
            </w:tcBorders>
            <w:vAlign w:val="center"/>
          </w:tcPr>
          <w:p w14:paraId="490CC8A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Yu X et al., 2026 [43]</w:t>
            </w:r>
          </w:p>
        </w:tc>
        <w:tc>
          <w:tcPr>
            <w:tcW w:w="2592" w:type="dxa"/>
            <w:tcBorders>
              <w:top w:val="nil"/>
              <w:left w:val="nil"/>
              <w:bottom w:val="nil"/>
              <w:right w:val="nil"/>
            </w:tcBorders>
            <w:vAlign w:val="center"/>
          </w:tcPr>
          <w:p w14:paraId="0A79F7F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Functional QA</w:t>
            </w:r>
          </w:p>
        </w:tc>
        <w:tc>
          <w:tcPr>
            <w:tcW w:w="2592" w:type="dxa"/>
            <w:tcBorders>
              <w:top w:val="nil"/>
              <w:left w:val="nil"/>
              <w:bottom w:val="nil"/>
              <w:right w:val="nil"/>
            </w:tcBorders>
            <w:vAlign w:val="center"/>
          </w:tcPr>
          <w:p w14:paraId="042ACE5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Novel histone methyltransferase (SETD7) identified; FOXO1 pathway mechanistic validation; senescence markers assessed; clinical biopsy correlation</w:t>
            </w:r>
          </w:p>
        </w:tc>
        <w:tc>
          <w:tcPr>
            <w:tcW w:w="2592" w:type="dxa"/>
            <w:tcBorders>
              <w:top w:val="nil"/>
              <w:left w:val="nil"/>
              <w:bottom w:val="nil"/>
              <w:right w:val="nil"/>
            </w:tcBorders>
            <w:vAlign w:val="center"/>
          </w:tcPr>
          <w:p w14:paraId="793BCDD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06551F0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0CD3D878" w14:textId="77777777">
        <w:trPr>
          <w:jc w:val="center"/>
        </w:trPr>
        <w:tc>
          <w:tcPr>
            <w:tcW w:w="2592" w:type="dxa"/>
            <w:tcBorders>
              <w:top w:val="nil"/>
              <w:left w:val="nil"/>
              <w:bottom w:val="nil"/>
              <w:right w:val="nil"/>
            </w:tcBorders>
            <w:vAlign w:val="center"/>
          </w:tcPr>
          <w:p w14:paraId="4CDC86B4"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Marzanati</w:t>
            </w:r>
            <w:proofErr w:type="spellEnd"/>
            <w:r w:rsidRPr="00D578DF">
              <w:rPr>
                <w:rFonts w:ascii="Times New Roman" w:hAnsi="Times New Roman" w:cs="Times New Roman"/>
                <w:sz w:val="20"/>
                <w:szCs w:val="20"/>
              </w:rPr>
              <w:t xml:space="preserve"> et al., 2025 [47]</w:t>
            </w:r>
          </w:p>
        </w:tc>
        <w:tc>
          <w:tcPr>
            <w:tcW w:w="2592" w:type="dxa"/>
            <w:tcBorders>
              <w:top w:val="nil"/>
              <w:left w:val="nil"/>
              <w:bottom w:val="nil"/>
              <w:right w:val="nil"/>
            </w:tcBorders>
            <w:vAlign w:val="center"/>
          </w:tcPr>
          <w:p w14:paraId="43287CE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transcriptomic / prediction-model QA</w:t>
            </w:r>
          </w:p>
        </w:tc>
        <w:tc>
          <w:tcPr>
            <w:tcW w:w="2592" w:type="dxa"/>
            <w:tcBorders>
              <w:top w:val="nil"/>
              <w:left w:val="nil"/>
              <w:bottom w:val="nil"/>
              <w:right w:val="nil"/>
            </w:tcBorders>
            <w:vAlign w:val="center"/>
          </w:tcPr>
          <w:p w14:paraId="034BCD9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UF-EV RNA-seq quality; single-euploid-transfer cohort; WGCNA; Bayesian model </w:t>
            </w:r>
            <w:r w:rsidRPr="00D578DF">
              <w:rPr>
                <w:rFonts w:ascii="Times New Roman" w:hAnsi="Times New Roman" w:cs="Times New Roman"/>
                <w:sz w:val="20"/>
                <w:szCs w:val="20"/>
              </w:rPr>
              <w:lastRenderedPageBreak/>
              <w:t>discrimination/calibration reporting; external-validation status</w:t>
            </w:r>
          </w:p>
        </w:tc>
        <w:tc>
          <w:tcPr>
            <w:tcW w:w="2592" w:type="dxa"/>
            <w:tcBorders>
              <w:top w:val="nil"/>
              <w:left w:val="nil"/>
              <w:bottom w:val="nil"/>
              <w:right w:val="nil"/>
            </w:tcBorders>
            <w:vAlign w:val="center"/>
          </w:tcPr>
          <w:p w14:paraId="0E1B958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Level II</w:t>
            </w:r>
          </w:p>
        </w:tc>
        <w:tc>
          <w:tcPr>
            <w:tcW w:w="2592" w:type="dxa"/>
            <w:tcBorders>
              <w:top w:val="nil"/>
              <w:left w:val="nil"/>
              <w:bottom w:val="nil"/>
              <w:right w:val="nil"/>
            </w:tcBorders>
            <w:vAlign w:val="center"/>
          </w:tcPr>
          <w:p w14:paraId="5344ADF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7B339218" w14:textId="77777777">
        <w:trPr>
          <w:jc w:val="center"/>
        </w:trPr>
        <w:tc>
          <w:tcPr>
            <w:tcW w:w="2592" w:type="dxa"/>
            <w:tcBorders>
              <w:top w:val="nil"/>
              <w:left w:val="nil"/>
              <w:bottom w:val="nil"/>
              <w:right w:val="nil"/>
            </w:tcBorders>
            <w:vAlign w:val="center"/>
          </w:tcPr>
          <w:p w14:paraId="36243C5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Huang et al., 2017 [48]</w:t>
            </w:r>
          </w:p>
        </w:tc>
        <w:tc>
          <w:tcPr>
            <w:tcW w:w="2592" w:type="dxa"/>
            <w:tcBorders>
              <w:top w:val="nil"/>
              <w:left w:val="nil"/>
              <w:bottom w:val="nil"/>
              <w:right w:val="nil"/>
            </w:tcBorders>
            <w:vAlign w:val="center"/>
          </w:tcPr>
          <w:p w14:paraId="272C0A7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5F9AFCF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Sample matching for WOI; RNA integrity; DEG statistical threshold; pathway analysis</w:t>
            </w:r>
          </w:p>
        </w:tc>
        <w:tc>
          <w:tcPr>
            <w:tcW w:w="2592" w:type="dxa"/>
            <w:tcBorders>
              <w:top w:val="nil"/>
              <w:left w:val="nil"/>
              <w:bottom w:val="nil"/>
              <w:right w:val="nil"/>
            </w:tcBorders>
            <w:vAlign w:val="center"/>
          </w:tcPr>
          <w:p w14:paraId="57E7088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553F5F3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21BBC6D" w14:textId="77777777">
        <w:trPr>
          <w:jc w:val="center"/>
        </w:trPr>
        <w:tc>
          <w:tcPr>
            <w:tcW w:w="2592" w:type="dxa"/>
            <w:tcBorders>
              <w:top w:val="nil"/>
              <w:left w:val="nil"/>
              <w:bottom w:val="nil"/>
              <w:right w:val="nil"/>
            </w:tcBorders>
            <w:vAlign w:val="center"/>
          </w:tcPr>
          <w:p w14:paraId="0478A4E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Sebastian-Leon et al., 2018 [49]</w:t>
            </w:r>
          </w:p>
        </w:tc>
        <w:tc>
          <w:tcPr>
            <w:tcW w:w="2592" w:type="dxa"/>
            <w:tcBorders>
              <w:top w:val="nil"/>
              <w:left w:val="nil"/>
              <w:bottom w:val="nil"/>
              <w:right w:val="nil"/>
            </w:tcBorders>
            <w:vAlign w:val="center"/>
          </w:tcPr>
          <w:p w14:paraId="2359C61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ERA-specific QA</w:t>
            </w:r>
          </w:p>
        </w:tc>
        <w:tc>
          <w:tcPr>
            <w:tcW w:w="2592" w:type="dxa"/>
            <w:tcBorders>
              <w:top w:val="nil"/>
              <w:left w:val="nil"/>
              <w:bottom w:val="nil"/>
              <w:right w:val="nil"/>
            </w:tcBorders>
            <w:vAlign w:val="center"/>
          </w:tcPr>
          <w:p w14:paraId="4612553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ERA platform validation; WOI definition; clinical pregnancy outcome correlation; displacement vs. pathological subtype differentiation</w:t>
            </w:r>
          </w:p>
        </w:tc>
        <w:tc>
          <w:tcPr>
            <w:tcW w:w="2592" w:type="dxa"/>
            <w:tcBorders>
              <w:top w:val="nil"/>
              <w:left w:val="nil"/>
              <w:bottom w:val="nil"/>
              <w:right w:val="nil"/>
            </w:tcBorders>
            <w:vAlign w:val="center"/>
          </w:tcPr>
          <w:p w14:paraId="485B595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7380752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3D0B4170" w14:textId="77777777">
        <w:trPr>
          <w:jc w:val="center"/>
        </w:trPr>
        <w:tc>
          <w:tcPr>
            <w:tcW w:w="2592" w:type="dxa"/>
            <w:tcBorders>
              <w:top w:val="nil"/>
              <w:left w:val="nil"/>
              <w:bottom w:val="nil"/>
              <w:right w:val="nil"/>
            </w:tcBorders>
            <w:vAlign w:val="center"/>
          </w:tcPr>
          <w:p w14:paraId="1D18784B"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Craciunas</w:t>
            </w:r>
            <w:proofErr w:type="spellEnd"/>
            <w:r w:rsidRPr="00D578DF">
              <w:rPr>
                <w:rFonts w:ascii="Times New Roman" w:hAnsi="Times New Roman" w:cs="Times New Roman"/>
                <w:sz w:val="20"/>
                <w:szCs w:val="20"/>
              </w:rPr>
              <w:t xml:space="preserve"> L et al., 2019 [50]</w:t>
            </w:r>
          </w:p>
        </w:tc>
        <w:tc>
          <w:tcPr>
            <w:tcW w:w="2592" w:type="dxa"/>
            <w:tcBorders>
              <w:top w:val="nil"/>
              <w:left w:val="nil"/>
              <w:bottom w:val="nil"/>
              <w:right w:val="nil"/>
            </w:tcBorders>
            <w:vAlign w:val="center"/>
          </w:tcPr>
          <w:p w14:paraId="4ECB8EC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 + GRADE</w:t>
            </w:r>
          </w:p>
        </w:tc>
        <w:tc>
          <w:tcPr>
            <w:tcW w:w="2592" w:type="dxa"/>
            <w:tcBorders>
              <w:top w:val="nil"/>
              <w:left w:val="nil"/>
              <w:bottom w:val="nil"/>
              <w:right w:val="nil"/>
            </w:tcBorders>
            <w:vAlign w:val="center"/>
          </w:tcPr>
          <w:p w14:paraId="7231C86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Search strategy; risk of bias (</w:t>
            </w:r>
            <w:proofErr w:type="spellStart"/>
            <w:r w:rsidRPr="00D578DF">
              <w:rPr>
                <w:rFonts w:ascii="Times New Roman" w:hAnsi="Times New Roman" w:cs="Times New Roman"/>
                <w:sz w:val="20"/>
                <w:szCs w:val="20"/>
              </w:rPr>
              <w:t>RoB</w:t>
            </w:r>
            <w:proofErr w:type="spellEnd"/>
            <w:r w:rsidRPr="00D578DF">
              <w:rPr>
                <w:rFonts w:ascii="Times New Roman" w:hAnsi="Times New Roman" w:cs="Times New Roman"/>
                <w:sz w:val="20"/>
                <w:szCs w:val="20"/>
              </w:rPr>
              <w:t xml:space="preserve"> 2); heterogeneity (I²); GRADE evidence quality; clinical outcome data (live birth)</w:t>
            </w:r>
          </w:p>
        </w:tc>
        <w:tc>
          <w:tcPr>
            <w:tcW w:w="2592" w:type="dxa"/>
            <w:tcBorders>
              <w:top w:val="nil"/>
              <w:left w:val="nil"/>
              <w:bottom w:val="nil"/>
              <w:right w:val="nil"/>
            </w:tcBorders>
            <w:vAlign w:val="center"/>
          </w:tcPr>
          <w:p w14:paraId="7AE1FC4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w:t>
            </w:r>
          </w:p>
        </w:tc>
        <w:tc>
          <w:tcPr>
            <w:tcW w:w="2592" w:type="dxa"/>
            <w:tcBorders>
              <w:top w:val="nil"/>
              <w:left w:val="nil"/>
              <w:bottom w:val="nil"/>
              <w:right w:val="nil"/>
            </w:tcBorders>
            <w:vAlign w:val="center"/>
          </w:tcPr>
          <w:p w14:paraId="4A97CFC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Excellent</w:t>
            </w:r>
          </w:p>
        </w:tc>
      </w:tr>
      <w:tr w:rsidR="005367AA" w:rsidRPr="00D578DF" w14:paraId="497D8D7E" w14:textId="77777777">
        <w:trPr>
          <w:jc w:val="center"/>
        </w:trPr>
        <w:tc>
          <w:tcPr>
            <w:tcW w:w="2592" w:type="dxa"/>
            <w:tcBorders>
              <w:top w:val="nil"/>
              <w:left w:val="nil"/>
              <w:bottom w:val="nil"/>
              <w:right w:val="nil"/>
            </w:tcBorders>
            <w:vAlign w:val="center"/>
          </w:tcPr>
          <w:p w14:paraId="73DA435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Huang J et al., 2021 [75]</w:t>
            </w:r>
          </w:p>
        </w:tc>
        <w:tc>
          <w:tcPr>
            <w:tcW w:w="2592" w:type="dxa"/>
            <w:tcBorders>
              <w:top w:val="nil"/>
              <w:left w:val="nil"/>
              <w:bottom w:val="nil"/>
              <w:right w:val="nil"/>
            </w:tcBorders>
            <w:vAlign w:val="center"/>
          </w:tcPr>
          <w:p w14:paraId="1756891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QA</w:t>
            </w:r>
          </w:p>
        </w:tc>
        <w:tc>
          <w:tcPr>
            <w:tcW w:w="2592" w:type="dxa"/>
            <w:tcBorders>
              <w:top w:val="nil"/>
              <w:left w:val="nil"/>
              <w:bottom w:val="nil"/>
              <w:right w:val="nil"/>
            </w:tcBorders>
            <w:vAlign w:val="center"/>
          </w:tcPr>
          <w:p w14:paraId="6DD7315E"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ceRNA</w:t>
            </w:r>
            <w:proofErr w:type="spellEnd"/>
            <w:r w:rsidRPr="00D578DF">
              <w:rPr>
                <w:rFonts w:ascii="Times New Roman" w:hAnsi="Times New Roman" w:cs="Times New Roman"/>
                <w:sz w:val="20"/>
                <w:szCs w:val="20"/>
              </w:rPr>
              <w:t xml:space="preserve"> network construction; lncRNA-miRNA-mRNA triplet validation; hub gene GO/KEGG enrichment; PPI network</w:t>
            </w:r>
          </w:p>
        </w:tc>
        <w:tc>
          <w:tcPr>
            <w:tcW w:w="2592" w:type="dxa"/>
            <w:tcBorders>
              <w:top w:val="nil"/>
              <w:left w:val="nil"/>
              <w:bottom w:val="nil"/>
              <w:right w:val="nil"/>
            </w:tcBorders>
            <w:vAlign w:val="center"/>
          </w:tcPr>
          <w:p w14:paraId="738DCB7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21C2CEA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650366E0" w14:textId="77777777">
        <w:trPr>
          <w:jc w:val="center"/>
        </w:trPr>
        <w:tc>
          <w:tcPr>
            <w:tcW w:w="2592" w:type="dxa"/>
            <w:tcBorders>
              <w:top w:val="nil"/>
              <w:left w:val="nil"/>
              <w:bottom w:val="nil"/>
              <w:right w:val="nil"/>
            </w:tcBorders>
            <w:vAlign w:val="center"/>
          </w:tcPr>
          <w:p w14:paraId="70A9EB8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Albayrak et al., 2021 [59]</w:t>
            </w:r>
          </w:p>
        </w:tc>
        <w:tc>
          <w:tcPr>
            <w:tcW w:w="2592" w:type="dxa"/>
            <w:tcBorders>
              <w:top w:val="nil"/>
              <w:left w:val="nil"/>
              <w:bottom w:val="nil"/>
              <w:right w:val="nil"/>
            </w:tcBorders>
            <w:vAlign w:val="center"/>
          </w:tcPr>
          <w:p w14:paraId="41BE2C5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37B8787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Sample timing (WOI); platform (Affymetrix); statistical thresholds; pathway analysis depth</w:t>
            </w:r>
          </w:p>
        </w:tc>
        <w:tc>
          <w:tcPr>
            <w:tcW w:w="2592" w:type="dxa"/>
            <w:tcBorders>
              <w:top w:val="nil"/>
              <w:left w:val="nil"/>
              <w:bottom w:val="nil"/>
              <w:right w:val="nil"/>
            </w:tcBorders>
            <w:vAlign w:val="center"/>
          </w:tcPr>
          <w:p w14:paraId="3AF1A20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62E0CC1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8352221" w14:textId="77777777">
        <w:trPr>
          <w:jc w:val="center"/>
        </w:trPr>
        <w:tc>
          <w:tcPr>
            <w:tcW w:w="2592" w:type="dxa"/>
            <w:tcBorders>
              <w:top w:val="nil"/>
              <w:left w:val="nil"/>
              <w:bottom w:val="nil"/>
              <w:right w:val="nil"/>
            </w:tcBorders>
            <w:vAlign w:val="center"/>
          </w:tcPr>
          <w:p w14:paraId="4E8E804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Pathare AD et al., 2022 [60]</w:t>
            </w:r>
          </w:p>
        </w:tc>
        <w:tc>
          <w:tcPr>
            <w:tcW w:w="2592" w:type="dxa"/>
            <w:tcBorders>
              <w:top w:val="nil"/>
              <w:left w:val="nil"/>
              <w:bottom w:val="nil"/>
              <w:right w:val="nil"/>
            </w:tcBorders>
            <w:vAlign w:val="center"/>
          </w:tcPr>
          <w:p w14:paraId="4BDB387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341335C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Cell adhesion gene panel selection; RT-qPCR validation; biopsy timing; integrin/cadherin expression analysis</w:t>
            </w:r>
          </w:p>
        </w:tc>
        <w:tc>
          <w:tcPr>
            <w:tcW w:w="2592" w:type="dxa"/>
            <w:tcBorders>
              <w:top w:val="nil"/>
              <w:left w:val="nil"/>
              <w:bottom w:val="nil"/>
              <w:right w:val="nil"/>
            </w:tcBorders>
            <w:vAlign w:val="center"/>
          </w:tcPr>
          <w:p w14:paraId="600304B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6ED97A4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5117591F" w14:textId="77777777">
        <w:trPr>
          <w:jc w:val="center"/>
        </w:trPr>
        <w:tc>
          <w:tcPr>
            <w:tcW w:w="2592" w:type="dxa"/>
            <w:tcBorders>
              <w:top w:val="nil"/>
              <w:left w:val="nil"/>
              <w:bottom w:val="nil"/>
              <w:right w:val="nil"/>
            </w:tcBorders>
            <w:vAlign w:val="center"/>
          </w:tcPr>
          <w:p w14:paraId="196B1D2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Prašnikar et al., 2022 [66]</w:t>
            </w:r>
          </w:p>
        </w:tc>
        <w:tc>
          <w:tcPr>
            <w:tcW w:w="2592" w:type="dxa"/>
            <w:tcBorders>
              <w:top w:val="nil"/>
              <w:left w:val="nil"/>
              <w:bottom w:val="nil"/>
              <w:right w:val="nil"/>
            </w:tcBorders>
            <w:vAlign w:val="center"/>
          </w:tcPr>
          <w:p w14:paraId="3D4996B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4B26C90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Adenomyosis diagnosis </w:t>
            </w:r>
            <w:proofErr w:type="spellStart"/>
            <w:r w:rsidRPr="00D578DF">
              <w:rPr>
                <w:rFonts w:ascii="Times New Roman" w:hAnsi="Times New Roman" w:cs="Times New Roman"/>
                <w:sz w:val="20"/>
                <w:szCs w:val="20"/>
              </w:rPr>
              <w:t>standardisation</w:t>
            </w:r>
            <w:proofErr w:type="spellEnd"/>
            <w:r w:rsidRPr="00D578DF">
              <w:rPr>
                <w:rFonts w:ascii="Times New Roman" w:hAnsi="Times New Roman" w:cs="Times New Roman"/>
                <w:sz w:val="20"/>
                <w:szCs w:val="20"/>
              </w:rPr>
              <w:t xml:space="preserve">; WOI biopsy; DEG </w:t>
            </w:r>
            <w:r w:rsidRPr="00D578DF">
              <w:rPr>
                <w:rFonts w:ascii="Times New Roman" w:hAnsi="Times New Roman" w:cs="Times New Roman"/>
                <w:sz w:val="20"/>
                <w:szCs w:val="20"/>
              </w:rPr>
              <w:lastRenderedPageBreak/>
              <w:t>methodology; comparison to non-adenomyosis RIF data</w:t>
            </w:r>
          </w:p>
        </w:tc>
        <w:tc>
          <w:tcPr>
            <w:tcW w:w="2592" w:type="dxa"/>
            <w:tcBorders>
              <w:top w:val="nil"/>
              <w:left w:val="nil"/>
              <w:bottom w:val="nil"/>
              <w:right w:val="nil"/>
            </w:tcBorders>
            <w:vAlign w:val="center"/>
          </w:tcPr>
          <w:p w14:paraId="29FA413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Level III</w:t>
            </w:r>
          </w:p>
        </w:tc>
        <w:tc>
          <w:tcPr>
            <w:tcW w:w="2592" w:type="dxa"/>
            <w:tcBorders>
              <w:top w:val="nil"/>
              <w:left w:val="nil"/>
              <w:bottom w:val="nil"/>
              <w:right w:val="nil"/>
            </w:tcBorders>
            <w:vAlign w:val="center"/>
          </w:tcPr>
          <w:p w14:paraId="00A4E5F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148BA5A6" w14:textId="77777777">
        <w:trPr>
          <w:jc w:val="center"/>
        </w:trPr>
        <w:tc>
          <w:tcPr>
            <w:tcW w:w="2592" w:type="dxa"/>
            <w:tcBorders>
              <w:top w:val="nil"/>
              <w:left w:val="nil"/>
              <w:bottom w:val="nil"/>
              <w:right w:val="nil"/>
            </w:tcBorders>
            <w:vAlign w:val="center"/>
          </w:tcPr>
          <w:p w14:paraId="07C2E80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Nikolova et al., 2021 [67]</w:t>
            </w:r>
          </w:p>
        </w:tc>
        <w:tc>
          <w:tcPr>
            <w:tcW w:w="2592" w:type="dxa"/>
            <w:tcBorders>
              <w:top w:val="nil"/>
              <w:left w:val="nil"/>
              <w:bottom w:val="nil"/>
              <w:right w:val="nil"/>
            </w:tcBorders>
            <w:vAlign w:val="center"/>
          </w:tcPr>
          <w:p w14:paraId="5B4C642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Multi-omics QA</w:t>
            </w:r>
          </w:p>
        </w:tc>
        <w:tc>
          <w:tcPr>
            <w:tcW w:w="2592" w:type="dxa"/>
            <w:tcBorders>
              <w:top w:val="nil"/>
              <w:left w:val="nil"/>
              <w:bottom w:val="nil"/>
              <w:right w:val="nil"/>
            </w:tcBorders>
            <w:vAlign w:val="center"/>
          </w:tcPr>
          <w:p w14:paraId="1CAC1A6B"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isomiR</w:t>
            </w:r>
            <w:proofErr w:type="spellEnd"/>
            <w:r w:rsidRPr="00D578DF">
              <w:rPr>
                <w:rFonts w:ascii="Times New Roman" w:hAnsi="Times New Roman" w:cs="Times New Roman"/>
                <w:sz w:val="20"/>
                <w:szCs w:val="20"/>
              </w:rPr>
              <w:t xml:space="preserve"> detection methodology (novel); miRNA-mRNA pairing; WOI </w:t>
            </w:r>
            <w:proofErr w:type="spellStart"/>
            <w:r w:rsidRPr="00D578DF">
              <w:rPr>
                <w:rFonts w:ascii="Times New Roman" w:hAnsi="Times New Roman" w:cs="Times New Roman"/>
                <w:sz w:val="20"/>
                <w:szCs w:val="20"/>
              </w:rPr>
              <w:t>synchronisation</w:t>
            </w:r>
            <w:proofErr w:type="spellEnd"/>
            <w:r w:rsidRPr="00D578DF">
              <w:rPr>
                <w:rFonts w:ascii="Times New Roman" w:hAnsi="Times New Roman" w:cs="Times New Roman"/>
                <w:sz w:val="20"/>
                <w:szCs w:val="20"/>
              </w:rPr>
              <w:t>; functional enrichment</w:t>
            </w:r>
          </w:p>
        </w:tc>
        <w:tc>
          <w:tcPr>
            <w:tcW w:w="2592" w:type="dxa"/>
            <w:tcBorders>
              <w:top w:val="nil"/>
              <w:left w:val="nil"/>
              <w:bottom w:val="nil"/>
              <w:right w:val="nil"/>
            </w:tcBorders>
            <w:vAlign w:val="center"/>
          </w:tcPr>
          <w:p w14:paraId="117E4F5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35B5A51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91CF971" w14:textId="77777777">
        <w:trPr>
          <w:jc w:val="center"/>
        </w:trPr>
        <w:tc>
          <w:tcPr>
            <w:tcW w:w="2592" w:type="dxa"/>
            <w:tcBorders>
              <w:top w:val="nil"/>
              <w:left w:val="nil"/>
              <w:bottom w:val="nil"/>
              <w:right w:val="nil"/>
            </w:tcBorders>
            <w:vAlign w:val="center"/>
          </w:tcPr>
          <w:p w14:paraId="4C5E848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Yu SL et al., 2021 [68]</w:t>
            </w:r>
          </w:p>
        </w:tc>
        <w:tc>
          <w:tcPr>
            <w:tcW w:w="2592" w:type="dxa"/>
            <w:tcBorders>
              <w:top w:val="nil"/>
              <w:left w:val="nil"/>
              <w:bottom w:val="nil"/>
              <w:right w:val="nil"/>
            </w:tcBorders>
            <w:vAlign w:val="center"/>
          </w:tcPr>
          <w:p w14:paraId="61101EB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Bioinformatic QA</w:t>
            </w:r>
          </w:p>
        </w:tc>
        <w:tc>
          <w:tcPr>
            <w:tcW w:w="2592" w:type="dxa"/>
            <w:tcBorders>
              <w:top w:val="nil"/>
              <w:left w:val="nil"/>
              <w:bottom w:val="nil"/>
              <w:right w:val="nil"/>
            </w:tcBorders>
            <w:vAlign w:val="center"/>
          </w:tcPr>
          <w:p w14:paraId="4277383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Phase </w:t>
            </w:r>
            <w:proofErr w:type="spellStart"/>
            <w:r w:rsidRPr="00D578DF">
              <w:rPr>
                <w:rFonts w:ascii="Times New Roman" w:hAnsi="Times New Roman" w:cs="Times New Roman"/>
                <w:sz w:val="20"/>
                <w:szCs w:val="20"/>
              </w:rPr>
              <w:t>synchronisation</w:t>
            </w:r>
            <w:proofErr w:type="spellEnd"/>
            <w:r w:rsidRPr="00D578DF">
              <w:rPr>
                <w:rFonts w:ascii="Times New Roman" w:hAnsi="Times New Roman" w:cs="Times New Roman"/>
                <w:sz w:val="20"/>
                <w:szCs w:val="20"/>
              </w:rPr>
              <w:t xml:space="preserve">; RNA-seq quality metrics; </w:t>
            </w:r>
            <w:proofErr w:type="spellStart"/>
            <w:r w:rsidRPr="00D578DF">
              <w:rPr>
                <w:rFonts w:ascii="Times New Roman" w:hAnsi="Times New Roman" w:cs="Times New Roman"/>
                <w:sz w:val="20"/>
                <w:szCs w:val="20"/>
              </w:rPr>
              <w:t>ceRNA</w:t>
            </w:r>
            <w:proofErr w:type="spellEnd"/>
            <w:r w:rsidRPr="00D578DF">
              <w:rPr>
                <w:rFonts w:ascii="Times New Roman" w:hAnsi="Times New Roman" w:cs="Times New Roman"/>
                <w:sz w:val="20"/>
                <w:szCs w:val="20"/>
              </w:rPr>
              <w:t xml:space="preserve"> network construction; DEG analysis</w:t>
            </w:r>
          </w:p>
        </w:tc>
        <w:tc>
          <w:tcPr>
            <w:tcW w:w="2592" w:type="dxa"/>
            <w:tcBorders>
              <w:top w:val="nil"/>
              <w:left w:val="nil"/>
              <w:bottom w:val="nil"/>
              <w:right w:val="nil"/>
            </w:tcBorders>
            <w:vAlign w:val="center"/>
          </w:tcPr>
          <w:p w14:paraId="72B522E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2A08A7E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1129A875" w14:textId="77777777">
        <w:trPr>
          <w:jc w:val="center"/>
        </w:trPr>
        <w:tc>
          <w:tcPr>
            <w:tcW w:w="2592" w:type="dxa"/>
            <w:tcBorders>
              <w:top w:val="nil"/>
              <w:left w:val="nil"/>
              <w:bottom w:val="nil"/>
              <w:right w:val="nil"/>
            </w:tcBorders>
            <w:vAlign w:val="center"/>
          </w:tcPr>
          <w:p w14:paraId="579A3F5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Walker ER et al., 2023 [54]</w:t>
            </w:r>
          </w:p>
        </w:tc>
        <w:tc>
          <w:tcPr>
            <w:tcW w:w="2592" w:type="dxa"/>
            <w:tcBorders>
              <w:top w:val="nil"/>
              <w:left w:val="nil"/>
              <w:bottom w:val="nil"/>
              <w:right w:val="nil"/>
            </w:tcBorders>
            <w:vAlign w:val="center"/>
          </w:tcPr>
          <w:p w14:paraId="537BC30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w:t>
            </w:r>
          </w:p>
        </w:tc>
        <w:tc>
          <w:tcPr>
            <w:tcW w:w="2592" w:type="dxa"/>
            <w:tcBorders>
              <w:top w:val="nil"/>
              <w:left w:val="nil"/>
              <w:bottom w:val="nil"/>
              <w:right w:val="nil"/>
            </w:tcBorders>
            <w:vAlign w:val="center"/>
          </w:tcPr>
          <w:p w14:paraId="4DF654D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Methodological consistency assessment; DEG overlap analysis; heterogeneity quantification; reporting quality evaluation</w:t>
            </w:r>
          </w:p>
        </w:tc>
        <w:tc>
          <w:tcPr>
            <w:tcW w:w="2592" w:type="dxa"/>
            <w:tcBorders>
              <w:top w:val="nil"/>
              <w:left w:val="nil"/>
              <w:bottom w:val="nil"/>
              <w:right w:val="nil"/>
            </w:tcBorders>
            <w:vAlign w:val="center"/>
          </w:tcPr>
          <w:p w14:paraId="7E2084E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w:t>
            </w:r>
          </w:p>
        </w:tc>
        <w:tc>
          <w:tcPr>
            <w:tcW w:w="2592" w:type="dxa"/>
            <w:tcBorders>
              <w:top w:val="nil"/>
              <w:left w:val="nil"/>
              <w:bottom w:val="nil"/>
              <w:right w:val="nil"/>
            </w:tcBorders>
            <w:vAlign w:val="center"/>
          </w:tcPr>
          <w:p w14:paraId="40978DD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32A2BAA4" w14:textId="77777777">
        <w:trPr>
          <w:jc w:val="center"/>
        </w:trPr>
        <w:tc>
          <w:tcPr>
            <w:tcW w:w="2592" w:type="dxa"/>
            <w:tcBorders>
              <w:top w:val="nil"/>
              <w:left w:val="nil"/>
              <w:bottom w:val="nil"/>
              <w:right w:val="nil"/>
            </w:tcBorders>
            <w:vAlign w:val="center"/>
          </w:tcPr>
          <w:p w14:paraId="0630563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Liaqat Ali Khan et al., 2022 [62]</w:t>
            </w:r>
          </w:p>
        </w:tc>
        <w:tc>
          <w:tcPr>
            <w:tcW w:w="2592" w:type="dxa"/>
            <w:tcBorders>
              <w:top w:val="nil"/>
              <w:left w:val="nil"/>
              <w:bottom w:val="nil"/>
              <w:right w:val="nil"/>
            </w:tcBorders>
            <w:vAlign w:val="center"/>
          </w:tcPr>
          <w:p w14:paraId="0767466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2005BF6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Three-group design; pathway analysis across conditions; WOI </w:t>
            </w:r>
            <w:proofErr w:type="spellStart"/>
            <w:r w:rsidRPr="00D578DF">
              <w:rPr>
                <w:rFonts w:ascii="Times New Roman" w:hAnsi="Times New Roman" w:cs="Times New Roman"/>
                <w:sz w:val="20"/>
                <w:szCs w:val="20"/>
              </w:rPr>
              <w:t>synchronisation</w:t>
            </w:r>
            <w:proofErr w:type="spellEnd"/>
            <w:r w:rsidRPr="00D578DF">
              <w:rPr>
                <w:rFonts w:ascii="Times New Roman" w:hAnsi="Times New Roman" w:cs="Times New Roman"/>
                <w:sz w:val="20"/>
                <w:szCs w:val="20"/>
              </w:rPr>
              <w:t>; IPA pathway analysis</w:t>
            </w:r>
          </w:p>
        </w:tc>
        <w:tc>
          <w:tcPr>
            <w:tcW w:w="2592" w:type="dxa"/>
            <w:tcBorders>
              <w:top w:val="nil"/>
              <w:left w:val="nil"/>
              <w:bottom w:val="nil"/>
              <w:right w:val="nil"/>
            </w:tcBorders>
            <w:vAlign w:val="center"/>
          </w:tcPr>
          <w:p w14:paraId="178BC8C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68A23A4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21787B9" w14:textId="77777777">
        <w:trPr>
          <w:jc w:val="center"/>
        </w:trPr>
        <w:tc>
          <w:tcPr>
            <w:tcW w:w="2592" w:type="dxa"/>
            <w:tcBorders>
              <w:top w:val="nil"/>
              <w:left w:val="nil"/>
              <w:bottom w:val="nil"/>
              <w:right w:val="nil"/>
            </w:tcBorders>
            <w:vAlign w:val="center"/>
          </w:tcPr>
          <w:p w14:paraId="27DF014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Zhou Q et al., 2019 [61]</w:t>
            </w:r>
          </w:p>
        </w:tc>
        <w:tc>
          <w:tcPr>
            <w:tcW w:w="2592" w:type="dxa"/>
            <w:tcBorders>
              <w:top w:val="nil"/>
              <w:left w:val="nil"/>
              <w:bottom w:val="nil"/>
              <w:right w:val="nil"/>
            </w:tcBorders>
            <w:vAlign w:val="center"/>
          </w:tcPr>
          <w:p w14:paraId="31415A5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Functional QA</w:t>
            </w:r>
          </w:p>
        </w:tc>
        <w:tc>
          <w:tcPr>
            <w:tcW w:w="2592" w:type="dxa"/>
            <w:tcBorders>
              <w:top w:val="nil"/>
              <w:left w:val="nil"/>
              <w:bottom w:val="nil"/>
              <w:right w:val="nil"/>
            </w:tcBorders>
            <w:vAlign w:val="center"/>
          </w:tcPr>
          <w:p w14:paraId="33326E2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RIF/control selection; RNA-seq discovery; tissue-level IHC/</w:t>
            </w:r>
            <w:proofErr w:type="spellStart"/>
            <w:r w:rsidRPr="00D578DF">
              <w:rPr>
                <w:rFonts w:ascii="Times New Roman" w:hAnsi="Times New Roman" w:cs="Times New Roman"/>
                <w:sz w:val="20"/>
                <w:szCs w:val="20"/>
              </w:rPr>
              <w:t>qRT</w:t>
            </w:r>
            <w:proofErr w:type="spellEnd"/>
            <w:r w:rsidRPr="00D578DF">
              <w:rPr>
                <w:rFonts w:ascii="Times New Roman" w:hAnsi="Times New Roman" w:cs="Times New Roman"/>
                <w:sz w:val="20"/>
                <w:szCs w:val="20"/>
              </w:rPr>
              <w:t>-PCR/Western validation; gain-of-function mechanism; EHD1-Wnt4 interaction; Wnt4-agonist rescue</w:t>
            </w:r>
          </w:p>
        </w:tc>
        <w:tc>
          <w:tcPr>
            <w:tcW w:w="2592" w:type="dxa"/>
            <w:tcBorders>
              <w:top w:val="nil"/>
              <w:left w:val="nil"/>
              <w:bottom w:val="nil"/>
              <w:right w:val="nil"/>
            </w:tcBorders>
            <w:vAlign w:val="center"/>
          </w:tcPr>
          <w:p w14:paraId="30B8A5C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36BBEA4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Excellent</w:t>
            </w:r>
          </w:p>
        </w:tc>
      </w:tr>
      <w:tr w:rsidR="005367AA" w:rsidRPr="00D578DF" w14:paraId="2BBD2FE6" w14:textId="77777777">
        <w:trPr>
          <w:jc w:val="center"/>
        </w:trPr>
        <w:tc>
          <w:tcPr>
            <w:tcW w:w="2592" w:type="dxa"/>
            <w:tcBorders>
              <w:top w:val="nil"/>
              <w:left w:val="nil"/>
              <w:bottom w:val="nil"/>
              <w:right w:val="nil"/>
            </w:tcBorders>
            <w:vAlign w:val="center"/>
          </w:tcPr>
          <w:p w14:paraId="3BBEAD8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Aplin JD et al., 2022 [53]</w:t>
            </w:r>
          </w:p>
        </w:tc>
        <w:tc>
          <w:tcPr>
            <w:tcW w:w="2592" w:type="dxa"/>
            <w:tcBorders>
              <w:top w:val="nil"/>
              <w:left w:val="nil"/>
              <w:bottom w:val="nil"/>
              <w:right w:val="nil"/>
            </w:tcBorders>
            <w:vAlign w:val="center"/>
          </w:tcPr>
          <w:p w14:paraId="1D150943" w14:textId="6D1E1F1C"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4B111FA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Currency of omics tool review; WOI timing discussion; clinical translation critique; balanced perspective</w:t>
            </w:r>
          </w:p>
        </w:tc>
        <w:tc>
          <w:tcPr>
            <w:tcW w:w="2592" w:type="dxa"/>
            <w:tcBorders>
              <w:top w:val="nil"/>
              <w:left w:val="nil"/>
              <w:bottom w:val="nil"/>
              <w:right w:val="nil"/>
            </w:tcBorders>
            <w:vAlign w:val="center"/>
          </w:tcPr>
          <w:p w14:paraId="6AF88BC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5C184FE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178EAFF1" w14:textId="77777777">
        <w:trPr>
          <w:jc w:val="center"/>
        </w:trPr>
        <w:tc>
          <w:tcPr>
            <w:tcW w:w="2592" w:type="dxa"/>
            <w:tcBorders>
              <w:top w:val="nil"/>
              <w:left w:val="nil"/>
              <w:bottom w:val="nil"/>
              <w:right w:val="nil"/>
            </w:tcBorders>
            <w:vAlign w:val="center"/>
          </w:tcPr>
          <w:p w14:paraId="13E3572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He A et al., 2021 [51]</w:t>
            </w:r>
          </w:p>
        </w:tc>
        <w:tc>
          <w:tcPr>
            <w:tcW w:w="2592" w:type="dxa"/>
            <w:tcBorders>
              <w:top w:val="nil"/>
              <w:left w:val="nil"/>
              <w:bottom w:val="nil"/>
              <w:right w:val="nil"/>
            </w:tcBorders>
            <w:vAlign w:val="center"/>
          </w:tcPr>
          <w:p w14:paraId="13927F4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diagnostic-model criteria</w:t>
            </w:r>
          </w:p>
        </w:tc>
        <w:tc>
          <w:tcPr>
            <w:tcW w:w="2592" w:type="dxa"/>
            <w:tcBorders>
              <w:top w:val="nil"/>
              <w:left w:val="nil"/>
              <w:bottom w:val="nil"/>
              <w:right w:val="nil"/>
            </w:tcBorders>
            <w:vAlign w:val="center"/>
          </w:tcPr>
          <w:p w14:paraId="7628BA8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Two-phase design; 175-gene </w:t>
            </w:r>
            <w:proofErr w:type="spellStart"/>
            <w:r w:rsidRPr="00D578DF">
              <w:rPr>
                <w:rFonts w:ascii="Times New Roman" w:hAnsi="Times New Roman" w:cs="Times New Roman"/>
                <w:sz w:val="20"/>
                <w:szCs w:val="20"/>
              </w:rPr>
              <w:t>rsERT</w:t>
            </w:r>
            <w:proofErr w:type="spellEnd"/>
            <w:r w:rsidRPr="00D578DF">
              <w:rPr>
                <w:rFonts w:ascii="Times New Roman" w:hAnsi="Times New Roman" w:cs="Times New Roman"/>
                <w:sz w:val="20"/>
                <w:szCs w:val="20"/>
              </w:rPr>
              <w:t xml:space="preserve"> model; non-</w:t>
            </w:r>
            <w:proofErr w:type="spellStart"/>
            <w:r w:rsidRPr="00D578DF">
              <w:rPr>
                <w:rFonts w:ascii="Times New Roman" w:hAnsi="Times New Roman" w:cs="Times New Roman"/>
                <w:sz w:val="20"/>
                <w:szCs w:val="20"/>
              </w:rPr>
              <w:t>randomised</w:t>
            </w:r>
            <w:proofErr w:type="spellEnd"/>
            <w:r w:rsidRPr="00D578DF">
              <w:rPr>
                <w:rFonts w:ascii="Times New Roman" w:hAnsi="Times New Roman" w:cs="Times New Roman"/>
                <w:sz w:val="20"/>
                <w:szCs w:val="20"/>
              </w:rPr>
              <w:t xml:space="preserve"> RIF comparison; day-3 vs blastocyst outcome reporting; model cross-validation</w:t>
            </w:r>
          </w:p>
        </w:tc>
        <w:tc>
          <w:tcPr>
            <w:tcW w:w="2592" w:type="dxa"/>
            <w:tcBorders>
              <w:top w:val="nil"/>
              <w:left w:val="nil"/>
              <w:bottom w:val="nil"/>
              <w:right w:val="nil"/>
            </w:tcBorders>
            <w:vAlign w:val="center"/>
          </w:tcPr>
          <w:p w14:paraId="1388A5B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7C48FFE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3C6A3E87" w14:textId="77777777">
        <w:trPr>
          <w:jc w:val="center"/>
        </w:trPr>
        <w:tc>
          <w:tcPr>
            <w:tcW w:w="2592" w:type="dxa"/>
            <w:tcBorders>
              <w:top w:val="nil"/>
              <w:left w:val="nil"/>
              <w:bottom w:val="nil"/>
              <w:right w:val="nil"/>
            </w:tcBorders>
            <w:vAlign w:val="center"/>
          </w:tcPr>
          <w:p w14:paraId="580074C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Shang J et al., 2022 [77]</w:t>
            </w:r>
          </w:p>
        </w:tc>
        <w:tc>
          <w:tcPr>
            <w:tcW w:w="2592" w:type="dxa"/>
            <w:tcBorders>
              <w:top w:val="nil"/>
              <w:left w:val="nil"/>
              <w:bottom w:val="nil"/>
              <w:right w:val="nil"/>
            </w:tcBorders>
            <w:vAlign w:val="center"/>
          </w:tcPr>
          <w:p w14:paraId="248E153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QA</w:t>
            </w:r>
          </w:p>
        </w:tc>
        <w:tc>
          <w:tcPr>
            <w:tcW w:w="2592" w:type="dxa"/>
            <w:tcBorders>
              <w:top w:val="nil"/>
              <w:left w:val="nil"/>
              <w:bottom w:val="nil"/>
              <w:right w:val="nil"/>
            </w:tcBorders>
            <w:vAlign w:val="center"/>
          </w:tcPr>
          <w:p w14:paraId="79D1E8E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miRNA-mRNA network construction; target gene enrichment; hub miRNA selection; literature validation of targets</w:t>
            </w:r>
          </w:p>
        </w:tc>
        <w:tc>
          <w:tcPr>
            <w:tcW w:w="2592" w:type="dxa"/>
            <w:tcBorders>
              <w:top w:val="nil"/>
              <w:left w:val="nil"/>
              <w:bottom w:val="nil"/>
              <w:right w:val="nil"/>
            </w:tcBorders>
            <w:vAlign w:val="center"/>
          </w:tcPr>
          <w:p w14:paraId="04DFD52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1A013C1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532BC094" w14:textId="77777777">
        <w:trPr>
          <w:jc w:val="center"/>
        </w:trPr>
        <w:tc>
          <w:tcPr>
            <w:tcW w:w="2592" w:type="dxa"/>
            <w:tcBorders>
              <w:top w:val="nil"/>
              <w:left w:val="nil"/>
              <w:bottom w:val="nil"/>
              <w:right w:val="nil"/>
            </w:tcBorders>
            <w:vAlign w:val="center"/>
          </w:tcPr>
          <w:p w14:paraId="52ED9F8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Vargas E et al., 2022 [70]</w:t>
            </w:r>
          </w:p>
        </w:tc>
        <w:tc>
          <w:tcPr>
            <w:tcW w:w="2592" w:type="dxa"/>
            <w:tcBorders>
              <w:top w:val="nil"/>
              <w:left w:val="nil"/>
              <w:bottom w:val="nil"/>
              <w:right w:val="nil"/>
            </w:tcBorders>
            <w:vAlign w:val="center"/>
          </w:tcPr>
          <w:p w14:paraId="010DD9C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 + GRADE</w:t>
            </w:r>
          </w:p>
        </w:tc>
        <w:tc>
          <w:tcPr>
            <w:tcW w:w="2592" w:type="dxa"/>
            <w:tcBorders>
              <w:top w:val="nil"/>
              <w:left w:val="nil"/>
              <w:bottom w:val="nil"/>
              <w:right w:val="nil"/>
            </w:tcBorders>
            <w:vAlign w:val="center"/>
          </w:tcPr>
          <w:p w14:paraId="0B67A78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Search strategy; heterogeneity (I²); publication bias (funnel plot); GRADE evidence rating; endometriosis staging</w:t>
            </w:r>
          </w:p>
        </w:tc>
        <w:tc>
          <w:tcPr>
            <w:tcW w:w="2592" w:type="dxa"/>
            <w:tcBorders>
              <w:top w:val="nil"/>
              <w:left w:val="nil"/>
              <w:bottom w:val="nil"/>
              <w:right w:val="nil"/>
            </w:tcBorders>
            <w:vAlign w:val="center"/>
          </w:tcPr>
          <w:p w14:paraId="22933E9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w:t>
            </w:r>
          </w:p>
        </w:tc>
        <w:tc>
          <w:tcPr>
            <w:tcW w:w="2592" w:type="dxa"/>
            <w:tcBorders>
              <w:top w:val="nil"/>
              <w:left w:val="nil"/>
              <w:bottom w:val="nil"/>
              <w:right w:val="nil"/>
            </w:tcBorders>
            <w:vAlign w:val="center"/>
          </w:tcPr>
          <w:p w14:paraId="05D4E39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44A6A911" w14:textId="77777777">
        <w:trPr>
          <w:jc w:val="center"/>
        </w:trPr>
        <w:tc>
          <w:tcPr>
            <w:tcW w:w="2592" w:type="dxa"/>
            <w:tcBorders>
              <w:top w:val="nil"/>
              <w:left w:val="nil"/>
              <w:bottom w:val="nil"/>
              <w:right w:val="nil"/>
            </w:tcBorders>
            <w:vAlign w:val="center"/>
          </w:tcPr>
          <w:p w14:paraId="5087D01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Parraga-Leo et al., 2023 [82]</w:t>
            </w:r>
          </w:p>
        </w:tc>
        <w:tc>
          <w:tcPr>
            <w:tcW w:w="2592" w:type="dxa"/>
            <w:tcBorders>
              <w:top w:val="nil"/>
              <w:left w:val="nil"/>
              <w:bottom w:val="nil"/>
              <w:right w:val="nil"/>
            </w:tcBorders>
            <w:vAlign w:val="center"/>
          </w:tcPr>
          <w:p w14:paraId="0547985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 AMSTAR</w:t>
            </w:r>
          </w:p>
        </w:tc>
        <w:tc>
          <w:tcPr>
            <w:tcW w:w="2592" w:type="dxa"/>
            <w:tcBorders>
              <w:top w:val="nil"/>
              <w:left w:val="nil"/>
              <w:bottom w:val="nil"/>
              <w:right w:val="nil"/>
            </w:tcBorders>
            <w:vAlign w:val="center"/>
          </w:tcPr>
          <w:p w14:paraId="26AC171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Regulator type disaggregation; cross-dataset consistency; pathway enrichment; regulatory network construction</w:t>
            </w:r>
          </w:p>
        </w:tc>
        <w:tc>
          <w:tcPr>
            <w:tcW w:w="2592" w:type="dxa"/>
            <w:tcBorders>
              <w:top w:val="nil"/>
              <w:left w:val="nil"/>
              <w:bottom w:val="nil"/>
              <w:right w:val="nil"/>
            </w:tcBorders>
            <w:vAlign w:val="center"/>
          </w:tcPr>
          <w:p w14:paraId="32FEFD9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7B5345B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56D99D94" w14:textId="77777777">
        <w:trPr>
          <w:jc w:val="center"/>
        </w:trPr>
        <w:tc>
          <w:tcPr>
            <w:tcW w:w="2592" w:type="dxa"/>
            <w:tcBorders>
              <w:top w:val="nil"/>
              <w:left w:val="nil"/>
              <w:bottom w:val="nil"/>
              <w:right w:val="nil"/>
            </w:tcBorders>
            <w:vAlign w:val="center"/>
          </w:tcPr>
          <w:p w14:paraId="48B0C98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Choo SP et al., 2023 [69]</w:t>
            </w:r>
          </w:p>
        </w:tc>
        <w:tc>
          <w:tcPr>
            <w:tcW w:w="2592" w:type="dxa"/>
            <w:tcBorders>
              <w:top w:val="nil"/>
              <w:left w:val="nil"/>
              <w:bottom w:val="nil"/>
              <w:right w:val="nil"/>
            </w:tcBorders>
            <w:vAlign w:val="center"/>
          </w:tcPr>
          <w:p w14:paraId="412FACB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5D01A13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Natural cycle design; early vs. mid-secretory comparison; WOI-matched sampling; DEG pathway analysis</w:t>
            </w:r>
          </w:p>
        </w:tc>
        <w:tc>
          <w:tcPr>
            <w:tcW w:w="2592" w:type="dxa"/>
            <w:tcBorders>
              <w:top w:val="nil"/>
              <w:left w:val="nil"/>
              <w:bottom w:val="nil"/>
              <w:right w:val="nil"/>
            </w:tcBorders>
            <w:vAlign w:val="center"/>
          </w:tcPr>
          <w:p w14:paraId="22920EA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5847D59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12E79C54" w14:textId="77777777">
        <w:trPr>
          <w:jc w:val="center"/>
        </w:trPr>
        <w:tc>
          <w:tcPr>
            <w:tcW w:w="2592" w:type="dxa"/>
            <w:tcBorders>
              <w:top w:val="nil"/>
              <w:left w:val="nil"/>
              <w:bottom w:val="nil"/>
              <w:right w:val="nil"/>
            </w:tcBorders>
            <w:vAlign w:val="center"/>
          </w:tcPr>
          <w:p w14:paraId="757F188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Tempest N et al., 2025 [19]</w:t>
            </w:r>
          </w:p>
        </w:tc>
        <w:tc>
          <w:tcPr>
            <w:tcW w:w="2592" w:type="dxa"/>
            <w:tcBorders>
              <w:top w:val="nil"/>
              <w:left w:val="nil"/>
              <w:bottom w:val="nil"/>
              <w:right w:val="nil"/>
            </w:tcBorders>
            <w:vAlign w:val="center"/>
          </w:tcPr>
          <w:p w14:paraId="27DD8E4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spatial-transcriptomics QA</w:t>
            </w:r>
          </w:p>
        </w:tc>
        <w:tc>
          <w:tcPr>
            <w:tcW w:w="2592" w:type="dxa"/>
            <w:tcBorders>
              <w:top w:val="nil"/>
              <w:left w:val="nil"/>
              <w:bottom w:val="nil"/>
              <w:right w:val="nil"/>
            </w:tcBorders>
            <w:vAlign w:val="center"/>
          </w:tcPr>
          <w:p w14:paraId="79A7DDF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LH-timed RIF/control sampling; </w:t>
            </w:r>
            <w:proofErr w:type="spellStart"/>
            <w:r w:rsidRPr="00D578DF">
              <w:rPr>
                <w:rFonts w:ascii="Times New Roman" w:hAnsi="Times New Roman" w:cs="Times New Roman"/>
                <w:sz w:val="20"/>
                <w:szCs w:val="20"/>
              </w:rPr>
              <w:t>GeoMx</w:t>
            </w:r>
            <w:proofErr w:type="spellEnd"/>
            <w:r w:rsidRPr="00D578DF">
              <w:rPr>
                <w:rFonts w:ascii="Times New Roman" w:hAnsi="Times New Roman" w:cs="Times New Roman"/>
                <w:sz w:val="20"/>
                <w:szCs w:val="20"/>
              </w:rPr>
              <w:t xml:space="preserve"> region/cell-type resolution; DEG analysis; spatial design; sample size and replication</w:t>
            </w:r>
          </w:p>
        </w:tc>
        <w:tc>
          <w:tcPr>
            <w:tcW w:w="2592" w:type="dxa"/>
            <w:tcBorders>
              <w:top w:val="nil"/>
              <w:left w:val="nil"/>
              <w:bottom w:val="nil"/>
              <w:right w:val="nil"/>
            </w:tcBorders>
            <w:vAlign w:val="center"/>
          </w:tcPr>
          <w:p w14:paraId="37FBDC1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5438678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Excellent</w:t>
            </w:r>
          </w:p>
        </w:tc>
      </w:tr>
      <w:tr w:rsidR="005367AA" w:rsidRPr="00D578DF" w14:paraId="3DF3FA1F" w14:textId="77777777">
        <w:trPr>
          <w:jc w:val="center"/>
        </w:trPr>
        <w:tc>
          <w:tcPr>
            <w:tcW w:w="2592" w:type="dxa"/>
            <w:tcBorders>
              <w:top w:val="nil"/>
              <w:left w:val="nil"/>
              <w:bottom w:val="nil"/>
              <w:right w:val="nil"/>
            </w:tcBorders>
            <w:vAlign w:val="center"/>
          </w:tcPr>
          <w:p w14:paraId="5A64FB8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Zhang WB et al., 2024 [65]</w:t>
            </w:r>
          </w:p>
        </w:tc>
        <w:tc>
          <w:tcPr>
            <w:tcW w:w="2592" w:type="dxa"/>
            <w:tcBorders>
              <w:top w:val="nil"/>
              <w:left w:val="nil"/>
              <w:bottom w:val="nil"/>
              <w:right w:val="nil"/>
            </w:tcBorders>
            <w:vAlign w:val="center"/>
          </w:tcPr>
          <w:p w14:paraId="6F12995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3792D33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HRT protocol </w:t>
            </w:r>
            <w:proofErr w:type="spellStart"/>
            <w:r w:rsidRPr="00D578DF">
              <w:rPr>
                <w:rFonts w:ascii="Times New Roman" w:hAnsi="Times New Roman" w:cs="Times New Roman"/>
                <w:sz w:val="20"/>
                <w:szCs w:val="20"/>
              </w:rPr>
              <w:t>standardisation</w:t>
            </w:r>
            <w:proofErr w:type="spellEnd"/>
            <w:r w:rsidRPr="00D578DF">
              <w:rPr>
                <w:rFonts w:ascii="Times New Roman" w:hAnsi="Times New Roman" w:cs="Times New Roman"/>
                <w:sz w:val="20"/>
                <w:szCs w:val="20"/>
              </w:rPr>
              <w:t>; WOI-timed biopsy; RNA-seq pipeline; clinical outcome data</w:t>
            </w:r>
          </w:p>
        </w:tc>
        <w:tc>
          <w:tcPr>
            <w:tcW w:w="2592" w:type="dxa"/>
            <w:tcBorders>
              <w:top w:val="nil"/>
              <w:left w:val="nil"/>
              <w:bottom w:val="nil"/>
              <w:right w:val="nil"/>
            </w:tcBorders>
            <w:vAlign w:val="center"/>
          </w:tcPr>
          <w:p w14:paraId="16BDA8A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04FB763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DF94256" w14:textId="77777777">
        <w:trPr>
          <w:jc w:val="center"/>
        </w:trPr>
        <w:tc>
          <w:tcPr>
            <w:tcW w:w="2592" w:type="dxa"/>
            <w:tcBorders>
              <w:top w:val="nil"/>
              <w:left w:val="nil"/>
              <w:bottom w:val="nil"/>
              <w:right w:val="nil"/>
            </w:tcBorders>
            <w:vAlign w:val="center"/>
          </w:tcPr>
          <w:p w14:paraId="53CF49A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Dong X et al., 2023 [64]</w:t>
            </w:r>
          </w:p>
        </w:tc>
        <w:tc>
          <w:tcPr>
            <w:tcW w:w="2592" w:type="dxa"/>
            <w:tcBorders>
              <w:top w:val="nil"/>
              <w:left w:val="nil"/>
              <w:bottom w:val="nil"/>
              <w:right w:val="nil"/>
            </w:tcBorders>
            <w:vAlign w:val="center"/>
          </w:tcPr>
          <w:p w14:paraId="524A90E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11A6791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Three-pathway (inflammation/contraction/vascularity) framework; WOI biopsy; RNA-seq; validation by RT-qPCR</w:t>
            </w:r>
          </w:p>
        </w:tc>
        <w:tc>
          <w:tcPr>
            <w:tcW w:w="2592" w:type="dxa"/>
            <w:tcBorders>
              <w:top w:val="nil"/>
              <w:left w:val="nil"/>
              <w:bottom w:val="nil"/>
              <w:right w:val="nil"/>
            </w:tcBorders>
            <w:vAlign w:val="center"/>
          </w:tcPr>
          <w:p w14:paraId="3A811D0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0643B16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E0E364E" w14:textId="77777777">
        <w:trPr>
          <w:jc w:val="center"/>
        </w:trPr>
        <w:tc>
          <w:tcPr>
            <w:tcW w:w="2592" w:type="dxa"/>
            <w:tcBorders>
              <w:top w:val="nil"/>
              <w:left w:val="nil"/>
              <w:bottom w:val="nil"/>
              <w:right w:val="nil"/>
            </w:tcBorders>
            <w:vAlign w:val="center"/>
          </w:tcPr>
          <w:p w14:paraId="0E72C47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Lai ZZ et al., 2022 [22]</w:t>
            </w:r>
          </w:p>
        </w:tc>
        <w:tc>
          <w:tcPr>
            <w:tcW w:w="2592" w:type="dxa"/>
            <w:tcBorders>
              <w:top w:val="nil"/>
              <w:left w:val="nil"/>
              <w:bottom w:val="nil"/>
              <w:right w:val="nil"/>
            </w:tcBorders>
            <w:vAlign w:val="center"/>
          </w:tcPr>
          <w:p w14:paraId="63E8FB4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Bespoke </w:t>
            </w:r>
            <w:proofErr w:type="spellStart"/>
            <w:r w:rsidRPr="00D578DF">
              <w:rPr>
                <w:rFonts w:ascii="Times New Roman" w:hAnsi="Times New Roman" w:cs="Times New Roman"/>
                <w:sz w:val="20"/>
                <w:szCs w:val="20"/>
              </w:rPr>
              <w:t>scRNA</w:t>
            </w:r>
            <w:proofErr w:type="spellEnd"/>
            <w:r w:rsidRPr="00D578DF">
              <w:rPr>
                <w:rFonts w:ascii="Times New Roman" w:hAnsi="Times New Roman" w:cs="Times New Roman"/>
                <w:sz w:val="20"/>
                <w:szCs w:val="20"/>
              </w:rPr>
              <w:t>-seq QA</w:t>
            </w:r>
          </w:p>
        </w:tc>
        <w:tc>
          <w:tcPr>
            <w:tcW w:w="2592" w:type="dxa"/>
            <w:tcBorders>
              <w:top w:val="nil"/>
              <w:left w:val="nil"/>
              <w:bottom w:val="nil"/>
              <w:right w:val="nil"/>
            </w:tcBorders>
            <w:vAlign w:val="center"/>
          </w:tcPr>
          <w:p w14:paraId="7BFD978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Cell clustering quality (UMAP/t-SNE); cluster annotation; DEG between cell types; </w:t>
            </w:r>
            <w:proofErr w:type="spellStart"/>
            <w:r w:rsidRPr="00D578DF">
              <w:rPr>
                <w:rFonts w:ascii="Times New Roman" w:hAnsi="Times New Roman" w:cs="Times New Roman"/>
                <w:sz w:val="20"/>
                <w:szCs w:val="20"/>
              </w:rPr>
              <w:t>pseudotime</w:t>
            </w:r>
            <w:proofErr w:type="spellEnd"/>
            <w:r w:rsidRPr="00D578DF">
              <w:rPr>
                <w:rFonts w:ascii="Times New Roman" w:hAnsi="Times New Roman" w:cs="Times New Roman"/>
                <w:sz w:val="20"/>
                <w:szCs w:val="20"/>
              </w:rPr>
              <w:t xml:space="preserve"> trajectory analysis; </w:t>
            </w:r>
            <w:proofErr w:type="spellStart"/>
            <w:r w:rsidRPr="00D578DF">
              <w:rPr>
                <w:rFonts w:ascii="Times New Roman" w:hAnsi="Times New Roman" w:cs="Times New Roman"/>
                <w:sz w:val="20"/>
                <w:szCs w:val="20"/>
              </w:rPr>
              <w:t>Theranostics</w:t>
            </w:r>
            <w:proofErr w:type="spellEnd"/>
            <w:r w:rsidRPr="00D578DF">
              <w:rPr>
                <w:rFonts w:ascii="Times New Roman" w:hAnsi="Times New Roman" w:cs="Times New Roman"/>
                <w:sz w:val="20"/>
                <w:szCs w:val="20"/>
              </w:rPr>
              <w:t xml:space="preserve"> journal</w:t>
            </w:r>
          </w:p>
        </w:tc>
        <w:tc>
          <w:tcPr>
            <w:tcW w:w="2592" w:type="dxa"/>
            <w:tcBorders>
              <w:top w:val="nil"/>
              <w:left w:val="nil"/>
              <w:bottom w:val="nil"/>
              <w:right w:val="nil"/>
            </w:tcBorders>
            <w:vAlign w:val="center"/>
          </w:tcPr>
          <w:p w14:paraId="4AAB1F1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21D4716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7D25A7C" w14:textId="77777777">
        <w:trPr>
          <w:jc w:val="center"/>
        </w:trPr>
        <w:tc>
          <w:tcPr>
            <w:tcW w:w="2592" w:type="dxa"/>
            <w:tcBorders>
              <w:top w:val="nil"/>
              <w:left w:val="nil"/>
              <w:bottom w:val="nil"/>
              <w:right w:val="nil"/>
            </w:tcBorders>
            <w:vAlign w:val="center"/>
          </w:tcPr>
          <w:p w14:paraId="324644A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He A et al., 2023 [83]</w:t>
            </w:r>
          </w:p>
        </w:tc>
        <w:tc>
          <w:tcPr>
            <w:tcW w:w="2592" w:type="dxa"/>
            <w:tcBorders>
              <w:top w:val="nil"/>
              <w:left w:val="nil"/>
              <w:bottom w:val="nil"/>
              <w:right w:val="nil"/>
            </w:tcBorders>
            <w:vAlign w:val="center"/>
          </w:tcPr>
          <w:p w14:paraId="4CC466F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Non-invasive QA</w:t>
            </w:r>
          </w:p>
        </w:tc>
        <w:tc>
          <w:tcPr>
            <w:tcW w:w="2592" w:type="dxa"/>
            <w:tcBorders>
              <w:top w:val="nil"/>
              <w:left w:val="nil"/>
              <w:bottom w:val="nil"/>
              <w:right w:val="nil"/>
            </w:tcBorders>
            <w:vAlign w:val="center"/>
          </w:tcPr>
          <w:p w14:paraId="25AE5F8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Non-invasive vs. invasive concordance; RNA yield from uterine fluid; biomarker reproducibility; diagnostic proof-of-concept</w:t>
            </w:r>
          </w:p>
        </w:tc>
        <w:tc>
          <w:tcPr>
            <w:tcW w:w="2592" w:type="dxa"/>
            <w:tcBorders>
              <w:top w:val="nil"/>
              <w:left w:val="nil"/>
              <w:bottom w:val="nil"/>
              <w:right w:val="nil"/>
            </w:tcBorders>
            <w:vAlign w:val="center"/>
          </w:tcPr>
          <w:p w14:paraId="2D93A36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13F136D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7378366B" w14:textId="77777777">
        <w:trPr>
          <w:jc w:val="center"/>
        </w:trPr>
        <w:tc>
          <w:tcPr>
            <w:tcW w:w="2592" w:type="dxa"/>
            <w:tcBorders>
              <w:top w:val="nil"/>
              <w:left w:val="nil"/>
              <w:bottom w:val="nil"/>
              <w:right w:val="nil"/>
            </w:tcBorders>
            <w:vAlign w:val="center"/>
          </w:tcPr>
          <w:p w14:paraId="4BE6023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Bui BN et al., 2024 [63]</w:t>
            </w:r>
          </w:p>
        </w:tc>
        <w:tc>
          <w:tcPr>
            <w:tcW w:w="2592" w:type="dxa"/>
            <w:tcBorders>
              <w:top w:val="nil"/>
              <w:left w:val="nil"/>
              <w:bottom w:val="nil"/>
              <w:right w:val="nil"/>
            </w:tcBorders>
            <w:vAlign w:val="center"/>
          </w:tcPr>
          <w:p w14:paraId="51F0CB0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1DA9C8D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Prospective design; IVF outcome data (clinical pregnancy, live birth); WOI biopsy; RNA-seq pipeline</w:t>
            </w:r>
          </w:p>
        </w:tc>
        <w:tc>
          <w:tcPr>
            <w:tcW w:w="2592" w:type="dxa"/>
            <w:tcBorders>
              <w:top w:val="nil"/>
              <w:left w:val="nil"/>
              <w:bottom w:val="nil"/>
              <w:right w:val="nil"/>
            </w:tcBorders>
            <w:vAlign w:val="center"/>
          </w:tcPr>
          <w:p w14:paraId="158A151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6D58671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B002CAB" w14:textId="77777777">
        <w:trPr>
          <w:jc w:val="center"/>
        </w:trPr>
        <w:tc>
          <w:tcPr>
            <w:tcW w:w="2592" w:type="dxa"/>
            <w:tcBorders>
              <w:top w:val="nil"/>
              <w:left w:val="nil"/>
              <w:bottom w:val="nil"/>
              <w:right w:val="nil"/>
            </w:tcBorders>
            <w:vAlign w:val="center"/>
          </w:tcPr>
          <w:p w14:paraId="65CCAF5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Segura-Benítez et al., 2023 [81]</w:t>
            </w:r>
          </w:p>
        </w:tc>
        <w:tc>
          <w:tcPr>
            <w:tcW w:w="2592" w:type="dxa"/>
            <w:tcBorders>
              <w:top w:val="nil"/>
              <w:left w:val="nil"/>
              <w:bottom w:val="nil"/>
              <w:right w:val="nil"/>
            </w:tcBorders>
            <w:vAlign w:val="center"/>
          </w:tcPr>
          <w:p w14:paraId="786E876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EV/Functional QA</w:t>
            </w:r>
          </w:p>
        </w:tc>
        <w:tc>
          <w:tcPr>
            <w:tcW w:w="2592" w:type="dxa"/>
            <w:tcBorders>
              <w:top w:val="nil"/>
              <w:left w:val="nil"/>
              <w:bottom w:val="nil"/>
              <w:right w:val="nil"/>
            </w:tcBorders>
            <w:vAlign w:val="center"/>
          </w:tcPr>
          <w:p w14:paraId="434E21A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EV </w:t>
            </w:r>
            <w:proofErr w:type="spellStart"/>
            <w:r w:rsidRPr="00D578DF">
              <w:rPr>
                <w:rFonts w:ascii="Times New Roman" w:hAnsi="Times New Roman" w:cs="Times New Roman"/>
                <w:sz w:val="20"/>
                <w:szCs w:val="20"/>
              </w:rPr>
              <w:t>characterisation</w:t>
            </w:r>
            <w:proofErr w:type="spellEnd"/>
            <w:r w:rsidRPr="00D578DF">
              <w:rPr>
                <w:rFonts w:ascii="Times New Roman" w:hAnsi="Times New Roman" w:cs="Times New Roman"/>
                <w:sz w:val="20"/>
                <w:szCs w:val="20"/>
              </w:rPr>
              <w:t xml:space="preserve"> (size, marker); miRNA cargo sequencing; blastocyst uptake evidence; functional consequence of uptake</w:t>
            </w:r>
          </w:p>
        </w:tc>
        <w:tc>
          <w:tcPr>
            <w:tcW w:w="2592" w:type="dxa"/>
            <w:tcBorders>
              <w:top w:val="nil"/>
              <w:left w:val="nil"/>
              <w:bottom w:val="nil"/>
              <w:right w:val="nil"/>
            </w:tcBorders>
            <w:vAlign w:val="center"/>
          </w:tcPr>
          <w:p w14:paraId="276D372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23EA350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06DBEA29" w14:textId="77777777">
        <w:trPr>
          <w:jc w:val="center"/>
        </w:trPr>
        <w:tc>
          <w:tcPr>
            <w:tcW w:w="2592" w:type="dxa"/>
            <w:tcBorders>
              <w:top w:val="nil"/>
              <w:left w:val="nil"/>
              <w:bottom w:val="nil"/>
              <w:right w:val="nil"/>
            </w:tcBorders>
            <w:vAlign w:val="center"/>
          </w:tcPr>
          <w:p w14:paraId="00BE9D0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Zhou P et al., 2024 [72]</w:t>
            </w:r>
          </w:p>
        </w:tc>
        <w:tc>
          <w:tcPr>
            <w:tcW w:w="2592" w:type="dxa"/>
            <w:tcBorders>
              <w:top w:val="nil"/>
              <w:left w:val="nil"/>
              <w:bottom w:val="nil"/>
              <w:right w:val="nil"/>
            </w:tcBorders>
            <w:vAlign w:val="center"/>
          </w:tcPr>
          <w:p w14:paraId="2B99CCA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 NOS</w:t>
            </w:r>
          </w:p>
        </w:tc>
        <w:tc>
          <w:tcPr>
            <w:tcW w:w="2592" w:type="dxa"/>
            <w:tcBorders>
              <w:top w:val="nil"/>
              <w:left w:val="nil"/>
              <w:bottom w:val="nil"/>
              <w:right w:val="nil"/>
            </w:tcBorders>
            <w:vAlign w:val="center"/>
          </w:tcPr>
          <w:p w14:paraId="464D4A0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CIBERSORT immune deconvolution; IHC validation; cytokine expression analysis; bioinformatic </w:t>
            </w:r>
            <w:proofErr w:type="spellStart"/>
            <w:r w:rsidRPr="00D578DF">
              <w:rPr>
                <w:rFonts w:ascii="Times New Roman" w:hAnsi="Times New Roman" w:cs="Times New Roman"/>
                <w:sz w:val="20"/>
                <w:szCs w:val="20"/>
              </w:rPr>
              <w:t>rigour</w:t>
            </w:r>
            <w:proofErr w:type="spellEnd"/>
          </w:p>
        </w:tc>
        <w:tc>
          <w:tcPr>
            <w:tcW w:w="2592" w:type="dxa"/>
            <w:tcBorders>
              <w:top w:val="nil"/>
              <w:left w:val="nil"/>
              <w:bottom w:val="nil"/>
              <w:right w:val="nil"/>
            </w:tcBorders>
            <w:vAlign w:val="center"/>
          </w:tcPr>
          <w:p w14:paraId="1E1EFE8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261821F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5F9820A1" w14:textId="77777777">
        <w:trPr>
          <w:jc w:val="center"/>
        </w:trPr>
        <w:tc>
          <w:tcPr>
            <w:tcW w:w="2592" w:type="dxa"/>
            <w:tcBorders>
              <w:top w:val="nil"/>
              <w:left w:val="nil"/>
              <w:bottom w:val="nil"/>
              <w:right w:val="nil"/>
            </w:tcBorders>
            <w:vAlign w:val="center"/>
          </w:tcPr>
          <w:p w14:paraId="3DB2C9D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Cao D et al., 2025 [20]</w:t>
            </w:r>
          </w:p>
        </w:tc>
        <w:tc>
          <w:tcPr>
            <w:tcW w:w="2592" w:type="dxa"/>
            <w:tcBorders>
              <w:top w:val="nil"/>
              <w:left w:val="nil"/>
              <w:bottom w:val="nil"/>
              <w:right w:val="nil"/>
            </w:tcBorders>
            <w:vAlign w:val="center"/>
          </w:tcPr>
          <w:p w14:paraId="0EF4FCC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Bespoke </w:t>
            </w:r>
            <w:proofErr w:type="spellStart"/>
            <w:r w:rsidRPr="00D578DF">
              <w:rPr>
                <w:rFonts w:ascii="Times New Roman" w:hAnsi="Times New Roman" w:cs="Times New Roman"/>
                <w:sz w:val="20"/>
                <w:szCs w:val="20"/>
              </w:rPr>
              <w:t>scRNA</w:t>
            </w:r>
            <w:proofErr w:type="spellEnd"/>
            <w:r w:rsidRPr="00D578DF">
              <w:rPr>
                <w:rFonts w:ascii="Times New Roman" w:hAnsi="Times New Roman" w:cs="Times New Roman"/>
                <w:sz w:val="20"/>
                <w:szCs w:val="20"/>
              </w:rPr>
              <w:t>-seq + Longitudinal QA</w:t>
            </w:r>
          </w:p>
        </w:tc>
        <w:tc>
          <w:tcPr>
            <w:tcW w:w="2592" w:type="dxa"/>
            <w:tcBorders>
              <w:top w:val="nil"/>
              <w:left w:val="nil"/>
              <w:bottom w:val="nil"/>
              <w:right w:val="nil"/>
            </w:tcBorders>
            <w:vAlign w:val="center"/>
          </w:tcPr>
          <w:p w14:paraId="6791BAA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Multi-timepoint design; trajectory analysis; dynamic cell state mapping; Nature Communications peer review</w:t>
            </w:r>
          </w:p>
        </w:tc>
        <w:tc>
          <w:tcPr>
            <w:tcW w:w="2592" w:type="dxa"/>
            <w:tcBorders>
              <w:top w:val="nil"/>
              <w:left w:val="nil"/>
              <w:bottom w:val="nil"/>
              <w:right w:val="nil"/>
            </w:tcBorders>
            <w:vAlign w:val="center"/>
          </w:tcPr>
          <w:p w14:paraId="5CB17AA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1FBAE2B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Excellent</w:t>
            </w:r>
          </w:p>
        </w:tc>
      </w:tr>
      <w:tr w:rsidR="005367AA" w:rsidRPr="00D578DF" w14:paraId="07AB0CF8" w14:textId="77777777">
        <w:trPr>
          <w:jc w:val="center"/>
        </w:trPr>
        <w:tc>
          <w:tcPr>
            <w:tcW w:w="2592" w:type="dxa"/>
            <w:tcBorders>
              <w:top w:val="nil"/>
              <w:left w:val="nil"/>
              <w:bottom w:val="nil"/>
              <w:right w:val="nil"/>
            </w:tcBorders>
            <w:vAlign w:val="center"/>
          </w:tcPr>
          <w:p w14:paraId="6A28A96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Yang J et al., 2025 [71]</w:t>
            </w:r>
          </w:p>
        </w:tc>
        <w:tc>
          <w:tcPr>
            <w:tcW w:w="2592" w:type="dxa"/>
            <w:tcBorders>
              <w:top w:val="nil"/>
              <w:left w:val="nil"/>
              <w:bottom w:val="nil"/>
              <w:right w:val="nil"/>
            </w:tcBorders>
            <w:vAlign w:val="center"/>
          </w:tcPr>
          <w:p w14:paraId="34F7203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Bespoke </w:t>
            </w:r>
            <w:proofErr w:type="spellStart"/>
            <w:r w:rsidRPr="00D578DF">
              <w:rPr>
                <w:rFonts w:ascii="Times New Roman" w:hAnsi="Times New Roman" w:cs="Times New Roman"/>
                <w:sz w:val="20"/>
                <w:szCs w:val="20"/>
              </w:rPr>
              <w:t>scRNA</w:t>
            </w:r>
            <w:proofErr w:type="spellEnd"/>
            <w:r w:rsidRPr="00D578DF">
              <w:rPr>
                <w:rFonts w:ascii="Times New Roman" w:hAnsi="Times New Roman" w:cs="Times New Roman"/>
                <w:sz w:val="20"/>
                <w:szCs w:val="20"/>
              </w:rPr>
              <w:t>-seq + Multi-cohort QA</w:t>
            </w:r>
          </w:p>
        </w:tc>
        <w:tc>
          <w:tcPr>
            <w:tcW w:w="2592" w:type="dxa"/>
            <w:tcBorders>
              <w:top w:val="nil"/>
              <w:left w:val="nil"/>
              <w:bottom w:val="nil"/>
              <w:right w:val="nil"/>
            </w:tcBorders>
            <w:vAlign w:val="center"/>
          </w:tcPr>
          <w:p w14:paraId="079AE0D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Multi-</w:t>
            </w:r>
            <w:proofErr w:type="spellStart"/>
            <w:r w:rsidRPr="00D578DF">
              <w:rPr>
                <w:rFonts w:ascii="Times New Roman" w:hAnsi="Times New Roman" w:cs="Times New Roman"/>
                <w:sz w:val="20"/>
                <w:szCs w:val="20"/>
              </w:rPr>
              <w:t>centre</w:t>
            </w:r>
            <w:proofErr w:type="spellEnd"/>
            <w:r w:rsidRPr="00D578DF">
              <w:rPr>
                <w:rFonts w:ascii="Times New Roman" w:hAnsi="Times New Roman" w:cs="Times New Roman"/>
                <w:sz w:val="20"/>
                <w:szCs w:val="20"/>
              </w:rPr>
              <w:t xml:space="preserve"> design; molecular subtyping framework; clinical actionability; subtype-specific pathway analysis</w:t>
            </w:r>
          </w:p>
        </w:tc>
        <w:tc>
          <w:tcPr>
            <w:tcW w:w="2592" w:type="dxa"/>
            <w:tcBorders>
              <w:top w:val="nil"/>
              <w:left w:val="nil"/>
              <w:bottom w:val="nil"/>
              <w:right w:val="nil"/>
            </w:tcBorders>
            <w:vAlign w:val="center"/>
          </w:tcPr>
          <w:p w14:paraId="5BB0D7F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2A5B327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Excellent</w:t>
            </w:r>
          </w:p>
        </w:tc>
      </w:tr>
      <w:tr w:rsidR="005367AA" w:rsidRPr="00D578DF" w14:paraId="01873644" w14:textId="77777777">
        <w:trPr>
          <w:jc w:val="center"/>
        </w:trPr>
        <w:tc>
          <w:tcPr>
            <w:tcW w:w="2592" w:type="dxa"/>
            <w:tcBorders>
              <w:top w:val="nil"/>
              <w:left w:val="nil"/>
              <w:bottom w:val="nil"/>
              <w:right w:val="nil"/>
            </w:tcBorders>
            <w:vAlign w:val="center"/>
          </w:tcPr>
          <w:p w14:paraId="481D397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Feng X et al., 2022 [74]</w:t>
            </w:r>
          </w:p>
        </w:tc>
        <w:tc>
          <w:tcPr>
            <w:tcW w:w="2592" w:type="dxa"/>
            <w:tcBorders>
              <w:top w:val="nil"/>
              <w:left w:val="nil"/>
              <w:bottom w:val="nil"/>
              <w:right w:val="nil"/>
            </w:tcBorders>
            <w:vAlign w:val="center"/>
          </w:tcPr>
          <w:p w14:paraId="243387D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QA</w:t>
            </w:r>
          </w:p>
        </w:tc>
        <w:tc>
          <w:tcPr>
            <w:tcW w:w="2592" w:type="dxa"/>
            <w:tcBorders>
              <w:top w:val="nil"/>
              <w:left w:val="nil"/>
              <w:bottom w:val="nil"/>
              <w:right w:val="nil"/>
            </w:tcBorders>
            <w:vAlign w:val="center"/>
          </w:tcPr>
          <w:p w14:paraId="67EF209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Multi-cohort integration and batch correction; DEG/enrichment analysis; CIBERSORT immune deconvolution; PPI/</w:t>
            </w:r>
            <w:proofErr w:type="spellStart"/>
            <w:r w:rsidRPr="00D578DF">
              <w:rPr>
                <w:rFonts w:ascii="Times New Roman" w:hAnsi="Times New Roman" w:cs="Times New Roman"/>
                <w:sz w:val="20"/>
                <w:szCs w:val="20"/>
              </w:rPr>
              <w:t>CytoHubba</w:t>
            </w:r>
            <w:proofErr w:type="spellEnd"/>
            <w:r w:rsidRPr="00D578DF">
              <w:rPr>
                <w:rFonts w:ascii="Times New Roman" w:hAnsi="Times New Roman" w:cs="Times New Roman"/>
                <w:sz w:val="20"/>
                <w:szCs w:val="20"/>
              </w:rPr>
              <w:t xml:space="preserve"> hub-gene selection; external endometrial-data verification</w:t>
            </w:r>
          </w:p>
        </w:tc>
        <w:tc>
          <w:tcPr>
            <w:tcW w:w="2592" w:type="dxa"/>
            <w:tcBorders>
              <w:top w:val="nil"/>
              <w:left w:val="nil"/>
              <w:bottom w:val="nil"/>
              <w:right w:val="nil"/>
            </w:tcBorders>
            <w:vAlign w:val="center"/>
          </w:tcPr>
          <w:p w14:paraId="5BC31B3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66F9358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12A33929" w14:textId="77777777">
        <w:trPr>
          <w:jc w:val="center"/>
        </w:trPr>
        <w:tc>
          <w:tcPr>
            <w:tcW w:w="2592" w:type="dxa"/>
            <w:tcBorders>
              <w:top w:val="nil"/>
              <w:left w:val="nil"/>
              <w:bottom w:val="nil"/>
              <w:right w:val="nil"/>
            </w:tcBorders>
            <w:vAlign w:val="center"/>
          </w:tcPr>
          <w:p w14:paraId="3B39875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Tan Y et al., 2025 [78]</w:t>
            </w:r>
          </w:p>
        </w:tc>
        <w:tc>
          <w:tcPr>
            <w:tcW w:w="2592" w:type="dxa"/>
            <w:tcBorders>
              <w:top w:val="nil"/>
              <w:left w:val="nil"/>
              <w:bottom w:val="nil"/>
              <w:right w:val="nil"/>
            </w:tcBorders>
            <w:vAlign w:val="center"/>
          </w:tcPr>
          <w:p w14:paraId="290A477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0A644EE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miRNA-31 quantification (RT-qPCR); WOI biopsy timing; correlation with clinical parameters; ROC analysis</w:t>
            </w:r>
          </w:p>
        </w:tc>
        <w:tc>
          <w:tcPr>
            <w:tcW w:w="2592" w:type="dxa"/>
            <w:tcBorders>
              <w:top w:val="nil"/>
              <w:left w:val="nil"/>
              <w:bottom w:val="nil"/>
              <w:right w:val="nil"/>
            </w:tcBorders>
            <w:vAlign w:val="center"/>
          </w:tcPr>
          <w:p w14:paraId="453420B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7BD76DF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09628DA2" w14:textId="77777777">
        <w:trPr>
          <w:jc w:val="center"/>
        </w:trPr>
        <w:tc>
          <w:tcPr>
            <w:tcW w:w="2592" w:type="dxa"/>
            <w:tcBorders>
              <w:top w:val="nil"/>
              <w:left w:val="nil"/>
              <w:bottom w:val="nil"/>
              <w:right w:val="nil"/>
            </w:tcBorders>
            <w:vAlign w:val="center"/>
          </w:tcPr>
          <w:p w14:paraId="1AD4A0D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Xu S et al., 2025 [80]</w:t>
            </w:r>
          </w:p>
        </w:tc>
        <w:tc>
          <w:tcPr>
            <w:tcW w:w="2592" w:type="dxa"/>
            <w:tcBorders>
              <w:top w:val="nil"/>
              <w:left w:val="nil"/>
              <w:bottom w:val="nil"/>
              <w:right w:val="nil"/>
            </w:tcBorders>
            <w:vAlign w:val="center"/>
          </w:tcPr>
          <w:p w14:paraId="6A2BA58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Non-invasive QA</w:t>
            </w:r>
          </w:p>
        </w:tc>
        <w:tc>
          <w:tcPr>
            <w:tcW w:w="2592" w:type="dxa"/>
            <w:tcBorders>
              <w:top w:val="nil"/>
              <w:left w:val="nil"/>
              <w:bottom w:val="nil"/>
              <w:right w:val="nil"/>
            </w:tcBorders>
            <w:vAlign w:val="center"/>
          </w:tcPr>
          <w:p w14:paraId="277B3B0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Non-invasive sampling; </w:t>
            </w:r>
            <w:proofErr w:type="spellStart"/>
            <w:r w:rsidRPr="00D578DF">
              <w:rPr>
                <w:rFonts w:ascii="Times New Roman" w:hAnsi="Times New Roman" w:cs="Times New Roman"/>
                <w:sz w:val="20"/>
                <w:szCs w:val="20"/>
              </w:rPr>
              <w:t>sncRNA</w:t>
            </w:r>
            <w:proofErr w:type="spellEnd"/>
            <w:r w:rsidRPr="00D578DF">
              <w:rPr>
                <w:rFonts w:ascii="Times New Roman" w:hAnsi="Times New Roman" w:cs="Times New Roman"/>
                <w:sz w:val="20"/>
                <w:szCs w:val="20"/>
              </w:rPr>
              <w:t xml:space="preserve"> sequencing platform; correlation with IVF outcomes; ROC analysis</w:t>
            </w:r>
          </w:p>
        </w:tc>
        <w:tc>
          <w:tcPr>
            <w:tcW w:w="2592" w:type="dxa"/>
            <w:tcBorders>
              <w:top w:val="nil"/>
              <w:left w:val="nil"/>
              <w:bottom w:val="nil"/>
              <w:right w:val="nil"/>
            </w:tcBorders>
            <w:vAlign w:val="center"/>
          </w:tcPr>
          <w:p w14:paraId="3D94AB2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0B77AE3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54F0F592" w14:textId="77777777">
        <w:trPr>
          <w:jc w:val="center"/>
        </w:trPr>
        <w:tc>
          <w:tcPr>
            <w:tcW w:w="2592" w:type="dxa"/>
            <w:tcBorders>
              <w:top w:val="nil"/>
              <w:left w:val="nil"/>
              <w:bottom w:val="nil"/>
              <w:right w:val="nil"/>
            </w:tcBorders>
            <w:vAlign w:val="center"/>
          </w:tcPr>
          <w:p w14:paraId="24E02EA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Zeng H et al., 2021 [79]</w:t>
            </w:r>
          </w:p>
        </w:tc>
        <w:tc>
          <w:tcPr>
            <w:tcW w:w="2592" w:type="dxa"/>
            <w:tcBorders>
              <w:top w:val="nil"/>
              <w:left w:val="nil"/>
              <w:bottom w:val="nil"/>
              <w:right w:val="nil"/>
            </w:tcBorders>
            <w:vAlign w:val="center"/>
          </w:tcPr>
          <w:p w14:paraId="476BB73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EV QA</w:t>
            </w:r>
          </w:p>
        </w:tc>
        <w:tc>
          <w:tcPr>
            <w:tcW w:w="2592" w:type="dxa"/>
            <w:tcBorders>
              <w:top w:val="nil"/>
              <w:left w:val="nil"/>
              <w:bottom w:val="nil"/>
              <w:right w:val="nil"/>
            </w:tcBorders>
            <w:vAlign w:val="center"/>
          </w:tcPr>
          <w:p w14:paraId="0A60389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EV isolation protocol; miRNA sequencing; plasma vs. exosome comparison; WOI timing</w:t>
            </w:r>
          </w:p>
        </w:tc>
        <w:tc>
          <w:tcPr>
            <w:tcW w:w="2592" w:type="dxa"/>
            <w:tcBorders>
              <w:top w:val="nil"/>
              <w:left w:val="nil"/>
              <w:bottom w:val="nil"/>
              <w:right w:val="nil"/>
            </w:tcBorders>
            <w:vAlign w:val="center"/>
          </w:tcPr>
          <w:p w14:paraId="28686FA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4990D96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162EFFE" w14:textId="77777777">
        <w:trPr>
          <w:jc w:val="center"/>
        </w:trPr>
        <w:tc>
          <w:tcPr>
            <w:tcW w:w="2592" w:type="dxa"/>
            <w:tcBorders>
              <w:top w:val="nil"/>
              <w:left w:val="nil"/>
              <w:bottom w:val="nil"/>
              <w:right w:val="nil"/>
            </w:tcBorders>
            <w:vAlign w:val="center"/>
          </w:tcPr>
          <w:p w14:paraId="3B09C1D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Apostolov A et al., 2025 [89]</w:t>
            </w:r>
          </w:p>
        </w:tc>
        <w:tc>
          <w:tcPr>
            <w:tcW w:w="2592" w:type="dxa"/>
            <w:tcBorders>
              <w:top w:val="nil"/>
              <w:left w:val="nil"/>
              <w:bottom w:val="nil"/>
              <w:right w:val="nil"/>
            </w:tcBorders>
            <w:vAlign w:val="center"/>
          </w:tcPr>
          <w:p w14:paraId="005F6E1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Multi-omics EV QA</w:t>
            </w:r>
          </w:p>
        </w:tc>
        <w:tc>
          <w:tcPr>
            <w:tcW w:w="2592" w:type="dxa"/>
            <w:tcBorders>
              <w:top w:val="nil"/>
              <w:left w:val="nil"/>
              <w:bottom w:val="nil"/>
              <w:right w:val="nil"/>
            </w:tcBorders>
            <w:vAlign w:val="center"/>
          </w:tcPr>
          <w:p w14:paraId="680E44C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EV </w:t>
            </w:r>
            <w:proofErr w:type="spellStart"/>
            <w:r w:rsidRPr="00D578DF">
              <w:rPr>
                <w:rFonts w:ascii="Times New Roman" w:hAnsi="Times New Roman" w:cs="Times New Roman"/>
                <w:sz w:val="20"/>
                <w:szCs w:val="20"/>
              </w:rPr>
              <w:t>characterisation</w:t>
            </w:r>
            <w:proofErr w:type="spellEnd"/>
            <w:r w:rsidRPr="00D578DF">
              <w:rPr>
                <w:rFonts w:ascii="Times New Roman" w:hAnsi="Times New Roman" w:cs="Times New Roman"/>
                <w:sz w:val="20"/>
                <w:szCs w:val="20"/>
              </w:rPr>
              <w:t>; cycle-phase comparison; tissue concordance analysis; multi-omics integration</w:t>
            </w:r>
          </w:p>
        </w:tc>
        <w:tc>
          <w:tcPr>
            <w:tcW w:w="2592" w:type="dxa"/>
            <w:tcBorders>
              <w:top w:val="nil"/>
              <w:left w:val="nil"/>
              <w:bottom w:val="nil"/>
              <w:right w:val="nil"/>
            </w:tcBorders>
            <w:vAlign w:val="center"/>
          </w:tcPr>
          <w:p w14:paraId="0671BF3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54C1944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3E8D783B" w14:textId="77777777">
        <w:trPr>
          <w:jc w:val="center"/>
        </w:trPr>
        <w:tc>
          <w:tcPr>
            <w:tcW w:w="2592" w:type="dxa"/>
            <w:tcBorders>
              <w:top w:val="nil"/>
              <w:left w:val="nil"/>
              <w:bottom w:val="nil"/>
              <w:right w:val="nil"/>
            </w:tcBorders>
            <w:vAlign w:val="center"/>
          </w:tcPr>
          <w:p w14:paraId="6B9DA89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Evans J et al., 2020 [90]</w:t>
            </w:r>
          </w:p>
        </w:tc>
        <w:tc>
          <w:tcPr>
            <w:tcW w:w="2592" w:type="dxa"/>
            <w:tcBorders>
              <w:top w:val="nil"/>
              <w:left w:val="nil"/>
              <w:bottom w:val="nil"/>
              <w:right w:val="nil"/>
            </w:tcBorders>
            <w:vAlign w:val="center"/>
          </w:tcPr>
          <w:p w14:paraId="1A5936A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Proteomics QA</w:t>
            </w:r>
          </w:p>
        </w:tc>
        <w:tc>
          <w:tcPr>
            <w:tcW w:w="2592" w:type="dxa"/>
            <w:tcBorders>
              <w:top w:val="nil"/>
              <w:left w:val="nil"/>
              <w:bottom w:val="nil"/>
              <w:right w:val="nil"/>
            </w:tcBorders>
            <w:vAlign w:val="center"/>
          </w:tcPr>
          <w:p w14:paraId="6B921B9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LC-MS/MS platform quality; protein ID confidence; biological replicate number; pathway enrichment; embryo-endometrium crosstalk focus</w:t>
            </w:r>
          </w:p>
        </w:tc>
        <w:tc>
          <w:tcPr>
            <w:tcW w:w="2592" w:type="dxa"/>
            <w:tcBorders>
              <w:top w:val="nil"/>
              <w:left w:val="nil"/>
              <w:bottom w:val="nil"/>
              <w:right w:val="nil"/>
            </w:tcBorders>
            <w:vAlign w:val="center"/>
          </w:tcPr>
          <w:p w14:paraId="5F39BD9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452BDB6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3A81046" w14:textId="77777777">
        <w:trPr>
          <w:jc w:val="center"/>
        </w:trPr>
        <w:tc>
          <w:tcPr>
            <w:tcW w:w="2592" w:type="dxa"/>
            <w:tcBorders>
              <w:top w:val="nil"/>
              <w:left w:val="nil"/>
              <w:bottom w:val="nil"/>
              <w:right w:val="nil"/>
            </w:tcBorders>
            <w:vAlign w:val="center"/>
          </w:tcPr>
          <w:p w14:paraId="544A398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Perez-</w:t>
            </w:r>
            <w:proofErr w:type="gramStart"/>
            <w:r w:rsidRPr="00D578DF">
              <w:rPr>
                <w:rFonts w:ascii="Times New Roman" w:hAnsi="Times New Roman" w:cs="Times New Roman"/>
                <w:sz w:val="20"/>
                <w:szCs w:val="20"/>
              </w:rPr>
              <w:t>Deben  et al.</w:t>
            </w:r>
            <w:proofErr w:type="gramEnd"/>
            <w:r w:rsidRPr="00D578DF">
              <w:rPr>
                <w:rFonts w:ascii="Times New Roman" w:hAnsi="Times New Roman" w:cs="Times New Roman"/>
                <w:sz w:val="20"/>
                <w:szCs w:val="20"/>
              </w:rPr>
              <w:t>, 2019 [91]</w:t>
            </w:r>
          </w:p>
        </w:tc>
        <w:tc>
          <w:tcPr>
            <w:tcW w:w="2592" w:type="dxa"/>
            <w:tcBorders>
              <w:top w:val="nil"/>
              <w:left w:val="nil"/>
              <w:bottom w:val="nil"/>
              <w:right w:val="nil"/>
            </w:tcBorders>
            <w:vAlign w:val="center"/>
          </w:tcPr>
          <w:p w14:paraId="3E8E2F4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Proteomics QA</w:t>
            </w:r>
          </w:p>
        </w:tc>
        <w:tc>
          <w:tcPr>
            <w:tcW w:w="2592" w:type="dxa"/>
            <w:tcBorders>
              <w:top w:val="nil"/>
              <w:left w:val="nil"/>
              <w:bottom w:val="nil"/>
              <w:right w:val="nil"/>
            </w:tcBorders>
            <w:vAlign w:val="center"/>
          </w:tcPr>
          <w:p w14:paraId="6FB7E5CB"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iTRAQ</w:t>
            </w:r>
            <w:proofErr w:type="spellEnd"/>
            <w:r w:rsidRPr="00D578DF">
              <w:rPr>
                <w:rFonts w:ascii="Times New Roman" w:hAnsi="Times New Roman" w:cs="Times New Roman"/>
                <w:sz w:val="20"/>
                <w:szCs w:val="20"/>
              </w:rPr>
              <w:t xml:space="preserve"> quantification accuracy; FDR protein ID; WOI </w:t>
            </w:r>
            <w:proofErr w:type="spellStart"/>
            <w:r w:rsidRPr="00D578DF">
              <w:rPr>
                <w:rFonts w:ascii="Times New Roman" w:hAnsi="Times New Roman" w:cs="Times New Roman"/>
                <w:sz w:val="20"/>
                <w:szCs w:val="20"/>
              </w:rPr>
              <w:t>synchronisation</w:t>
            </w:r>
            <w:proofErr w:type="spellEnd"/>
            <w:r w:rsidRPr="00D578DF">
              <w:rPr>
                <w:rFonts w:ascii="Times New Roman" w:hAnsi="Times New Roman" w:cs="Times New Roman"/>
                <w:sz w:val="20"/>
                <w:szCs w:val="20"/>
              </w:rPr>
              <w:t>; biological pathway analysis; Journal of Proteomics</w:t>
            </w:r>
          </w:p>
        </w:tc>
        <w:tc>
          <w:tcPr>
            <w:tcW w:w="2592" w:type="dxa"/>
            <w:tcBorders>
              <w:top w:val="nil"/>
              <w:left w:val="nil"/>
              <w:bottom w:val="nil"/>
              <w:right w:val="nil"/>
            </w:tcBorders>
            <w:vAlign w:val="center"/>
          </w:tcPr>
          <w:p w14:paraId="7CF78F6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40449F8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1D8DD502" w14:textId="77777777">
        <w:trPr>
          <w:jc w:val="center"/>
        </w:trPr>
        <w:tc>
          <w:tcPr>
            <w:tcW w:w="2592" w:type="dxa"/>
            <w:tcBorders>
              <w:top w:val="nil"/>
              <w:left w:val="nil"/>
              <w:bottom w:val="nil"/>
              <w:right w:val="nil"/>
            </w:tcBorders>
            <w:vAlign w:val="center"/>
          </w:tcPr>
          <w:p w14:paraId="0185234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Nishio et al., 2024 [29]</w:t>
            </w:r>
          </w:p>
        </w:tc>
        <w:tc>
          <w:tcPr>
            <w:tcW w:w="2592" w:type="dxa"/>
            <w:tcBorders>
              <w:top w:val="nil"/>
              <w:left w:val="nil"/>
              <w:bottom w:val="nil"/>
              <w:right w:val="nil"/>
            </w:tcBorders>
            <w:vAlign w:val="center"/>
          </w:tcPr>
          <w:p w14:paraId="6BA7FA9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Multi-omics QA</w:t>
            </w:r>
          </w:p>
        </w:tc>
        <w:tc>
          <w:tcPr>
            <w:tcW w:w="2592" w:type="dxa"/>
            <w:tcBorders>
              <w:top w:val="nil"/>
              <w:left w:val="nil"/>
              <w:bottom w:val="nil"/>
              <w:right w:val="nil"/>
            </w:tcBorders>
            <w:vAlign w:val="center"/>
          </w:tcPr>
          <w:p w14:paraId="264566D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Prospective IVF-ET sampling; LC-MS metabolomics; 16S/</w:t>
            </w:r>
            <w:proofErr w:type="spellStart"/>
            <w:r w:rsidRPr="00D578DF">
              <w:rPr>
                <w:rFonts w:ascii="Times New Roman" w:hAnsi="Times New Roman" w:cs="Times New Roman"/>
                <w:sz w:val="20"/>
                <w:szCs w:val="20"/>
              </w:rPr>
              <w:t>MiSeq</w:t>
            </w:r>
            <w:proofErr w:type="spellEnd"/>
            <w:r w:rsidRPr="00D578DF">
              <w:rPr>
                <w:rFonts w:ascii="Times New Roman" w:hAnsi="Times New Roman" w:cs="Times New Roman"/>
                <w:sz w:val="20"/>
                <w:szCs w:val="20"/>
              </w:rPr>
              <w:t xml:space="preserve"> microbiome profiling; outcome-linked analysis; pathway analysis; sample size and external-validation limitations; contextual non-RIF relevance</w:t>
            </w:r>
          </w:p>
        </w:tc>
        <w:tc>
          <w:tcPr>
            <w:tcW w:w="2592" w:type="dxa"/>
            <w:tcBorders>
              <w:top w:val="nil"/>
              <w:left w:val="nil"/>
              <w:bottom w:val="nil"/>
              <w:right w:val="nil"/>
            </w:tcBorders>
            <w:vAlign w:val="center"/>
          </w:tcPr>
          <w:p w14:paraId="4F8758B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1664368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012C7661" w14:textId="77777777">
        <w:trPr>
          <w:jc w:val="center"/>
        </w:trPr>
        <w:tc>
          <w:tcPr>
            <w:tcW w:w="2592" w:type="dxa"/>
            <w:tcBorders>
              <w:top w:val="nil"/>
              <w:left w:val="nil"/>
              <w:bottom w:val="nil"/>
              <w:right w:val="nil"/>
            </w:tcBorders>
            <w:vAlign w:val="center"/>
          </w:tcPr>
          <w:p w14:paraId="6531650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Segura-Benítez et al., 2022 [88]</w:t>
            </w:r>
          </w:p>
        </w:tc>
        <w:tc>
          <w:tcPr>
            <w:tcW w:w="2592" w:type="dxa"/>
            <w:tcBorders>
              <w:top w:val="nil"/>
              <w:left w:val="nil"/>
              <w:bottom w:val="nil"/>
              <w:right w:val="nil"/>
            </w:tcBorders>
            <w:vAlign w:val="center"/>
          </w:tcPr>
          <w:p w14:paraId="32FD72F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EV + Functional QA</w:t>
            </w:r>
          </w:p>
        </w:tc>
        <w:tc>
          <w:tcPr>
            <w:tcW w:w="2592" w:type="dxa"/>
            <w:tcBorders>
              <w:top w:val="nil"/>
              <w:left w:val="nil"/>
              <w:bottom w:val="nil"/>
              <w:right w:val="nil"/>
            </w:tcBorders>
            <w:vAlign w:val="center"/>
          </w:tcPr>
          <w:p w14:paraId="40305B2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EV </w:t>
            </w:r>
            <w:proofErr w:type="spellStart"/>
            <w:r w:rsidRPr="00D578DF">
              <w:rPr>
                <w:rFonts w:ascii="Times New Roman" w:hAnsi="Times New Roman" w:cs="Times New Roman"/>
                <w:sz w:val="20"/>
                <w:szCs w:val="20"/>
              </w:rPr>
              <w:t>characterisation</w:t>
            </w:r>
            <w:proofErr w:type="spellEnd"/>
            <w:r w:rsidRPr="00D578DF">
              <w:rPr>
                <w:rFonts w:ascii="Times New Roman" w:hAnsi="Times New Roman" w:cs="Times New Roman"/>
                <w:sz w:val="20"/>
                <w:szCs w:val="20"/>
              </w:rPr>
              <w:t xml:space="preserve"> (NTA, TEM, markers); protein cargo catalogue; embryo-relevant protein identification; cell culture model validity</w:t>
            </w:r>
          </w:p>
        </w:tc>
        <w:tc>
          <w:tcPr>
            <w:tcW w:w="2592" w:type="dxa"/>
            <w:tcBorders>
              <w:top w:val="nil"/>
              <w:left w:val="nil"/>
              <w:bottom w:val="nil"/>
              <w:right w:val="nil"/>
            </w:tcBorders>
            <w:vAlign w:val="center"/>
          </w:tcPr>
          <w:p w14:paraId="1A24BBF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0E4B7DF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052C513B" w14:textId="77777777">
        <w:trPr>
          <w:jc w:val="center"/>
        </w:trPr>
        <w:tc>
          <w:tcPr>
            <w:tcW w:w="2592" w:type="dxa"/>
            <w:tcBorders>
              <w:top w:val="nil"/>
              <w:left w:val="nil"/>
              <w:bottom w:val="nil"/>
              <w:right w:val="nil"/>
            </w:tcBorders>
            <w:vAlign w:val="center"/>
          </w:tcPr>
          <w:p w14:paraId="21C60E3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Hernández-Vargas et al., 2020 [84]</w:t>
            </w:r>
          </w:p>
        </w:tc>
        <w:tc>
          <w:tcPr>
            <w:tcW w:w="2592" w:type="dxa"/>
            <w:tcBorders>
              <w:top w:val="nil"/>
              <w:left w:val="nil"/>
              <w:bottom w:val="nil"/>
              <w:right w:val="nil"/>
            </w:tcBorders>
            <w:vAlign w:val="center"/>
          </w:tcPr>
          <w:p w14:paraId="461BA5C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w:t>
            </w:r>
          </w:p>
        </w:tc>
        <w:tc>
          <w:tcPr>
            <w:tcW w:w="2592" w:type="dxa"/>
            <w:tcBorders>
              <w:top w:val="nil"/>
              <w:left w:val="nil"/>
              <w:bottom w:val="nil"/>
              <w:right w:val="nil"/>
            </w:tcBorders>
            <w:vAlign w:val="center"/>
          </w:tcPr>
          <w:p w14:paraId="2DB2995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Systematic search; multi-omics coverage; clinical translation critique; biomarker validation criteria discussion</w:t>
            </w:r>
          </w:p>
        </w:tc>
        <w:tc>
          <w:tcPr>
            <w:tcW w:w="2592" w:type="dxa"/>
            <w:tcBorders>
              <w:top w:val="nil"/>
              <w:left w:val="nil"/>
              <w:bottom w:val="nil"/>
              <w:right w:val="nil"/>
            </w:tcBorders>
            <w:vAlign w:val="center"/>
          </w:tcPr>
          <w:p w14:paraId="37B0A36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w:t>
            </w:r>
          </w:p>
        </w:tc>
        <w:tc>
          <w:tcPr>
            <w:tcW w:w="2592" w:type="dxa"/>
            <w:tcBorders>
              <w:top w:val="nil"/>
              <w:left w:val="nil"/>
              <w:bottom w:val="nil"/>
              <w:right w:val="nil"/>
            </w:tcBorders>
            <w:vAlign w:val="center"/>
          </w:tcPr>
          <w:p w14:paraId="0E7A4EC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503DB0E4" w14:textId="77777777">
        <w:trPr>
          <w:jc w:val="center"/>
        </w:trPr>
        <w:tc>
          <w:tcPr>
            <w:tcW w:w="2592" w:type="dxa"/>
            <w:tcBorders>
              <w:top w:val="nil"/>
              <w:left w:val="nil"/>
              <w:bottom w:val="nil"/>
              <w:right w:val="nil"/>
            </w:tcBorders>
            <w:vAlign w:val="center"/>
          </w:tcPr>
          <w:p w14:paraId="1034F55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Yang J et al., 2023 [23]</w:t>
            </w:r>
          </w:p>
        </w:tc>
        <w:tc>
          <w:tcPr>
            <w:tcW w:w="2592" w:type="dxa"/>
            <w:tcBorders>
              <w:top w:val="nil"/>
              <w:left w:val="nil"/>
              <w:bottom w:val="nil"/>
              <w:right w:val="nil"/>
            </w:tcBorders>
            <w:vAlign w:val="center"/>
          </w:tcPr>
          <w:p w14:paraId="5AB5BBB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Proteomics QA</w:t>
            </w:r>
          </w:p>
        </w:tc>
        <w:tc>
          <w:tcPr>
            <w:tcW w:w="2592" w:type="dxa"/>
            <w:tcBorders>
              <w:top w:val="nil"/>
              <w:left w:val="nil"/>
              <w:bottom w:val="nil"/>
              <w:right w:val="nil"/>
            </w:tcBorders>
            <w:vAlign w:val="center"/>
          </w:tcPr>
          <w:p w14:paraId="08EF278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Adequate N for proteomics; WOI-</w:t>
            </w:r>
            <w:proofErr w:type="spellStart"/>
            <w:r w:rsidRPr="00D578DF">
              <w:rPr>
                <w:rFonts w:ascii="Times New Roman" w:hAnsi="Times New Roman" w:cs="Times New Roman"/>
                <w:sz w:val="20"/>
                <w:szCs w:val="20"/>
              </w:rPr>
              <w:t>synchronised</w:t>
            </w:r>
            <w:proofErr w:type="spellEnd"/>
            <w:r w:rsidRPr="00D578DF">
              <w:rPr>
                <w:rFonts w:ascii="Times New Roman" w:hAnsi="Times New Roman" w:cs="Times New Roman"/>
                <w:sz w:val="20"/>
                <w:szCs w:val="20"/>
              </w:rPr>
              <w:t>; protein ID confidence (FDR &lt;1%); pathway enrichment analysis</w:t>
            </w:r>
          </w:p>
        </w:tc>
        <w:tc>
          <w:tcPr>
            <w:tcW w:w="2592" w:type="dxa"/>
            <w:tcBorders>
              <w:top w:val="nil"/>
              <w:left w:val="nil"/>
              <w:bottom w:val="nil"/>
              <w:right w:val="nil"/>
            </w:tcBorders>
            <w:vAlign w:val="center"/>
          </w:tcPr>
          <w:p w14:paraId="59CC744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1394D86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569F163D" w14:textId="77777777">
        <w:trPr>
          <w:jc w:val="center"/>
        </w:trPr>
        <w:tc>
          <w:tcPr>
            <w:tcW w:w="2592" w:type="dxa"/>
            <w:tcBorders>
              <w:top w:val="nil"/>
              <w:left w:val="nil"/>
              <w:bottom w:val="nil"/>
              <w:right w:val="nil"/>
            </w:tcBorders>
            <w:vAlign w:val="center"/>
          </w:tcPr>
          <w:p w14:paraId="69B808B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Zhao J et al., 2023 [24]</w:t>
            </w:r>
          </w:p>
        </w:tc>
        <w:tc>
          <w:tcPr>
            <w:tcW w:w="2592" w:type="dxa"/>
            <w:tcBorders>
              <w:top w:val="nil"/>
              <w:left w:val="nil"/>
              <w:bottom w:val="nil"/>
              <w:right w:val="nil"/>
            </w:tcBorders>
            <w:vAlign w:val="center"/>
          </w:tcPr>
          <w:p w14:paraId="5434732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Proteomics QA</w:t>
            </w:r>
          </w:p>
        </w:tc>
        <w:tc>
          <w:tcPr>
            <w:tcW w:w="2592" w:type="dxa"/>
            <w:tcBorders>
              <w:top w:val="nil"/>
              <w:left w:val="nil"/>
              <w:bottom w:val="nil"/>
              <w:right w:val="nil"/>
            </w:tcBorders>
            <w:vAlign w:val="center"/>
          </w:tcPr>
          <w:p w14:paraId="7B31C0D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Success vs. failure comparison; protein quantification; WOI biopsy; clinical IVF outcome data</w:t>
            </w:r>
          </w:p>
        </w:tc>
        <w:tc>
          <w:tcPr>
            <w:tcW w:w="2592" w:type="dxa"/>
            <w:tcBorders>
              <w:top w:val="nil"/>
              <w:left w:val="nil"/>
              <w:bottom w:val="nil"/>
              <w:right w:val="nil"/>
            </w:tcBorders>
            <w:vAlign w:val="center"/>
          </w:tcPr>
          <w:p w14:paraId="3EBF914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5635523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7C95217" w14:textId="77777777">
        <w:trPr>
          <w:jc w:val="center"/>
        </w:trPr>
        <w:tc>
          <w:tcPr>
            <w:tcW w:w="2592" w:type="dxa"/>
            <w:tcBorders>
              <w:top w:val="nil"/>
              <w:left w:val="nil"/>
              <w:bottom w:val="nil"/>
              <w:right w:val="nil"/>
            </w:tcBorders>
            <w:vAlign w:val="center"/>
          </w:tcPr>
          <w:p w14:paraId="3025065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Hu S et al., 2023 [25]</w:t>
            </w:r>
          </w:p>
        </w:tc>
        <w:tc>
          <w:tcPr>
            <w:tcW w:w="2592" w:type="dxa"/>
            <w:tcBorders>
              <w:top w:val="nil"/>
              <w:left w:val="nil"/>
              <w:bottom w:val="nil"/>
              <w:right w:val="nil"/>
            </w:tcBorders>
            <w:vAlign w:val="center"/>
          </w:tcPr>
          <w:p w14:paraId="17710BD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Proteomics + Functional QA</w:t>
            </w:r>
          </w:p>
        </w:tc>
        <w:tc>
          <w:tcPr>
            <w:tcW w:w="2592" w:type="dxa"/>
            <w:tcBorders>
              <w:top w:val="nil"/>
              <w:left w:val="nil"/>
              <w:bottom w:val="nil"/>
              <w:right w:val="nil"/>
            </w:tcBorders>
            <w:vAlign w:val="center"/>
          </w:tcPr>
          <w:p w14:paraId="66DF7DC9"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iTRAQ</w:t>
            </w:r>
            <w:proofErr w:type="spellEnd"/>
            <w:r w:rsidRPr="00D578DF">
              <w:rPr>
                <w:rFonts w:ascii="Times New Roman" w:hAnsi="Times New Roman" w:cs="Times New Roman"/>
                <w:sz w:val="20"/>
                <w:szCs w:val="20"/>
              </w:rPr>
              <w:t xml:space="preserve"> quantification; ACSL4 functional validation (siRNA/overexpression); lipid metabolism pathway link; Endocrinology journal</w:t>
            </w:r>
          </w:p>
        </w:tc>
        <w:tc>
          <w:tcPr>
            <w:tcW w:w="2592" w:type="dxa"/>
            <w:tcBorders>
              <w:top w:val="nil"/>
              <w:left w:val="nil"/>
              <w:bottom w:val="nil"/>
              <w:right w:val="nil"/>
            </w:tcBorders>
            <w:vAlign w:val="center"/>
          </w:tcPr>
          <w:p w14:paraId="26E9639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629E239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B379523" w14:textId="77777777">
        <w:trPr>
          <w:jc w:val="center"/>
        </w:trPr>
        <w:tc>
          <w:tcPr>
            <w:tcW w:w="2592" w:type="dxa"/>
            <w:tcBorders>
              <w:top w:val="nil"/>
              <w:left w:val="nil"/>
              <w:bottom w:val="nil"/>
              <w:right w:val="nil"/>
            </w:tcBorders>
            <w:vAlign w:val="center"/>
          </w:tcPr>
          <w:p w14:paraId="315F3990"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Potiris</w:t>
            </w:r>
            <w:proofErr w:type="spellEnd"/>
            <w:r w:rsidRPr="00D578DF">
              <w:rPr>
                <w:rFonts w:ascii="Times New Roman" w:hAnsi="Times New Roman" w:cs="Times New Roman"/>
                <w:sz w:val="20"/>
                <w:szCs w:val="20"/>
              </w:rPr>
              <w:t xml:space="preserve"> et al., 2024 [85]</w:t>
            </w:r>
          </w:p>
        </w:tc>
        <w:tc>
          <w:tcPr>
            <w:tcW w:w="2592" w:type="dxa"/>
            <w:tcBorders>
              <w:top w:val="nil"/>
              <w:left w:val="nil"/>
              <w:bottom w:val="nil"/>
              <w:right w:val="nil"/>
            </w:tcBorders>
            <w:vAlign w:val="center"/>
          </w:tcPr>
          <w:p w14:paraId="2D3010C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w:t>
            </w:r>
          </w:p>
        </w:tc>
        <w:tc>
          <w:tcPr>
            <w:tcW w:w="2592" w:type="dxa"/>
            <w:tcBorders>
              <w:top w:val="nil"/>
              <w:left w:val="nil"/>
              <w:bottom w:val="nil"/>
              <w:right w:val="nil"/>
            </w:tcBorders>
            <w:vAlign w:val="center"/>
          </w:tcPr>
          <w:p w14:paraId="2801208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Systematic search; study quality appraisal; protein overlap analysis; clinical relevance discussion; Journal of Clinical Medicine</w:t>
            </w:r>
          </w:p>
        </w:tc>
        <w:tc>
          <w:tcPr>
            <w:tcW w:w="2592" w:type="dxa"/>
            <w:tcBorders>
              <w:top w:val="nil"/>
              <w:left w:val="nil"/>
              <w:bottom w:val="nil"/>
              <w:right w:val="nil"/>
            </w:tcBorders>
            <w:vAlign w:val="center"/>
          </w:tcPr>
          <w:p w14:paraId="4E499A4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w:t>
            </w:r>
          </w:p>
        </w:tc>
        <w:tc>
          <w:tcPr>
            <w:tcW w:w="2592" w:type="dxa"/>
            <w:tcBorders>
              <w:top w:val="nil"/>
              <w:left w:val="nil"/>
              <w:bottom w:val="nil"/>
              <w:right w:val="nil"/>
            </w:tcBorders>
            <w:vAlign w:val="center"/>
          </w:tcPr>
          <w:p w14:paraId="78B0A1A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3901224" w14:textId="77777777">
        <w:trPr>
          <w:jc w:val="center"/>
        </w:trPr>
        <w:tc>
          <w:tcPr>
            <w:tcW w:w="2592" w:type="dxa"/>
            <w:tcBorders>
              <w:top w:val="nil"/>
              <w:left w:val="nil"/>
              <w:bottom w:val="nil"/>
              <w:right w:val="nil"/>
            </w:tcBorders>
            <w:vAlign w:val="center"/>
          </w:tcPr>
          <w:p w14:paraId="0E611C2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Hu YQ et al., 2025 [26]</w:t>
            </w:r>
          </w:p>
        </w:tc>
        <w:tc>
          <w:tcPr>
            <w:tcW w:w="2592" w:type="dxa"/>
            <w:tcBorders>
              <w:top w:val="nil"/>
              <w:left w:val="nil"/>
              <w:bottom w:val="nil"/>
              <w:right w:val="nil"/>
            </w:tcBorders>
            <w:vAlign w:val="center"/>
          </w:tcPr>
          <w:p w14:paraId="3E8300F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multi-omics QA</w:t>
            </w:r>
          </w:p>
        </w:tc>
        <w:tc>
          <w:tcPr>
            <w:tcW w:w="2592" w:type="dxa"/>
            <w:tcBorders>
              <w:top w:val="nil"/>
              <w:left w:val="nil"/>
              <w:bottom w:val="nil"/>
              <w:right w:val="nil"/>
            </w:tcBorders>
            <w:vAlign w:val="center"/>
          </w:tcPr>
          <w:p w14:paraId="42C86E3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Proteomics QC in 6 RIF/6 controls; integration with public single-cell data; cross-dataset validation of AMPD3/H6PD/PAK2; pathway analysis</w:t>
            </w:r>
          </w:p>
        </w:tc>
        <w:tc>
          <w:tcPr>
            <w:tcW w:w="2592" w:type="dxa"/>
            <w:tcBorders>
              <w:top w:val="nil"/>
              <w:left w:val="nil"/>
              <w:bottom w:val="nil"/>
              <w:right w:val="nil"/>
            </w:tcBorders>
            <w:vAlign w:val="center"/>
          </w:tcPr>
          <w:p w14:paraId="1E397BE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1E52A4F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1CAA4A82" w14:textId="77777777">
        <w:trPr>
          <w:jc w:val="center"/>
        </w:trPr>
        <w:tc>
          <w:tcPr>
            <w:tcW w:w="2592" w:type="dxa"/>
            <w:tcBorders>
              <w:top w:val="nil"/>
              <w:left w:val="nil"/>
              <w:bottom w:val="nil"/>
              <w:right w:val="nil"/>
            </w:tcBorders>
            <w:vAlign w:val="center"/>
          </w:tcPr>
          <w:p w14:paraId="2914CA9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Negi et al., 2025 [100]</w:t>
            </w:r>
          </w:p>
        </w:tc>
        <w:tc>
          <w:tcPr>
            <w:tcW w:w="2592" w:type="dxa"/>
            <w:tcBorders>
              <w:top w:val="nil"/>
              <w:left w:val="nil"/>
              <w:bottom w:val="nil"/>
              <w:right w:val="nil"/>
            </w:tcBorders>
            <w:vAlign w:val="center"/>
          </w:tcPr>
          <w:p w14:paraId="1DABEE33" w14:textId="408AB0BA"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67DDE5F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Currency; serum/plasma biomarker classification; diagnostic performance discussion; clinical utility critique</w:t>
            </w:r>
          </w:p>
        </w:tc>
        <w:tc>
          <w:tcPr>
            <w:tcW w:w="2592" w:type="dxa"/>
            <w:tcBorders>
              <w:top w:val="nil"/>
              <w:left w:val="nil"/>
              <w:bottom w:val="nil"/>
              <w:right w:val="nil"/>
            </w:tcBorders>
            <w:vAlign w:val="center"/>
          </w:tcPr>
          <w:p w14:paraId="46CCA4A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33D565A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7E471B4B" w14:textId="77777777">
        <w:trPr>
          <w:jc w:val="center"/>
        </w:trPr>
        <w:tc>
          <w:tcPr>
            <w:tcW w:w="2592" w:type="dxa"/>
            <w:tcBorders>
              <w:top w:val="nil"/>
              <w:left w:val="nil"/>
              <w:bottom w:val="nil"/>
              <w:right w:val="nil"/>
            </w:tcBorders>
            <w:vAlign w:val="center"/>
          </w:tcPr>
          <w:p w14:paraId="4BF91A9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Li J et al., 2018 [93]</w:t>
            </w:r>
          </w:p>
        </w:tc>
        <w:tc>
          <w:tcPr>
            <w:tcW w:w="2592" w:type="dxa"/>
            <w:tcBorders>
              <w:top w:val="nil"/>
              <w:left w:val="nil"/>
              <w:bottom w:val="nil"/>
              <w:right w:val="nil"/>
            </w:tcBorders>
            <w:vAlign w:val="center"/>
          </w:tcPr>
          <w:p w14:paraId="2E7E09F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Metabolomics QA</w:t>
            </w:r>
          </w:p>
        </w:tc>
        <w:tc>
          <w:tcPr>
            <w:tcW w:w="2592" w:type="dxa"/>
            <w:tcBorders>
              <w:top w:val="nil"/>
              <w:left w:val="nil"/>
              <w:bottom w:val="nil"/>
              <w:right w:val="nil"/>
            </w:tcBorders>
            <w:vAlign w:val="center"/>
          </w:tcPr>
          <w:p w14:paraId="345227C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UPLC-MS platform; metabolite ID confidence; FDR correction; pathway mapping; Reproductive Biology &amp; Endocrinology</w:t>
            </w:r>
          </w:p>
        </w:tc>
        <w:tc>
          <w:tcPr>
            <w:tcW w:w="2592" w:type="dxa"/>
            <w:tcBorders>
              <w:top w:val="nil"/>
              <w:left w:val="nil"/>
              <w:bottom w:val="nil"/>
              <w:right w:val="nil"/>
            </w:tcBorders>
            <w:vAlign w:val="center"/>
          </w:tcPr>
          <w:p w14:paraId="4ECC89E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17D26A5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23B41E9E" w14:textId="77777777">
        <w:trPr>
          <w:jc w:val="center"/>
        </w:trPr>
        <w:tc>
          <w:tcPr>
            <w:tcW w:w="2592" w:type="dxa"/>
            <w:tcBorders>
              <w:top w:val="nil"/>
              <w:left w:val="nil"/>
              <w:bottom w:val="nil"/>
              <w:right w:val="nil"/>
            </w:tcBorders>
            <w:vAlign w:val="center"/>
          </w:tcPr>
          <w:p w14:paraId="08EEFE3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Matorras et al., 2020 [28]</w:t>
            </w:r>
          </w:p>
        </w:tc>
        <w:tc>
          <w:tcPr>
            <w:tcW w:w="2592" w:type="dxa"/>
            <w:tcBorders>
              <w:top w:val="nil"/>
              <w:left w:val="nil"/>
              <w:bottom w:val="nil"/>
              <w:right w:val="nil"/>
            </w:tcBorders>
            <w:vAlign w:val="center"/>
          </w:tcPr>
          <w:p w14:paraId="539B421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Bespoke </w:t>
            </w:r>
            <w:proofErr w:type="spellStart"/>
            <w:r w:rsidRPr="00D578DF">
              <w:rPr>
                <w:rFonts w:ascii="Times New Roman" w:hAnsi="Times New Roman" w:cs="Times New Roman"/>
                <w:sz w:val="20"/>
                <w:szCs w:val="20"/>
              </w:rPr>
              <w:t>lipidomics</w:t>
            </w:r>
            <w:proofErr w:type="spellEnd"/>
            <w:r w:rsidRPr="00D578DF">
              <w:rPr>
                <w:rFonts w:ascii="Times New Roman" w:hAnsi="Times New Roman" w:cs="Times New Roman"/>
                <w:sz w:val="20"/>
                <w:szCs w:val="20"/>
              </w:rPr>
              <w:t xml:space="preserve"> QA</w:t>
            </w:r>
          </w:p>
        </w:tc>
        <w:tc>
          <w:tcPr>
            <w:tcW w:w="2592" w:type="dxa"/>
            <w:tcBorders>
              <w:top w:val="nil"/>
              <w:left w:val="nil"/>
              <w:bottom w:val="nil"/>
              <w:right w:val="nil"/>
            </w:tcBorders>
            <w:vAlign w:val="center"/>
          </w:tcPr>
          <w:p w14:paraId="064382D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Prospective IVF design; endometrial-fluid UHPLC-ToF-MS; lipid identification; SVM performance; small sample and non-RIF context</w:t>
            </w:r>
          </w:p>
        </w:tc>
        <w:tc>
          <w:tcPr>
            <w:tcW w:w="2592" w:type="dxa"/>
            <w:tcBorders>
              <w:top w:val="nil"/>
              <w:left w:val="nil"/>
              <w:bottom w:val="nil"/>
              <w:right w:val="nil"/>
            </w:tcBorders>
            <w:vAlign w:val="center"/>
          </w:tcPr>
          <w:p w14:paraId="66FE353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414C35A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4BE477B2" w14:textId="77777777">
        <w:trPr>
          <w:jc w:val="center"/>
        </w:trPr>
        <w:tc>
          <w:tcPr>
            <w:tcW w:w="2592" w:type="dxa"/>
            <w:tcBorders>
              <w:top w:val="nil"/>
              <w:left w:val="nil"/>
              <w:bottom w:val="nil"/>
              <w:right w:val="nil"/>
            </w:tcBorders>
            <w:vAlign w:val="center"/>
          </w:tcPr>
          <w:p w14:paraId="5007550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Yang T et al., 2022 [92]</w:t>
            </w:r>
          </w:p>
        </w:tc>
        <w:tc>
          <w:tcPr>
            <w:tcW w:w="2592" w:type="dxa"/>
            <w:tcBorders>
              <w:top w:val="nil"/>
              <w:left w:val="nil"/>
              <w:bottom w:val="nil"/>
              <w:right w:val="nil"/>
            </w:tcBorders>
            <w:vAlign w:val="center"/>
          </w:tcPr>
          <w:p w14:paraId="4456189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w:t>
            </w:r>
          </w:p>
        </w:tc>
        <w:tc>
          <w:tcPr>
            <w:tcW w:w="2592" w:type="dxa"/>
            <w:tcBorders>
              <w:top w:val="nil"/>
              <w:left w:val="nil"/>
              <w:bottom w:val="nil"/>
              <w:right w:val="nil"/>
            </w:tcBorders>
            <w:vAlign w:val="center"/>
          </w:tcPr>
          <w:p w14:paraId="35FAC01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Systematic search; mechanistic synthesis; prostaglandin/PPAR pathway coverage; clinical relevance </w:t>
            </w:r>
            <w:r w:rsidRPr="00D578DF">
              <w:rPr>
                <w:rFonts w:ascii="Times New Roman" w:hAnsi="Times New Roman" w:cs="Times New Roman"/>
                <w:sz w:val="20"/>
                <w:szCs w:val="20"/>
              </w:rPr>
              <w:lastRenderedPageBreak/>
              <w:t>discussion; Human Reproduction Update</w:t>
            </w:r>
          </w:p>
        </w:tc>
        <w:tc>
          <w:tcPr>
            <w:tcW w:w="2592" w:type="dxa"/>
            <w:tcBorders>
              <w:top w:val="nil"/>
              <w:left w:val="nil"/>
              <w:bottom w:val="nil"/>
              <w:right w:val="nil"/>
            </w:tcBorders>
            <w:vAlign w:val="center"/>
          </w:tcPr>
          <w:p w14:paraId="6FA7D44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Level I</w:t>
            </w:r>
          </w:p>
        </w:tc>
        <w:tc>
          <w:tcPr>
            <w:tcW w:w="2592" w:type="dxa"/>
            <w:tcBorders>
              <w:top w:val="nil"/>
              <w:left w:val="nil"/>
              <w:bottom w:val="nil"/>
              <w:right w:val="nil"/>
            </w:tcBorders>
            <w:vAlign w:val="center"/>
          </w:tcPr>
          <w:p w14:paraId="14884C5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3DB0FAB1" w14:textId="77777777">
        <w:trPr>
          <w:jc w:val="center"/>
        </w:trPr>
        <w:tc>
          <w:tcPr>
            <w:tcW w:w="2592" w:type="dxa"/>
            <w:tcBorders>
              <w:top w:val="nil"/>
              <w:left w:val="nil"/>
              <w:bottom w:val="nil"/>
              <w:right w:val="nil"/>
            </w:tcBorders>
            <w:vAlign w:val="center"/>
          </w:tcPr>
          <w:p w14:paraId="16D0D151"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Siristatidis</w:t>
            </w:r>
            <w:proofErr w:type="spellEnd"/>
            <w:r w:rsidRPr="00D578DF">
              <w:rPr>
                <w:rFonts w:ascii="Times New Roman" w:hAnsi="Times New Roman" w:cs="Times New Roman"/>
                <w:sz w:val="20"/>
                <w:szCs w:val="20"/>
              </w:rPr>
              <w:t xml:space="preserve"> et al., 2021 [102]</w:t>
            </w:r>
          </w:p>
        </w:tc>
        <w:tc>
          <w:tcPr>
            <w:tcW w:w="2592" w:type="dxa"/>
            <w:tcBorders>
              <w:top w:val="nil"/>
              <w:left w:val="nil"/>
              <w:bottom w:val="nil"/>
              <w:right w:val="nil"/>
            </w:tcBorders>
            <w:vAlign w:val="center"/>
          </w:tcPr>
          <w:p w14:paraId="63FAC83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Protocol QA</w:t>
            </w:r>
          </w:p>
        </w:tc>
        <w:tc>
          <w:tcPr>
            <w:tcW w:w="2592" w:type="dxa"/>
            <w:tcBorders>
              <w:top w:val="nil"/>
              <w:left w:val="nil"/>
              <w:bottom w:val="nil"/>
              <w:right w:val="nil"/>
            </w:tcBorders>
            <w:vAlign w:val="center"/>
          </w:tcPr>
          <w:p w14:paraId="26E0FF1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Protocol clarity; feasibility; AI integration rationale; multi-omics data integration approach; ethics consideration</w:t>
            </w:r>
          </w:p>
        </w:tc>
        <w:tc>
          <w:tcPr>
            <w:tcW w:w="2592" w:type="dxa"/>
            <w:tcBorders>
              <w:top w:val="nil"/>
              <w:left w:val="nil"/>
              <w:bottom w:val="nil"/>
              <w:right w:val="nil"/>
            </w:tcBorders>
            <w:vAlign w:val="center"/>
          </w:tcPr>
          <w:p w14:paraId="20A6E5E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3DCEB2D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16C8E7DF" w14:textId="77777777">
        <w:trPr>
          <w:jc w:val="center"/>
        </w:trPr>
        <w:tc>
          <w:tcPr>
            <w:tcW w:w="2592" w:type="dxa"/>
            <w:tcBorders>
              <w:top w:val="nil"/>
              <w:left w:val="nil"/>
              <w:bottom w:val="nil"/>
              <w:right w:val="nil"/>
            </w:tcBorders>
            <w:vAlign w:val="center"/>
          </w:tcPr>
          <w:p w14:paraId="498E1E6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Ye, Louie, and Evdokia Dimitriadis (2025) [5]</w:t>
            </w:r>
          </w:p>
        </w:tc>
        <w:tc>
          <w:tcPr>
            <w:tcW w:w="2592" w:type="dxa"/>
            <w:tcBorders>
              <w:top w:val="nil"/>
              <w:left w:val="nil"/>
              <w:bottom w:val="nil"/>
              <w:right w:val="nil"/>
            </w:tcBorders>
            <w:vAlign w:val="center"/>
          </w:tcPr>
          <w:p w14:paraId="6C3262C3" w14:textId="4FEA5ABD"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6403B5E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Multi-omics coverage including </w:t>
            </w:r>
            <w:proofErr w:type="spellStart"/>
            <w:r w:rsidRPr="00D578DF">
              <w:rPr>
                <w:rFonts w:ascii="Times New Roman" w:hAnsi="Times New Roman" w:cs="Times New Roman"/>
                <w:sz w:val="20"/>
                <w:szCs w:val="20"/>
              </w:rPr>
              <w:t>lipidomics</w:t>
            </w:r>
            <w:proofErr w:type="spellEnd"/>
            <w:r w:rsidRPr="00D578DF">
              <w:rPr>
                <w:rFonts w:ascii="Times New Roman" w:hAnsi="Times New Roman" w:cs="Times New Roman"/>
                <w:sz w:val="20"/>
                <w:szCs w:val="20"/>
              </w:rPr>
              <w:t>; WOI mechanistic update; 2025 currency; Biomolecules</w:t>
            </w:r>
          </w:p>
        </w:tc>
        <w:tc>
          <w:tcPr>
            <w:tcW w:w="2592" w:type="dxa"/>
            <w:tcBorders>
              <w:top w:val="nil"/>
              <w:left w:val="nil"/>
              <w:bottom w:val="nil"/>
              <w:right w:val="nil"/>
            </w:tcBorders>
            <w:vAlign w:val="center"/>
          </w:tcPr>
          <w:p w14:paraId="7D65F11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4AE037C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3FE9802B" w14:textId="77777777">
        <w:trPr>
          <w:jc w:val="center"/>
        </w:trPr>
        <w:tc>
          <w:tcPr>
            <w:tcW w:w="2592" w:type="dxa"/>
            <w:tcBorders>
              <w:top w:val="nil"/>
              <w:left w:val="nil"/>
              <w:bottom w:val="nil"/>
              <w:right w:val="nil"/>
            </w:tcBorders>
            <w:vAlign w:val="center"/>
          </w:tcPr>
          <w:p w14:paraId="3474254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Ou et al., 2025 [99]</w:t>
            </w:r>
          </w:p>
        </w:tc>
        <w:tc>
          <w:tcPr>
            <w:tcW w:w="2592" w:type="dxa"/>
            <w:tcBorders>
              <w:top w:val="nil"/>
              <w:left w:val="nil"/>
              <w:bottom w:val="nil"/>
              <w:right w:val="nil"/>
            </w:tcBorders>
            <w:vAlign w:val="center"/>
          </w:tcPr>
          <w:p w14:paraId="66C7421A" w14:textId="083CB742"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053FBE7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Endometriosis-infertility link; lipidomic pathway coverage; precision medicine framing; Frontiers in Endocrinology</w:t>
            </w:r>
          </w:p>
        </w:tc>
        <w:tc>
          <w:tcPr>
            <w:tcW w:w="2592" w:type="dxa"/>
            <w:tcBorders>
              <w:top w:val="nil"/>
              <w:left w:val="nil"/>
              <w:bottom w:val="nil"/>
              <w:right w:val="nil"/>
            </w:tcBorders>
            <w:vAlign w:val="center"/>
          </w:tcPr>
          <w:p w14:paraId="797A4E4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641976A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5D612A2" w14:textId="77777777">
        <w:trPr>
          <w:jc w:val="center"/>
        </w:trPr>
        <w:tc>
          <w:tcPr>
            <w:tcW w:w="2592" w:type="dxa"/>
            <w:tcBorders>
              <w:top w:val="nil"/>
              <w:left w:val="nil"/>
              <w:bottom w:val="nil"/>
              <w:right w:val="nil"/>
            </w:tcBorders>
            <w:vAlign w:val="center"/>
          </w:tcPr>
          <w:p w14:paraId="7BE6BE7F"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Kalakota</w:t>
            </w:r>
            <w:proofErr w:type="spellEnd"/>
            <w:r w:rsidRPr="00D578DF">
              <w:rPr>
                <w:rFonts w:ascii="Times New Roman" w:hAnsi="Times New Roman" w:cs="Times New Roman"/>
                <w:sz w:val="20"/>
                <w:szCs w:val="20"/>
              </w:rPr>
              <w:t xml:space="preserve"> et al., 2022 [94]</w:t>
            </w:r>
          </w:p>
        </w:tc>
        <w:tc>
          <w:tcPr>
            <w:tcW w:w="2592" w:type="dxa"/>
            <w:tcBorders>
              <w:top w:val="nil"/>
              <w:left w:val="nil"/>
              <w:bottom w:val="nil"/>
              <w:right w:val="nil"/>
            </w:tcBorders>
            <w:vAlign w:val="center"/>
          </w:tcPr>
          <w:p w14:paraId="5E26F5E9" w14:textId="65478BDD"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17B4DB8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Progesterone-lipid connection; ART clinical context; mechanistic synthesis; Cells journal</w:t>
            </w:r>
          </w:p>
        </w:tc>
        <w:tc>
          <w:tcPr>
            <w:tcW w:w="2592" w:type="dxa"/>
            <w:tcBorders>
              <w:top w:val="nil"/>
              <w:left w:val="nil"/>
              <w:bottom w:val="nil"/>
              <w:right w:val="nil"/>
            </w:tcBorders>
            <w:vAlign w:val="center"/>
          </w:tcPr>
          <w:p w14:paraId="105611B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50F1C31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8AB9FE2" w14:textId="77777777">
        <w:trPr>
          <w:jc w:val="center"/>
        </w:trPr>
        <w:tc>
          <w:tcPr>
            <w:tcW w:w="2592" w:type="dxa"/>
            <w:tcBorders>
              <w:top w:val="nil"/>
              <w:left w:val="nil"/>
              <w:bottom w:val="nil"/>
              <w:right w:val="nil"/>
            </w:tcBorders>
            <w:vAlign w:val="center"/>
          </w:tcPr>
          <w:p w14:paraId="6095C36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Zhang Y et al., 2022 [95]</w:t>
            </w:r>
          </w:p>
        </w:tc>
        <w:tc>
          <w:tcPr>
            <w:tcW w:w="2592" w:type="dxa"/>
            <w:tcBorders>
              <w:top w:val="nil"/>
              <w:left w:val="nil"/>
              <w:bottom w:val="nil"/>
              <w:right w:val="nil"/>
            </w:tcBorders>
            <w:vAlign w:val="center"/>
          </w:tcPr>
          <w:p w14:paraId="6C76AF4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 + GRADE</w:t>
            </w:r>
          </w:p>
        </w:tc>
        <w:tc>
          <w:tcPr>
            <w:tcW w:w="2592" w:type="dxa"/>
            <w:tcBorders>
              <w:top w:val="nil"/>
              <w:left w:val="nil"/>
              <w:bottom w:val="nil"/>
              <w:right w:val="nil"/>
            </w:tcBorders>
            <w:vAlign w:val="center"/>
          </w:tcPr>
          <w:p w14:paraId="202FBEC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PRISMA adherence; multi-fluid coverage (serum, uterine fluid, follicular fluid); study quality appraisal; GRADE; Biol Reproduction</w:t>
            </w:r>
          </w:p>
        </w:tc>
        <w:tc>
          <w:tcPr>
            <w:tcW w:w="2592" w:type="dxa"/>
            <w:tcBorders>
              <w:top w:val="nil"/>
              <w:left w:val="nil"/>
              <w:bottom w:val="nil"/>
              <w:right w:val="nil"/>
            </w:tcBorders>
            <w:vAlign w:val="center"/>
          </w:tcPr>
          <w:p w14:paraId="62B63C0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w:t>
            </w:r>
          </w:p>
        </w:tc>
        <w:tc>
          <w:tcPr>
            <w:tcW w:w="2592" w:type="dxa"/>
            <w:tcBorders>
              <w:top w:val="nil"/>
              <w:left w:val="nil"/>
              <w:bottom w:val="nil"/>
              <w:right w:val="nil"/>
            </w:tcBorders>
            <w:vAlign w:val="center"/>
          </w:tcPr>
          <w:p w14:paraId="042A5FD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15B87E16" w14:textId="77777777">
        <w:trPr>
          <w:jc w:val="center"/>
        </w:trPr>
        <w:tc>
          <w:tcPr>
            <w:tcW w:w="2592" w:type="dxa"/>
            <w:tcBorders>
              <w:top w:val="nil"/>
              <w:left w:val="nil"/>
              <w:bottom w:val="nil"/>
              <w:right w:val="nil"/>
            </w:tcBorders>
            <w:vAlign w:val="center"/>
          </w:tcPr>
          <w:p w14:paraId="1B2186B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Zheng J et al., 2023 [27]</w:t>
            </w:r>
          </w:p>
        </w:tc>
        <w:tc>
          <w:tcPr>
            <w:tcW w:w="2592" w:type="dxa"/>
            <w:tcBorders>
              <w:top w:val="nil"/>
              <w:left w:val="nil"/>
              <w:bottom w:val="nil"/>
              <w:right w:val="nil"/>
            </w:tcBorders>
            <w:vAlign w:val="center"/>
          </w:tcPr>
          <w:p w14:paraId="70398CE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Metabolomics QA</w:t>
            </w:r>
          </w:p>
        </w:tc>
        <w:tc>
          <w:tcPr>
            <w:tcW w:w="2592" w:type="dxa"/>
            <w:tcBorders>
              <w:top w:val="nil"/>
              <w:left w:val="nil"/>
              <w:bottom w:val="nil"/>
              <w:right w:val="nil"/>
            </w:tcBorders>
            <w:vAlign w:val="center"/>
          </w:tcPr>
          <w:p w14:paraId="6ADFF1E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Serial serum sampling; metabolite identification; PLS-DA/ROC modelling; eight-metabolite RIF panel; external-validation status</w:t>
            </w:r>
          </w:p>
        </w:tc>
        <w:tc>
          <w:tcPr>
            <w:tcW w:w="2592" w:type="dxa"/>
            <w:tcBorders>
              <w:top w:val="nil"/>
              <w:left w:val="nil"/>
              <w:bottom w:val="nil"/>
              <w:right w:val="nil"/>
            </w:tcBorders>
            <w:vAlign w:val="center"/>
          </w:tcPr>
          <w:p w14:paraId="2C511A4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3E6A793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41000283" w14:textId="77777777">
        <w:trPr>
          <w:jc w:val="center"/>
        </w:trPr>
        <w:tc>
          <w:tcPr>
            <w:tcW w:w="2592" w:type="dxa"/>
            <w:tcBorders>
              <w:top w:val="nil"/>
              <w:left w:val="nil"/>
              <w:bottom w:val="nil"/>
              <w:right w:val="nil"/>
            </w:tcBorders>
            <w:vAlign w:val="center"/>
          </w:tcPr>
          <w:p w14:paraId="61C9BC5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Fan Y et al., 2023 [76]</w:t>
            </w:r>
          </w:p>
        </w:tc>
        <w:tc>
          <w:tcPr>
            <w:tcW w:w="2592" w:type="dxa"/>
            <w:tcBorders>
              <w:top w:val="nil"/>
              <w:left w:val="nil"/>
              <w:bottom w:val="nil"/>
              <w:right w:val="nil"/>
            </w:tcBorders>
            <w:vAlign w:val="center"/>
          </w:tcPr>
          <w:p w14:paraId="134AAE0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transcriptomic bioinformatic QA</w:t>
            </w:r>
          </w:p>
        </w:tc>
        <w:tc>
          <w:tcPr>
            <w:tcW w:w="2592" w:type="dxa"/>
            <w:tcBorders>
              <w:top w:val="nil"/>
              <w:left w:val="nil"/>
              <w:bottom w:val="nil"/>
              <w:right w:val="nil"/>
            </w:tcBorders>
            <w:vAlign w:val="center"/>
          </w:tcPr>
          <w:p w14:paraId="3303B96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Two-subtype consensus clustering; machine-learning feature selection; clinical RT-qPCR/ROC validation; clear distinction from experimental metabolomics</w:t>
            </w:r>
          </w:p>
        </w:tc>
        <w:tc>
          <w:tcPr>
            <w:tcW w:w="2592" w:type="dxa"/>
            <w:tcBorders>
              <w:top w:val="nil"/>
              <w:left w:val="nil"/>
              <w:bottom w:val="nil"/>
              <w:right w:val="nil"/>
            </w:tcBorders>
            <w:vAlign w:val="center"/>
          </w:tcPr>
          <w:p w14:paraId="30ED9E3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26DB2AA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5ACD8510" w14:textId="77777777">
        <w:trPr>
          <w:jc w:val="center"/>
        </w:trPr>
        <w:tc>
          <w:tcPr>
            <w:tcW w:w="2592" w:type="dxa"/>
            <w:tcBorders>
              <w:top w:val="nil"/>
              <w:left w:val="nil"/>
              <w:bottom w:val="nil"/>
              <w:right w:val="nil"/>
            </w:tcBorders>
            <w:vAlign w:val="center"/>
          </w:tcPr>
          <w:p w14:paraId="386D3E1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Yu J et al., 2025 [96]</w:t>
            </w:r>
          </w:p>
        </w:tc>
        <w:tc>
          <w:tcPr>
            <w:tcW w:w="2592" w:type="dxa"/>
            <w:tcBorders>
              <w:top w:val="nil"/>
              <w:left w:val="nil"/>
              <w:bottom w:val="nil"/>
              <w:right w:val="nil"/>
            </w:tcBorders>
            <w:vAlign w:val="center"/>
          </w:tcPr>
          <w:p w14:paraId="51F4FFA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Multi-omics QA</w:t>
            </w:r>
          </w:p>
        </w:tc>
        <w:tc>
          <w:tcPr>
            <w:tcW w:w="2592" w:type="dxa"/>
            <w:tcBorders>
              <w:top w:val="nil"/>
              <w:left w:val="nil"/>
              <w:bottom w:val="nil"/>
              <w:right w:val="nil"/>
            </w:tcBorders>
            <w:vAlign w:val="center"/>
          </w:tcPr>
          <w:p w14:paraId="3EFFB18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Cross-disease shared mechanism analysis; multi-omics integration quality; therapeutic target </w:t>
            </w:r>
            <w:proofErr w:type="spellStart"/>
            <w:r w:rsidRPr="00D578DF">
              <w:rPr>
                <w:rFonts w:ascii="Times New Roman" w:hAnsi="Times New Roman" w:cs="Times New Roman"/>
                <w:sz w:val="20"/>
                <w:szCs w:val="20"/>
              </w:rPr>
              <w:t>prioritisation</w:t>
            </w:r>
            <w:proofErr w:type="spellEnd"/>
            <w:r w:rsidRPr="00D578DF">
              <w:rPr>
                <w:rFonts w:ascii="Times New Roman" w:hAnsi="Times New Roman" w:cs="Times New Roman"/>
                <w:sz w:val="20"/>
                <w:szCs w:val="20"/>
              </w:rPr>
              <w:t>; Nature Scientific Reports</w:t>
            </w:r>
          </w:p>
        </w:tc>
        <w:tc>
          <w:tcPr>
            <w:tcW w:w="2592" w:type="dxa"/>
            <w:tcBorders>
              <w:top w:val="nil"/>
              <w:left w:val="nil"/>
              <w:bottom w:val="nil"/>
              <w:right w:val="nil"/>
            </w:tcBorders>
            <w:vAlign w:val="center"/>
          </w:tcPr>
          <w:p w14:paraId="724B8E4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579DC64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78DA8635" w14:textId="77777777">
        <w:trPr>
          <w:jc w:val="center"/>
        </w:trPr>
        <w:tc>
          <w:tcPr>
            <w:tcW w:w="2592" w:type="dxa"/>
            <w:tcBorders>
              <w:top w:val="nil"/>
              <w:left w:val="nil"/>
              <w:bottom w:val="nil"/>
              <w:right w:val="nil"/>
            </w:tcBorders>
            <w:vAlign w:val="center"/>
          </w:tcPr>
          <w:p w14:paraId="197691C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Qin D et al., 2025 [97]</w:t>
            </w:r>
          </w:p>
        </w:tc>
        <w:tc>
          <w:tcPr>
            <w:tcW w:w="2592" w:type="dxa"/>
            <w:tcBorders>
              <w:top w:val="nil"/>
              <w:left w:val="nil"/>
              <w:bottom w:val="nil"/>
              <w:right w:val="nil"/>
            </w:tcBorders>
            <w:vAlign w:val="center"/>
          </w:tcPr>
          <w:p w14:paraId="74C3466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Multi-omics QA</w:t>
            </w:r>
          </w:p>
        </w:tc>
        <w:tc>
          <w:tcPr>
            <w:tcW w:w="2592" w:type="dxa"/>
            <w:tcBorders>
              <w:top w:val="nil"/>
              <w:left w:val="nil"/>
              <w:bottom w:val="nil"/>
              <w:right w:val="nil"/>
            </w:tcBorders>
            <w:vAlign w:val="center"/>
          </w:tcPr>
          <w:p w14:paraId="02709F5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Shared gene identification methodology; single-cell microenvironment analysis; diagnostic gene validation; Nature Scientific Reports</w:t>
            </w:r>
          </w:p>
        </w:tc>
        <w:tc>
          <w:tcPr>
            <w:tcW w:w="2592" w:type="dxa"/>
            <w:tcBorders>
              <w:top w:val="nil"/>
              <w:left w:val="nil"/>
              <w:bottom w:val="nil"/>
              <w:right w:val="nil"/>
            </w:tcBorders>
            <w:vAlign w:val="center"/>
          </w:tcPr>
          <w:p w14:paraId="359E39E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1220369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4438CB3D" w14:textId="77777777">
        <w:trPr>
          <w:jc w:val="center"/>
        </w:trPr>
        <w:tc>
          <w:tcPr>
            <w:tcW w:w="2592" w:type="dxa"/>
            <w:tcBorders>
              <w:top w:val="nil"/>
              <w:left w:val="nil"/>
              <w:bottom w:val="nil"/>
              <w:right w:val="nil"/>
            </w:tcBorders>
            <w:vAlign w:val="center"/>
          </w:tcPr>
          <w:p w14:paraId="725B932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Li H et al., 2025 [98]</w:t>
            </w:r>
          </w:p>
        </w:tc>
        <w:tc>
          <w:tcPr>
            <w:tcW w:w="2592" w:type="dxa"/>
            <w:tcBorders>
              <w:top w:val="nil"/>
              <w:left w:val="nil"/>
              <w:bottom w:val="nil"/>
              <w:right w:val="nil"/>
            </w:tcBorders>
            <w:vAlign w:val="center"/>
          </w:tcPr>
          <w:p w14:paraId="3E29B27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Bespoke Bioinformatic QA</w:t>
            </w:r>
          </w:p>
        </w:tc>
        <w:tc>
          <w:tcPr>
            <w:tcW w:w="2592" w:type="dxa"/>
            <w:tcBorders>
              <w:top w:val="nil"/>
              <w:left w:val="nil"/>
              <w:bottom w:val="nil"/>
              <w:right w:val="nil"/>
            </w:tcBorders>
            <w:vAlign w:val="center"/>
          </w:tcPr>
          <w:p w14:paraId="60B02A9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Shared biomarker identification methodology; mechanistic overlap analysis; network analysis quality; Frontiers Endocrinology</w:t>
            </w:r>
          </w:p>
        </w:tc>
        <w:tc>
          <w:tcPr>
            <w:tcW w:w="2592" w:type="dxa"/>
            <w:tcBorders>
              <w:top w:val="nil"/>
              <w:left w:val="nil"/>
              <w:bottom w:val="nil"/>
              <w:right w:val="nil"/>
            </w:tcBorders>
            <w:vAlign w:val="center"/>
          </w:tcPr>
          <w:p w14:paraId="615FA96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2DF251C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40F4BB5" w14:textId="77777777">
        <w:trPr>
          <w:jc w:val="center"/>
        </w:trPr>
        <w:tc>
          <w:tcPr>
            <w:tcW w:w="2592" w:type="dxa"/>
            <w:tcBorders>
              <w:top w:val="nil"/>
              <w:left w:val="nil"/>
              <w:bottom w:val="nil"/>
              <w:right w:val="nil"/>
            </w:tcBorders>
            <w:vAlign w:val="center"/>
          </w:tcPr>
          <w:p w14:paraId="51D9AB9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Fernando et al., 2024 [101]</w:t>
            </w:r>
          </w:p>
        </w:tc>
        <w:tc>
          <w:tcPr>
            <w:tcW w:w="2592" w:type="dxa"/>
            <w:tcBorders>
              <w:top w:val="nil"/>
              <w:left w:val="nil"/>
              <w:bottom w:val="nil"/>
              <w:right w:val="nil"/>
            </w:tcBorders>
            <w:vAlign w:val="center"/>
          </w:tcPr>
          <w:p w14:paraId="269998AD" w14:textId="080B3F1E"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6D82FB3D"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Multi-omics framework coverage; embryo implantation context; clinical translation discussion</w:t>
            </w:r>
          </w:p>
        </w:tc>
        <w:tc>
          <w:tcPr>
            <w:tcW w:w="2592" w:type="dxa"/>
            <w:tcBorders>
              <w:top w:val="nil"/>
              <w:left w:val="nil"/>
              <w:bottom w:val="nil"/>
              <w:right w:val="nil"/>
            </w:tcBorders>
            <w:vAlign w:val="center"/>
          </w:tcPr>
          <w:p w14:paraId="54ED3D8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2C5F6E1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225E72BF" w14:textId="77777777">
        <w:trPr>
          <w:jc w:val="center"/>
        </w:trPr>
        <w:tc>
          <w:tcPr>
            <w:tcW w:w="2592" w:type="dxa"/>
            <w:tcBorders>
              <w:top w:val="nil"/>
              <w:left w:val="nil"/>
              <w:bottom w:val="nil"/>
              <w:right w:val="nil"/>
            </w:tcBorders>
            <w:vAlign w:val="center"/>
          </w:tcPr>
          <w:p w14:paraId="39D8596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Chen P et al., 2022 [32]</w:t>
            </w:r>
          </w:p>
        </w:tc>
        <w:tc>
          <w:tcPr>
            <w:tcW w:w="2592" w:type="dxa"/>
            <w:tcBorders>
              <w:top w:val="nil"/>
              <w:left w:val="nil"/>
              <w:bottom w:val="nil"/>
              <w:right w:val="nil"/>
            </w:tcBorders>
            <w:vAlign w:val="center"/>
          </w:tcPr>
          <w:p w14:paraId="3BEAF83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 + bespoke multi-omics criteria</w:t>
            </w:r>
          </w:p>
        </w:tc>
        <w:tc>
          <w:tcPr>
            <w:tcW w:w="2592" w:type="dxa"/>
            <w:tcBorders>
              <w:top w:val="nil"/>
              <w:left w:val="nil"/>
              <w:bottom w:val="nil"/>
              <w:right w:val="nil"/>
            </w:tcBorders>
            <w:vAlign w:val="center"/>
          </w:tcPr>
          <w:p w14:paraId="4042605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RIF/control sampling; 16S profiling; host transcriptome integration; association analysis; lack of direct functional/causal validation</w:t>
            </w:r>
          </w:p>
        </w:tc>
        <w:tc>
          <w:tcPr>
            <w:tcW w:w="2592" w:type="dxa"/>
            <w:tcBorders>
              <w:top w:val="nil"/>
              <w:left w:val="nil"/>
              <w:bottom w:val="nil"/>
              <w:right w:val="nil"/>
            </w:tcBorders>
            <w:vAlign w:val="center"/>
          </w:tcPr>
          <w:p w14:paraId="4D764F6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IV</w:t>
            </w:r>
          </w:p>
        </w:tc>
        <w:tc>
          <w:tcPr>
            <w:tcW w:w="2592" w:type="dxa"/>
            <w:tcBorders>
              <w:top w:val="nil"/>
              <w:left w:val="nil"/>
              <w:bottom w:val="nil"/>
              <w:right w:val="nil"/>
            </w:tcBorders>
            <w:vAlign w:val="center"/>
          </w:tcPr>
          <w:p w14:paraId="4ED0266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Moderate</w:t>
            </w:r>
          </w:p>
        </w:tc>
      </w:tr>
      <w:tr w:rsidR="005367AA" w:rsidRPr="00D578DF" w14:paraId="312B814A" w14:textId="77777777">
        <w:trPr>
          <w:jc w:val="center"/>
        </w:trPr>
        <w:tc>
          <w:tcPr>
            <w:tcW w:w="2592" w:type="dxa"/>
            <w:tcBorders>
              <w:top w:val="nil"/>
              <w:left w:val="nil"/>
              <w:bottom w:val="nil"/>
              <w:right w:val="nil"/>
            </w:tcBorders>
            <w:vAlign w:val="center"/>
          </w:tcPr>
          <w:p w14:paraId="1C64D2B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Iwami et al., 2023 [31]</w:t>
            </w:r>
          </w:p>
        </w:tc>
        <w:tc>
          <w:tcPr>
            <w:tcW w:w="2592" w:type="dxa"/>
            <w:tcBorders>
              <w:top w:val="nil"/>
              <w:left w:val="nil"/>
              <w:bottom w:val="nil"/>
              <w:right w:val="nil"/>
            </w:tcBorders>
            <w:vAlign w:val="center"/>
          </w:tcPr>
          <w:p w14:paraId="62F59631" w14:textId="32811DB1"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NOS </w:t>
            </w:r>
          </w:p>
        </w:tc>
        <w:tc>
          <w:tcPr>
            <w:tcW w:w="2592" w:type="dxa"/>
            <w:tcBorders>
              <w:top w:val="nil"/>
              <w:left w:val="nil"/>
              <w:bottom w:val="nil"/>
              <w:right w:val="nil"/>
            </w:tcBorders>
            <w:vAlign w:val="center"/>
          </w:tcPr>
          <w:p w14:paraId="028FC77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RIF cohort selection; 16S sequencing; non-</w:t>
            </w:r>
            <w:proofErr w:type="spellStart"/>
            <w:r w:rsidRPr="00D578DF">
              <w:rPr>
                <w:rFonts w:ascii="Times New Roman" w:hAnsi="Times New Roman" w:cs="Times New Roman"/>
                <w:sz w:val="20"/>
                <w:szCs w:val="20"/>
              </w:rPr>
              <w:t>randomised</w:t>
            </w:r>
            <w:proofErr w:type="spellEnd"/>
            <w:r w:rsidRPr="00D578DF">
              <w:rPr>
                <w:rFonts w:ascii="Times New Roman" w:hAnsi="Times New Roman" w:cs="Times New Roman"/>
                <w:sz w:val="20"/>
                <w:szCs w:val="20"/>
              </w:rPr>
              <w:t xml:space="preserve"> comparison; </w:t>
            </w:r>
            <w:r w:rsidRPr="00D578DF">
              <w:rPr>
                <w:rFonts w:ascii="Times New Roman" w:hAnsi="Times New Roman" w:cs="Times New Roman"/>
                <w:sz w:val="20"/>
                <w:szCs w:val="20"/>
              </w:rPr>
              <w:lastRenderedPageBreak/>
              <w:t>treatment allocation; cumulative pregnancy/live-birth outcomes; confounding</w:t>
            </w:r>
          </w:p>
        </w:tc>
        <w:tc>
          <w:tcPr>
            <w:tcW w:w="2592" w:type="dxa"/>
            <w:tcBorders>
              <w:top w:val="nil"/>
              <w:left w:val="nil"/>
              <w:bottom w:val="nil"/>
              <w:right w:val="nil"/>
            </w:tcBorders>
            <w:vAlign w:val="center"/>
          </w:tcPr>
          <w:p w14:paraId="60E40F1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lastRenderedPageBreak/>
              <w:t>Level II</w:t>
            </w:r>
          </w:p>
        </w:tc>
        <w:tc>
          <w:tcPr>
            <w:tcW w:w="2592" w:type="dxa"/>
            <w:tcBorders>
              <w:top w:val="nil"/>
              <w:left w:val="nil"/>
              <w:bottom w:val="nil"/>
              <w:right w:val="nil"/>
            </w:tcBorders>
            <w:vAlign w:val="center"/>
          </w:tcPr>
          <w:p w14:paraId="282511E0"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Excellent</w:t>
            </w:r>
          </w:p>
        </w:tc>
      </w:tr>
      <w:tr w:rsidR="005367AA" w:rsidRPr="00D578DF" w14:paraId="201C8052" w14:textId="77777777">
        <w:trPr>
          <w:jc w:val="center"/>
        </w:trPr>
        <w:tc>
          <w:tcPr>
            <w:tcW w:w="2592" w:type="dxa"/>
            <w:tcBorders>
              <w:top w:val="nil"/>
              <w:left w:val="nil"/>
              <w:bottom w:val="nil"/>
              <w:right w:val="nil"/>
            </w:tcBorders>
            <w:vAlign w:val="center"/>
          </w:tcPr>
          <w:p w14:paraId="6D0BAF39"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Lozano et al., 2023 [30]</w:t>
            </w:r>
          </w:p>
        </w:tc>
        <w:tc>
          <w:tcPr>
            <w:tcW w:w="2592" w:type="dxa"/>
            <w:tcBorders>
              <w:top w:val="nil"/>
              <w:left w:val="nil"/>
              <w:bottom w:val="nil"/>
              <w:right w:val="nil"/>
            </w:tcBorders>
            <w:vAlign w:val="center"/>
          </w:tcPr>
          <w:p w14:paraId="744E188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730F4EB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RIF/control selection; endometrial 16S sequencing; low-biomass microbiome limitations; diversity/composition analysis; sample size</w:t>
            </w:r>
          </w:p>
        </w:tc>
        <w:tc>
          <w:tcPr>
            <w:tcW w:w="2592" w:type="dxa"/>
            <w:tcBorders>
              <w:top w:val="nil"/>
              <w:left w:val="nil"/>
              <w:bottom w:val="nil"/>
              <w:right w:val="nil"/>
            </w:tcBorders>
            <w:vAlign w:val="center"/>
          </w:tcPr>
          <w:p w14:paraId="2D4B25A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36EF946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71593A4C" w14:textId="77777777">
        <w:trPr>
          <w:jc w:val="center"/>
        </w:trPr>
        <w:tc>
          <w:tcPr>
            <w:tcW w:w="2592" w:type="dxa"/>
            <w:tcBorders>
              <w:top w:val="nil"/>
              <w:left w:val="nil"/>
              <w:bottom w:val="nil"/>
              <w:right w:val="nil"/>
            </w:tcBorders>
            <w:vAlign w:val="center"/>
          </w:tcPr>
          <w:p w14:paraId="007381E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Ruiz-Alonso et al., 2021 [55]</w:t>
            </w:r>
          </w:p>
        </w:tc>
        <w:tc>
          <w:tcPr>
            <w:tcW w:w="2592" w:type="dxa"/>
            <w:tcBorders>
              <w:top w:val="nil"/>
              <w:left w:val="nil"/>
              <w:bottom w:val="nil"/>
              <w:right w:val="nil"/>
            </w:tcBorders>
            <w:vAlign w:val="center"/>
          </w:tcPr>
          <w:p w14:paraId="6A4BA35B"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w:t>
            </w:r>
          </w:p>
        </w:tc>
        <w:tc>
          <w:tcPr>
            <w:tcW w:w="2592" w:type="dxa"/>
            <w:tcBorders>
              <w:top w:val="nil"/>
              <w:left w:val="nil"/>
              <w:bottom w:val="nil"/>
              <w:right w:val="nil"/>
            </w:tcBorders>
            <w:vAlign w:val="center"/>
          </w:tcPr>
          <w:p w14:paraId="72C6C07C"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Critical appraisal of ERA evidence vs. commercial claims; RCT analysis; GRADE; Human Reproduction Open</w:t>
            </w:r>
          </w:p>
        </w:tc>
        <w:tc>
          <w:tcPr>
            <w:tcW w:w="2592" w:type="dxa"/>
            <w:tcBorders>
              <w:top w:val="nil"/>
              <w:left w:val="nil"/>
              <w:bottom w:val="nil"/>
              <w:right w:val="nil"/>
            </w:tcBorders>
            <w:vAlign w:val="center"/>
          </w:tcPr>
          <w:p w14:paraId="4DD345F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w:t>
            </w:r>
          </w:p>
        </w:tc>
        <w:tc>
          <w:tcPr>
            <w:tcW w:w="2592" w:type="dxa"/>
            <w:tcBorders>
              <w:top w:val="nil"/>
              <w:left w:val="nil"/>
              <w:bottom w:val="nil"/>
              <w:right w:val="nil"/>
            </w:tcBorders>
            <w:vAlign w:val="center"/>
          </w:tcPr>
          <w:p w14:paraId="3D2FE46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7ACAC735" w14:textId="77777777">
        <w:trPr>
          <w:jc w:val="center"/>
        </w:trPr>
        <w:tc>
          <w:tcPr>
            <w:tcW w:w="2592" w:type="dxa"/>
            <w:tcBorders>
              <w:top w:val="nil"/>
              <w:left w:val="nil"/>
              <w:bottom w:val="nil"/>
              <w:right w:val="nil"/>
            </w:tcBorders>
            <w:vAlign w:val="center"/>
          </w:tcPr>
          <w:p w14:paraId="071E6661"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Stoyancheva</w:t>
            </w:r>
            <w:proofErr w:type="spellEnd"/>
            <w:r w:rsidRPr="00D578DF">
              <w:rPr>
                <w:rFonts w:ascii="Times New Roman" w:hAnsi="Times New Roman" w:cs="Times New Roman"/>
                <w:sz w:val="20"/>
                <w:szCs w:val="20"/>
              </w:rPr>
              <w:t xml:space="preserve"> et al., 2025 [103]</w:t>
            </w:r>
          </w:p>
        </w:tc>
        <w:tc>
          <w:tcPr>
            <w:tcW w:w="2592" w:type="dxa"/>
            <w:tcBorders>
              <w:top w:val="nil"/>
              <w:left w:val="nil"/>
              <w:bottom w:val="nil"/>
              <w:right w:val="nil"/>
            </w:tcBorders>
            <w:vAlign w:val="center"/>
          </w:tcPr>
          <w:p w14:paraId="344A58F4" w14:textId="1E5CE732"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AMSTAR-2 </w:t>
            </w:r>
          </w:p>
        </w:tc>
        <w:tc>
          <w:tcPr>
            <w:tcW w:w="2592" w:type="dxa"/>
            <w:tcBorders>
              <w:top w:val="nil"/>
              <w:left w:val="nil"/>
              <w:bottom w:val="nil"/>
              <w:right w:val="nil"/>
            </w:tcBorders>
            <w:vAlign w:val="center"/>
          </w:tcPr>
          <w:p w14:paraId="23434795"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Currency (2026); microbiome-receptivity mechanism diversity; clinical perspective balance; IJMS</w:t>
            </w:r>
          </w:p>
        </w:tc>
        <w:tc>
          <w:tcPr>
            <w:tcW w:w="2592" w:type="dxa"/>
            <w:tcBorders>
              <w:top w:val="nil"/>
              <w:left w:val="nil"/>
              <w:bottom w:val="nil"/>
              <w:right w:val="nil"/>
            </w:tcBorders>
            <w:vAlign w:val="center"/>
          </w:tcPr>
          <w:p w14:paraId="671DE8C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V</w:t>
            </w:r>
          </w:p>
        </w:tc>
        <w:tc>
          <w:tcPr>
            <w:tcW w:w="2592" w:type="dxa"/>
            <w:tcBorders>
              <w:top w:val="nil"/>
              <w:left w:val="nil"/>
              <w:bottom w:val="nil"/>
              <w:right w:val="nil"/>
            </w:tcBorders>
            <w:vAlign w:val="center"/>
          </w:tcPr>
          <w:p w14:paraId="01782FB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169022C3" w14:textId="77777777">
        <w:trPr>
          <w:jc w:val="center"/>
        </w:trPr>
        <w:tc>
          <w:tcPr>
            <w:tcW w:w="2592" w:type="dxa"/>
            <w:tcBorders>
              <w:top w:val="nil"/>
              <w:left w:val="nil"/>
              <w:bottom w:val="nil"/>
              <w:right w:val="nil"/>
            </w:tcBorders>
            <w:vAlign w:val="center"/>
          </w:tcPr>
          <w:p w14:paraId="50492CA6"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 xml:space="preserve">Stevens </w:t>
            </w:r>
            <w:proofErr w:type="spellStart"/>
            <w:r w:rsidRPr="00D578DF">
              <w:rPr>
                <w:rFonts w:ascii="Times New Roman" w:hAnsi="Times New Roman" w:cs="Times New Roman"/>
                <w:sz w:val="20"/>
                <w:szCs w:val="20"/>
              </w:rPr>
              <w:t>Brentjens</w:t>
            </w:r>
            <w:proofErr w:type="spellEnd"/>
            <w:r w:rsidRPr="00D578DF">
              <w:rPr>
                <w:rFonts w:ascii="Times New Roman" w:hAnsi="Times New Roman" w:cs="Times New Roman"/>
                <w:sz w:val="20"/>
                <w:szCs w:val="20"/>
              </w:rPr>
              <w:t xml:space="preserve"> et al., 2022 [58]</w:t>
            </w:r>
          </w:p>
        </w:tc>
        <w:tc>
          <w:tcPr>
            <w:tcW w:w="2592" w:type="dxa"/>
            <w:tcBorders>
              <w:top w:val="nil"/>
              <w:left w:val="nil"/>
              <w:bottom w:val="nil"/>
              <w:right w:val="nil"/>
            </w:tcBorders>
            <w:vAlign w:val="center"/>
          </w:tcPr>
          <w:p w14:paraId="2242AD0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SPIRIT checklist</w:t>
            </w:r>
          </w:p>
        </w:tc>
        <w:tc>
          <w:tcPr>
            <w:tcW w:w="2592" w:type="dxa"/>
            <w:tcBorders>
              <w:top w:val="nil"/>
              <w:left w:val="nil"/>
              <w:bottom w:val="nil"/>
              <w:right w:val="nil"/>
            </w:tcBorders>
            <w:vAlign w:val="center"/>
          </w:tcPr>
          <w:p w14:paraId="72F3CAE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Protocol clarity; multi-disciplinary design; microbiome arm; sample size calculation; ethical approval; BMJ Open</w:t>
            </w:r>
          </w:p>
        </w:tc>
        <w:tc>
          <w:tcPr>
            <w:tcW w:w="2592" w:type="dxa"/>
            <w:tcBorders>
              <w:top w:val="nil"/>
              <w:left w:val="nil"/>
              <w:bottom w:val="nil"/>
              <w:right w:val="nil"/>
            </w:tcBorders>
            <w:vAlign w:val="center"/>
          </w:tcPr>
          <w:p w14:paraId="0DBB6A4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w:t>
            </w:r>
          </w:p>
        </w:tc>
        <w:tc>
          <w:tcPr>
            <w:tcW w:w="2592" w:type="dxa"/>
            <w:tcBorders>
              <w:top w:val="nil"/>
              <w:left w:val="nil"/>
              <w:bottom w:val="nil"/>
              <w:right w:val="nil"/>
            </w:tcBorders>
            <w:vAlign w:val="center"/>
          </w:tcPr>
          <w:p w14:paraId="69E879A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72746F92" w14:textId="77777777">
        <w:trPr>
          <w:jc w:val="center"/>
        </w:trPr>
        <w:tc>
          <w:tcPr>
            <w:tcW w:w="2592" w:type="dxa"/>
            <w:tcBorders>
              <w:top w:val="nil"/>
              <w:left w:val="nil"/>
              <w:bottom w:val="nil"/>
              <w:right w:val="nil"/>
            </w:tcBorders>
            <w:vAlign w:val="center"/>
          </w:tcPr>
          <w:p w14:paraId="32924891"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ÖZALTIN et al., 2022 [56]</w:t>
            </w:r>
          </w:p>
        </w:tc>
        <w:tc>
          <w:tcPr>
            <w:tcW w:w="2592" w:type="dxa"/>
            <w:tcBorders>
              <w:top w:val="nil"/>
              <w:left w:val="nil"/>
              <w:bottom w:val="nil"/>
              <w:right w:val="nil"/>
            </w:tcBorders>
            <w:vAlign w:val="center"/>
          </w:tcPr>
          <w:p w14:paraId="30F69F38"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NOS</w:t>
            </w:r>
          </w:p>
        </w:tc>
        <w:tc>
          <w:tcPr>
            <w:tcW w:w="2592" w:type="dxa"/>
            <w:tcBorders>
              <w:top w:val="nil"/>
              <w:left w:val="nil"/>
              <w:bottom w:val="nil"/>
              <w:right w:val="nil"/>
            </w:tcBorders>
            <w:vAlign w:val="center"/>
          </w:tcPr>
          <w:p w14:paraId="0046F832"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ERA protocol; euploid embryo transfer design; live birth outcome; control group comparability; CEOG journal</w:t>
            </w:r>
          </w:p>
        </w:tc>
        <w:tc>
          <w:tcPr>
            <w:tcW w:w="2592" w:type="dxa"/>
            <w:tcBorders>
              <w:top w:val="nil"/>
              <w:left w:val="nil"/>
              <w:bottom w:val="nil"/>
              <w:right w:val="nil"/>
            </w:tcBorders>
            <w:vAlign w:val="center"/>
          </w:tcPr>
          <w:p w14:paraId="3DAC4944"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III</w:t>
            </w:r>
          </w:p>
        </w:tc>
        <w:tc>
          <w:tcPr>
            <w:tcW w:w="2592" w:type="dxa"/>
            <w:tcBorders>
              <w:top w:val="nil"/>
              <w:left w:val="nil"/>
              <w:bottom w:val="nil"/>
              <w:right w:val="nil"/>
            </w:tcBorders>
            <w:vAlign w:val="center"/>
          </w:tcPr>
          <w:p w14:paraId="15838AE7"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r w:rsidR="005367AA" w:rsidRPr="00D578DF" w14:paraId="6B383CCD" w14:textId="77777777">
        <w:trPr>
          <w:jc w:val="center"/>
        </w:trPr>
        <w:tc>
          <w:tcPr>
            <w:tcW w:w="2592" w:type="dxa"/>
            <w:tcBorders>
              <w:top w:val="nil"/>
              <w:left w:val="nil"/>
              <w:bottom w:val="single" w:sz="8" w:space="0" w:color="000000"/>
              <w:right w:val="nil"/>
            </w:tcBorders>
            <w:vAlign w:val="center"/>
          </w:tcPr>
          <w:p w14:paraId="77E921F5" w14:textId="77777777" w:rsidR="005367AA" w:rsidRPr="00D578DF" w:rsidRDefault="00000000">
            <w:pPr>
              <w:rPr>
                <w:rFonts w:ascii="Times New Roman" w:hAnsi="Times New Roman" w:cs="Times New Roman"/>
                <w:sz w:val="20"/>
                <w:szCs w:val="20"/>
              </w:rPr>
            </w:pPr>
            <w:proofErr w:type="spellStart"/>
            <w:r w:rsidRPr="00D578DF">
              <w:rPr>
                <w:rFonts w:ascii="Times New Roman" w:hAnsi="Times New Roman" w:cs="Times New Roman"/>
                <w:sz w:val="20"/>
                <w:szCs w:val="20"/>
              </w:rPr>
              <w:t>Maziotis</w:t>
            </w:r>
            <w:proofErr w:type="spellEnd"/>
            <w:r w:rsidRPr="00D578DF">
              <w:rPr>
                <w:rFonts w:ascii="Times New Roman" w:hAnsi="Times New Roman" w:cs="Times New Roman"/>
                <w:sz w:val="20"/>
                <w:szCs w:val="20"/>
              </w:rPr>
              <w:t xml:space="preserve"> et al., 2022 [57]</w:t>
            </w:r>
          </w:p>
        </w:tc>
        <w:tc>
          <w:tcPr>
            <w:tcW w:w="2592" w:type="dxa"/>
            <w:tcBorders>
              <w:top w:val="nil"/>
              <w:left w:val="nil"/>
              <w:bottom w:val="single" w:sz="8" w:space="0" w:color="000000"/>
              <w:right w:val="nil"/>
            </w:tcBorders>
            <w:vAlign w:val="center"/>
          </w:tcPr>
          <w:p w14:paraId="45C89FD3"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AMSTAR-2 + GRADE</w:t>
            </w:r>
          </w:p>
        </w:tc>
        <w:tc>
          <w:tcPr>
            <w:tcW w:w="2592" w:type="dxa"/>
            <w:tcBorders>
              <w:top w:val="nil"/>
              <w:left w:val="nil"/>
              <w:bottom w:val="single" w:sz="8" w:space="0" w:color="000000"/>
              <w:right w:val="nil"/>
            </w:tcBorders>
            <w:vAlign w:val="center"/>
          </w:tcPr>
          <w:p w14:paraId="3CA84A2E"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Systematic search; multiple tests covered (ERA, EMMA, ALICE); GRADE evidence rating; clinical decision-making relevance; Diagnostics</w:t>
            </w:r>
          </w:p>
        </w:tc>
        <w:tc>
          <w:tcPr>
            <w:tcW w:w="2592" w:type="dxa"/>
            <w:tcBorders>
              <w:top w:val="nil"/>
              <w:left w:val="nil"/>
              <w:bottom w:val="single" w:sz="8" w:space="0" w:color="000000"/>
              <w:right w:val="nil"/>
            </w:tcBorders>
            <w:vAlign w:val="center"/>
          </w:tcPr>
          <w:p w14:paraId="1F32891A"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Level I</w:t>
            </w:r>
          </w:p>
        </w:tc>
        <w:tc>
          <w:tcPr>
            <w:tcW w:w="2592" w:type="dxa"/>
            <w:tcBorders>
              <w:top w:val="nil"/>
              <w:left w:val="nil"/>
              <w:bottom w:val="single" w:sz="8" w:space="0" w:color="000000"/>
              <w:right w:val="nil"/>
            </w:tcBorders>
            <w:vAlign w:val="center"/>
          </w:tcPr>
          <w:p w14:paraId="70C25B5F" w14:textId="77777777" w:rsidR="005367AA" w:rsidRPr="00D578DF" w:rsidRDefault="00000000">
            <w:pPr>
              <w:rPr>
                <w:rFonts w:ascii="Times New Roman" w:hAnsi="Times New Roman" w:cs="Times New Roman"/>
                <w:sz w:val="20"/>
                <w:szCs w:val="20"/>
              </w:rPr>
            </w:pPr>
            <w:r w:rsidRPr="00D578DF">
              <w:rPr>
                <w:rFonts w:ascii="Times New Roman" w:hAnsi="Times New Roman" w:cs="Times New Roman"/>
                <w:sz w:val="20"/>
                <w:szCs w:val="20"/>
              </w:rPr>
              <w:t>Good</w:t>
            </w:r>
          </w:p>
        </w:tc>
      </w:tr>
    </w:tbl>
    <w:p w14:paraId="678176E3" w14:textId="77777777" w:rsidR="00A23ACF" w:rsidRPr="00BC284D" w:rsidRDefault="00A23ACF" w:rsidP="00A23ACF">
      <w:pPr>
        <w:rPr>
          <w:rFonts w:ascii="Times New Roman" w:hAnsi="Times New Roman" w:cs="Times New Roman"/>
          <w:color w:val="EE0000"/>
          <w:sz w:val="20"/>
          <w:szCs w:val="20"/>
        </w:rPr>
      </w:pPr>
      <w:r w:rsidRPr="00BC284D">
        <w:rPr>
          <w:rFonts w:ascii="Times New Roman" w:hAnsi="Times New Roman" w:cs="Times New Roman"/>
          <w:color w:val="EE0000"/>
          <w:sz w:val="20"/>
          <w:szCs w:val="20"/>
          <w:vertAlign w:val="superscript"/>
        </w:rPr>
        <w:lastRenderedPageBreak/>
        <w:t>*</w:t>
      </w:r>
      <w:r w:rsidRPr="00BC284D">
        <w:rPr>
          <w:rFonts w:ascii="Times New Roman" w:hAnsi="Times New Roman" w:cs="Times New Roman"/>
          <w:color w:val="EE0000"/>
          <w:sz w:val="20"/>
          <w:szCs w:val="20"/>
        </w:rPr>
        <w:t>Methodological assessments are reported by the instrument or appraisal approach used for each publication. NOS, AMSTAR 2, SPIRIT/GRADE-based, OCEBM, and author-developed assessments are not numerically interchangeable and must not be pooled or ranked across instruments.</w:t>
      </w:r>
    </w:p>
    <w:p w14:paraId="6CBACA63" w14:textId="2F718F5F"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rPr>
        <w:t>The author-developed 10-point quality-assessment rubric applies specifically to bioinformatic and multi-omics studies for which no universally accepted instrument was available. Each of its ten criteria was assigned 0 (criterion not met) or 1 (criterion met), giving a maximum score of 10. These rubric scores are not converted to, or directly compared with, NOS, AMSTAR 2, SPIRIT/GRADE, or other instrument-specific assessments.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474"/>
        <w:gridCol w:w="694"/>
        <w:gridCol w:w="8792"/>
      </w:tblGrid>
      <w:tr w:rsidR="006E752A" w:rsidRPr="00D578DF" w14:paraId="41F66988" w14:textId="77777777" w:rsidTr="006E752A">
        <w:trPr>
          <w:tblHeader/>
          <w:jc w:val="center"/>
        </w:trPr>
        <w:tc>
          <w:tcPr>
            <w:tcW w:w="0" w:type="auto"/>
            <w:tcBorders>
              <w:top w:val="single" w:sz="8" w:space="0" w:color="000000"/>
              <w:left w:val="nil"/>
              <w:bottom w:val="single" w:sz="8" w:space="0" w:color="000000"/>
              <w:right w:val="nil"/>
            </w:tcBorders>
            <w:hideMark/>
          </w:tcPr>
          <w:p w14:paraId="54F335B2" w14:textId="77777777" w:rsidR="006E752A" w:rsidRPr="00D578DF" w:rsidRDefault="006E752A" w:rsidP="006E752A">
            <w:pPr>
              <w:rPr>
                <w:rFonts w:ascii="Times New Roman" w:hAnsi="Times New Roman" w:cs="Times New Roman"/>
                <w:b/>
                <w:bCs/>
                <w:sz w:val="20"/>
                <w:szCs w:val="20"/>
                <w:lang w:val="en-IN"/>
              </w:rPr>
            </w:pPr>
            <w:r w:rsidRPr="00D578DF">
              <w:rPr>
                <w:rFonts w:ascii="Times New Roman" w:hAnsi="Times New Roman" w:cs="Times New Roman"/>
                <w:b/>
                <w:bCs/>
                <w:sz w:val="20"/>
                <w:szCs w:val="20"/>
                <w:lang w:val="en-IN"/>
              </w:rPr>
              <w:t>Criterion</w:t>
            </w:r>
          </w:p>
        </w:tc>
        <w:tc>
          <w:tcPr>
            <w:tcW w:w="0" w:type="auto"/>
            <w:tcBorders>
              <w:top w:val="single" w:sz="8" w:space="0" w:color="000000"/>
              <w:left w:val="nil"/>
              <w:bottom w:val="single" w:sz="8" w:space="0" w:color="000000"/>
              <w:right w:val="nil"/>
            </w:tcBorders>
            <w:hideMark/>
          </w:tcPr>
          <w:p w14:paraId="115FBFB7" w14:textId="77777777" w:rsidR="006E752A" w:rsidRPr="00D578DF" w:rsidRDefault="006E752A" w:rsidP="006E752A">
            <w:pPr>
              <w:rPr>
                <w:rFonts w:ascii="Times New Roman" w:hAnsi="Times New Roman" w:cs="Times New Roman"/>
                <w:b/>
                <w:bCs/>
                <w:sz w:val="20"/>
                <w:szCs w:val="20"/>
                <w:lang w:val="en-IN"/>
              </w:rPr>
            </w:pPr>
            <w:r w:rsidRPr="00D578DF">
              <w:rPr>
                <w:rFonts w:ascii="Times New Roman" w:hAnsi="Times New Roman" w:cs="Times New Roman"/>
                <w:b/>
                <w:bCs/>
                <w:sz w:val="20"/>
                <w:szCs w:val="20"/>
                <w:lang w:val="en-IN"/>
              </w:rPr>
              <w:t>Score</w:t>
            </w:r>
          </w:p>
        </w:tc>
        <w:tc>
          <w:tcPr>
            <w:tcW w:w="0" w:type="auto"/>
            <w:tcBorders>
              <w:top w:val="single" w:sz="8" w:space="0" w:color="000000"/>
              <w:left w:val="nil"/>
              <w:bottom w:val="single" w:sz="8" w:space="0" w:color="000000"/>
              <w:right w:val="nil"/>
            </w:tcBorders>
            <w:hideMark/>
          </w:tcPr>
          <w:p w14:paraId="214A7EFD" w14:textId="77777777" w:rsidR="006E752A" w:rsidRPr="00D578DF" w:rsidRDefault="006E752A" w:rsidP="006E752A">
            <w:pPr>
              <w:rPr>
                <w:rFonts w:ascii="Times New Roman" w:hAnsi="Times New Roman" w:cs="Times New Roman"/>
                <w:b/>
                <w:bCs/>
                <w:sz w:val="20"/>
                <w:szCs w:val="20"/>
                <w:lang w:val="en-IN"/>
              </w:rPr>
            </w:pPr>
            <w:r w:rsidRPr="00D578DF">
              <w:rPr>
                <w:rFonts w:ascii="Times New Roman" w:hAnsi="Times New Roman" w:cs="Times New Roman"/>
                <w:b/>
                <w:bCs/>
                <w:sz w:val="20"/>
                <w:szCs w:val="20"/>
                <w:lang w:val="en-IN"/>
              </w:rPr>
              <w:t>Assessment Criteria</w:t>
            </w:r>
          </w:p>
        </w:tc>
      </w:tr>
      <w:tr w:rsidR="006E752A" w:rsidRPr="00D578DF" w14:paraId="21DD43EF" w14:textId="77777777" w:rsidTr="006E752A">
        <w:trPr>
          <w:jc w:val="center"/>
        </w:trPr>
        <w:tc>
          <w:tcPr>
            <w:tcW w:w="0" w:type="auto"/>
            <w:tcBorders>
              <w:top w:val="nil"/>
              <w:left w:val="nil"/>
              <w:bottom w:val="nil"/>
              <w:right w:val="nil"/>
            </w:tcBorders>
            <w:hideMark/>
          </w:tcPr>
          <w:p w14:paraId="253B5409"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1. Clearly defined study objective</w:t>
            </w:r>
          </w:p>
        </w:tc>
        <w:tc>
          <w:tcPr>
            <w:tcW w:w="0" w:type="auto"/>
            <w:tcBorders>
              <w:top w:val="nil"/>
              <w:left w:val="nil"/>
              <w:bottom w:val="nil"/>
              <w:right w:val="nil"/>
            </w:tcBorders>
            <w:hideMark/>
          </w:tcPr>
          <w:p w14:paraId="701397A3"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nil"/>
              <w:right w:val="nil"/>
            </w:tcBorders>
            <w:hideMark/>
          </w:tcPr>
          <w:p w14:paraId="3AAD3529"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Study objective and research question were explicitly stated.</w:t>
            </w:r>
          </w:p>
        </w:tc>
      </w:tr>
      <w:tr w:rsidR="006E752A" w:rsidRPr="00D578DF" w14:paraId="334917D9" w14:textId="77777777" w:rsidTr="006E752A">
        <w:trPr>
          <w:jc w:val="center"/>
        </w:trPr>
        <w:tc>
          <w:tcPr>
            <w:tcW w:w="0" w:type="auto"/>
            <w:tcBorders>
              <w:top w:val="nil"/>
              <w:left w:val="nil"/>
              <w:bottom w:val="nil"/>
              <w:right w:val="nil"/>
            </w:tcBorders>
            <w:hideMark/>
          </w:tcPr>
          <w:p w14:paraId="4083D9BA"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2. Appropriate study population and sample selection</w:t>
            </w:r>
          </w:p>
        </w:tc>
        <w:tc>
          <w:tcPr>
            <w:tcW w:w="0" w:type="auto"/>
            <w:tcBorders>
              <w:top w:val="nil"/>
              <w:left w:val="nil"/>
              <w:bottom w:val="nil"/>
              <w:right w:val="nil"/>
            </w:tcBorders>
            <w:hideMark/>
          </w:tcPr>
          <w:p w14:paraId="1D448D5D"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nil"/>
              <w:right w:val="nil"/>
            </w:tcBorders>
            <w:hideMark/>
          </w:tcPr>
          <w:p w14:paraId="69EFE5A0"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Inclusion of well-defined RIF patients and appropriate control group with clearly described eligibility criteria.</w:t>
            </w:r>
          </w:p>
        </w:tc>
      </w:tr>
      <w:tr w:rsidR="006E752A" w:rsidRPr="00D578DF" w14:paraId="28A4BE57" w14:textId="77777777" w:rsidTr="006E752A">
        <w:trPr>
          <w:jc w:val="center"/>
        </w:trPr>
        <w:tc>
          <w:tcPr>
            <w:tcW w:w="0" w:type="auto"/>
            <w:tcBorders>
              <w:top w:val="nil"/>
              <w:left w:val="nil"/>
              <w:bottom w:val="nil"/>
              <w:right w:val="nil"/>
            </w:tcBorders>
            <w:hideMark/>
          </w:tcPr>
          <w:p w14:paraId="1624A8D1"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3. Adequate sample size</w:t>
            </w:r>
          </w:p>
        </w:tc>
        <w:tc>
          <w:tcPr>
            <w:tcW w:w="0" w:type="auto"/>
            <w:tcBorders>
              <w:top w:val="nil"/>
              <w:left w:val="nil"/>
              <w:bottom w:val="nil"/>
              <w:right w:val="nil"/>
            </w:tcBorders>
            <w:hideMark/>
          </w:tcPr>
          <w:p w14:paraId="176D0A42"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nil"/>
              <w:right w:val="nil"/>
            </w:tcBorders>
            <w:hideMark/>
          </w:tcPr>
          <w:p w14:paraId="4D2F3F85"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Sample size was justified or considered adequate for the omics platform used.</w:t>
            </w:r>
          </w:p>
        </w:tc>
      </w:tr>
      <w:tr w:rsidR="006E752A" w:rsidRPr="00D578DF" w14:paraId="697880D1" w14:textId="77777777" w:rsidTr="006E752A">
        <w:trPr>
          <w:jc w:val="center"/>
        </w:trPr>
        <w:tc>
          <w:tcPr>
            <w:tcW w:w="0" w:type="auto"/>
            <w:tcBorders>
              <w:top w:val="nil"/>
              <w:left w:val="nil"/>
              <w:bottom w:val="nil"/>
              <w:right w:val="nil"/>
            </w:tcBorders>
            <w:hideMark/>
          </w:tcPr>
          <w:p w14:paraId="5326CE18"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4. Appropriate omics methodology</w:t>
            </w:r>
          </w:p>
        </w:tc>
        <w:tc>
          <w:tcPr>
            <w:tcW w:w="0" w:type="auto"/>
            <w:tcBorders>
              <w:top w:val="nil"/>
              <w:left w:val="nil"/>
              <w:bottom w:val="nil"/>
              <w:right w:val="nil"/>
            </w:tcBorders>
            <w:hideMark/>
          </w:tcPr>
          <w:p w14:paraId="12BD5B4B"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nil"/>
              <w:right w:val="nil"/>
            </w:tcBorders>
            <w:hideMark/>
          </w:tcPr>
          <w:p w14:paraId="0564074B"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Genomic, epigenomic, transcriptomic, proteomic, metabolomic, lipidomic, or microbiomic methods were clearly described and appropriate for the study objectives.</w:t>
            </w:r>
          </w:p>
        </w:tc>
      </w:tr>
      <w:tr w:rsidR="006E752A" w:rsidRPr="00D578DF" w14:paraId="23D1F4D4" w14:textId="77777777" w:rsidTr="006E752A">
        <w:trPr>
          <w:jc w:val="center"/>
        </w:trPr>
        <w:tc>
          <w:tcPr>
            <w:tcW w:w="0" w:type="auto"/>
            <w:tcBorders>
              <w:top w:val="nil"/>
              <w:left w:val="nil"/>
              <w:bottom w:val="nil"/>
              <w:right w:val="nil"/>
            </w:tcBorders>
            <w:hideMark/>
          </w:tcPr>
          <w:p w14:paraId="4EF2B116"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5. Statistical analysis</w:t>
            </w:r>
          </w:p>
        </w:tc>
        <w:tc>
          <w:tcPr>
            <w:tcW w:w="0" w:type="auto"/>
            <w:tcBorders>
              <w:top w:val="nil"/>
              <w:left w:val="nil"/>
              <w:bottom w:val="nil"/>
              <w:right w:val="nil"/>
            </w:tcBorders>
            <w:hideMark/>
          </w:tcPr>
          <w:p w14:paraId="4F8066B1"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nil"/>
              <w:right w:val="nil"/>
            </w:tcBorders>
            <w:hideMark/>
          </w:tcPr>
          <w:p w14:paraId="0BF07C01"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Appropriate statistical analyses were performed, including correction for multiple testing where applicable (e.g., FDR or Bonferroni correction).</w:t>
            </w:r>
          </w:p>
        </w:tc>
      </w:tr>
      <w:tr w:rsidR="006E752A" w:rsidRPr="00D578DF" w14:paraId="4E32B606" w14:textId="77777777" w:rsidTr="006E752A">
        <w:trPr>
          <w:jc w:val="center"/>
        </w:trPr>
        <w:tc>
          <w:tcPr>
            <w:tcW w:w="0" w:type="auto"/>
            <w:tcBorders>
              <w:top w:val="nil"/>
              <w:left w:val="nil"/>
              <w:bottom w:val="nil"/>
              <w:right w:val="nil"/>
            </w:tcBorders>
            <w:hideMark/>
          </w:tcPr>
          <w:p w14:paraId="48AA20E9"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6. Functional or pathway analysis</w:t>
            </w:r>
          </w:p>
        </w:tc>
        <w:tc>
          <w:tcPr>
            <w:tcW w:w="0" w:type="auto"/>
            <w:tcBorders>
              <w:top w:val="nil"/>
              <w:left w:val="nil"/>
              <w:bottom w:val="nil"/>
              <w:right w:val="nil"/>
            </w:tcBorders>
            <w:hideMark/>
          </w:tcPr>
          <w:p w14:paraId="41BD77D1"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nil"/>
              <w:right w:val="nil"/>
            </w:tcBorders>
            <w:hideMark/>
          </w:tcPr>
          <w:p w14:paraId="1CAA595B"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Functional enrichment, pathway analysis, or biological interpretation of identified molecular signatures was performed.</w:t>
            </w:r>
          </w:p>
        </w:tc>
      </w:tr>
      <w:tr w:rsidR="006E752A" w:rsidRPr="00D578DF" w14:paraId="084C4035" w14:textId="77777777" w:rsidTr="006E752A">
        <w:trPr>
          <w:jc w:val="center"/>
        </w:trPr>
        <w:tc>
          <w:tcPr>
            <w:tcW w:w="0" w:type="auto"/>
            <w:tcBorders>
              <w:top w:val="nil"/>
              <w:left w:val="nil"/>
              <w:bottom w:val="nil"/>
              <w:right w:val="nil"/>
            </w:tcBorders>
            <w:hideMark/>
          </w:tcPr>
          <w:p w14:paraId="0A7DE657"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7. Experimental or independent validation</w:t>
            </w:r>
          </w:p>
        </w:tc>
        <w:tc>
          <w:tcPr>
            <w:tcW w:w="0" w:type="auto"/>
            <w:tcBorders>
              <w:top w:val="nil"/>
              <w:left w:val="nil"/>
              <w:bottom w:val="nil"/>
              <w:right w:val="nil"/>
            </w:tcBorders>
            <w:hideMark/>
          </w:tcPr>
          <w:p w14:paraId="1AFA4923"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nil"/>
              <w:right w:val="nil"/>
            </w:tcBorders>
            <w:hideMark/>
          </w:tcPr>
          <w:p w14:paraId="0ED479AB"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Findings were validated using independent cohorts or experimental methods (e.g., qPCR, Western blotting, immunohistochemistry, ELISA, external datasets).</w:t>
            </w:r>
          </w:p>
        </w:tc>
      </w:tr>
      <w:tr w:rsidR="006E752A" w:rsidRPr="00D578DF" w14:paraId="6915C926" w14:textId="77777777" w:rsidTr="006E752A">
        <w:trPr>
          <w:jc w:val="center"/>
        </w:trPr>
        <w:tc>
          <w:tcPr>
            <w:tcW w:w="0" w:type="auto"/>
            <w:tcBorders>
              <w:top w:val="nil"/>
              <w:left w:val="nil"/>
              <w:bottom w:val="nil"/>
              <w:right w:val="nil"/>
            </w:tcBorders>
            <w:hideMark/>
          </w:tcPr>
          <w:p w14:paraId="7047F5BC"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8. Clinical relevance</w:t>
            </w:r>
          </w:p>
        </w:tc>
        <w:tc>
          <w:tcPr>
            <w:tcW w:w="0" w:type="auto"/>
            <w:tcBorders>
              <w:top w:val="nil"/>
              <w:left w:val="nil"/>
              <w:bottom w:val="nil"/>
              <w:right w:val="nil"/>
            </w:tcBorders>
            <w:hideMark/>
          </w:tcPr>
          <w:p w14:paraId="13AB2E40"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nil"/>
              <w:right w:val="nil"/>
            </w:tcBorders>
            <w:hideMark/>
          </w:tcPr>
          <w:p w14:paraId="291A17F5"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Study reported clinically relevant biomarkers, diagnostic models, therapeutic targets, or translational implications.</w:t>
            </w:r>
          </w:p>
        </w:tc>
      </w:tr>
      <w:tr w:rsidR="006E752A" w:rsidRPr="00D578DF" w14:paraId="67383E32" w14:textId="77777777" w:rsidTr="006E752A">
        <w:trPr>
          <w:jc w:val="center"/>
        </w:trPr>
        <w:tc>
          <w:tcPr>
            <w:tcW w:w="0" w:type="auto"/>
            <w:tcBorders>
              <w:top w:val="nil"/>
              <w:left w:val="nil"/>
              <w:bottom w:val="nil"/>
              <w:right w:val="nil"/>
            </w:tcBorders>
            <w:hideMark/>
          </w:tcPr>
          <w:p w14:paraId="03D2AB06"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9. Reproducibility and transparency</w:t>
            </w:r>
          </w:p>
        </w:tc>
        <w:tc>
          <w:tcPr>
            <w:tcW w:w="0" w:type="auto"/>
            <w:tcBorders>
              <w:top w:val="nil"/>
              <w:left w:val="nil"/>
              <w:bottom w:val="nil"/>
              <w:right w:val="nil"/>
            </w:tcBorders>
            <w:hideMark/>
          </w:tcPr>
          <w:p w14:paraId="43F7AE17"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nil"/>
              <w:right w:val="nil"/>
            </w:tcBorders>
            <w:hideMark/>
          </w:tcPr>
          <w:p w14:paraId="0FDE88F1"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Sufficient methodological detail was provided to permit replication, including datasets, analytical workflow, and software where applicable.</w:t>
            </w:r>
          </w:p>
        </w:tc>
      </w:tr>
      <w:tr w:rsidR="006E752A" w:rsidRPr="00D578DF" w14:paraId="19EC7A9E" w14:textId="77777777" w:rsidTr="006E752A">
        <w:trPr>
          <w:jc w:val="center"/>
        </w:trPr>
        <w:tc>
          <w:tcPr>
            <w:tcW w:w="0" w:type="auto"/>
            <w:tcBorders>
              <w:top w:val="nil"/>
              <w:left w:val="nil"/>
              <w:bottom w:val="single" w:sz="8" w:space="0" w:color="000000"/>
              <w:right w:val="nil"/>
            </w:tcBorders>
            <w:hideMark/>
          </w:tcPr>
          <w:p w14:paraId="73B6EA4A"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10. Reporting quality</w:t>
            </w:r>
          </w:p>
        </w:tc>
        <w:tc>
          <w:tcPr>
            <w:tcW w:w="0" w:type="auto"/>
            <w:tcBorders>
              <w:top w:val="nil"/>
              <w:left w:val="nil"/>
              <w:bottom w:val="single" w:sz="8" w:space="0" w:color="000000"/>
              <w:right w:val="nil"/>
            </w:tcBorders>
            <w:hideMark/>
          </w:tcPr>
          <w:p w14:paraId="4B4708D3"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0–1</w:t>
            </w:r>
          </w:p>
        </w:tc>
        <w:tc>
          <w:tcPr>
            <w:tcW w:w="0" w:type="auto"/>
            <w:tcBorders>
              <w:top w:val="nil"/>
              <w:left w:val="nil"/>
              <w:bottom w:val="single" w:sz="8" w:space="0" w:color="000000"/>
              <w:right w:val="nil"/>
            </w:tcBorders>
            <w:hideMark/>
          </w:tcPr>
          <w:p w14:paraId="7F2A6EE0"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Study reported results clearly with appropriate figures, tables, statistical outcomes, and discussion of limitations.</w:t>
            </w:r>
          </w:p>
        </w:tc>
      </w:tr>
    </w:tbl>
    <w:p w14:paraId="2028C0F7" w14:textId="77777777" w:rsidR="006E752A" w:rsidRPr="00D578DF" w:rsidRDefault="006E752A" w:rsidP="006E752A">
      <w:pPr>
        <w:rPr>
          <w:rFonts w:ascii="Times New Roman" w:hAnsi="Times New Roman" w:cs="Times New Roman"/>
          <w:b/>
          <w:bCs/>
          <w:sz w:val="20"/>
          <w:szCs w:val="20"/>
          <w:lang w:val="en-IN"/>
        </w:rPr>
      </w:pPr>
    </w:p>
    <w:p w14:paraId="567F74BC" w14:textId="043F425F" w:rsidR="006E752A" w:rsidRPr="00D578DF" w:rsidRDefault="00D578DF" w:rsidP="006E752A">
      <w:pPr>
        <w:rPr>
          <w:rFonts w:ascii="Times New Roman" w:hAnsi="Times New Roman" w:cs="Times New Roman"/>
          <w:b/>
          <w:bCs/>
          <w:sz w:val="20"/>
          <w:szCs w:val="20"/>
          <w:lang w:val="en-IN"/>
        </w:rPr>
      </w:pPr>
      <w:r w:rsidRPr="00D578DF">
        <w:rPr>
          <w:rFonts w:ascii="Times New Roman" w:hAnsi="Times New Roman" w:cs="Times New Roman"/>
          <w:b/>
          <w:sz w:val="20"/>
          <w:szCs w:val="20"/>
        </w:rPr>
        <w:br w:type="page"/>
      </w:r>
      <w:r w:rsidR="006E752A" w:rsidRPr="00D578DF">
        <w:rPr>
          <w:rFonts w:ascii="Times New Roman" w:hAnsi="Times New Roman" w:cs="Times New Roman"/>
          <w:b/>
          <w:sz w:val="20"/>
          <w:szCs w:val="20"/>
        </w:rPr>
        <w:lastRenderedPageBreak/>
        <w:t>Author-developed rubric classification</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200"/>
        <w:gridCol w:w="2882"/>
      </w:tblGrid>
      <w:tr w:rsidR="006E752A" w:rsidRPr="00D578DF" w14:paraId="6BA4A0F1" w14:textId="77777777" w:rsidTr="006E752A">
        <w:trPr>
          <w:tblHeader/>
          <w:jc w:val="center"/>
        </w:trPr>
        <w:tc>
          <w:tcPr>
            <w:tcW w:w="0" w:type="auto"/>
            <w:tcBorders>
              <w:top w:val="single" w:sz="8" w:space="0" w:color="000000"/>
              <w:left w:val="nil"/>
              <w:bottom w:val="single" w:sz="8" w:space="0" w:color="000000"/>
              <w:right w:val="nil"/>
            </w:tcBorders>
            <w:hideMark/>
          </w:tcPr>
          <w:p w14:paraId="72AE2231" w14:textId="77777777" w:rsidR="006E752A" w:rsidRPr="00D578DF" w:rsidRDefault="006E752A" w:rsidP="006E752A">
            <w:pPr>
              <w:rPr>
                <w:rFonts w:ascii="Times New Roman" w:hAnsi="Times New Roman" w:cs="Times New Roman"/>
                <w:b/>
                <w:bCs/>
                <w:sz w:val="20"/>
                <w:szCs w:val="20"/>
                <w:lang w:val="en-IN"/>
              </w:rPr>
            </w:pPr>
            <w:r w:rsidRPr="00D578DF">
              <w:rPr>
                <w:rFonts w:ascii="Times New Roman" w:hAnsi="Times New Roman" w:cs="Times New Roman"/>
                <w:b/>
                <w:bCs/>
                <w:sz w:val="20"/>
                <w:szCs w:val="20"/>
                <w:lang w:val="en-IN"/>
              </w:rPr>
              <w:t>Total Score</w:t>
            </w:r>
          </w:p>
        </w:tc>
        <w:tc>
          <w:tcPr>
            <w:tcW w:w="0" w:type="auto"/>
            <w:tcBorders>
              <w:top w:val="single" w:sz="8" w:space="0" w:color="000000"/>
              <w:left w:val="nil"/>
              <w:bottom w:val="single" w:sz="8" w:space="0" w:color="000000"/>
              <w:right w:val="nil"/>
            </w:tcBorders>
            <w:hideMark/>
          </w:tcPr>
          <w:p w14:paraId="1D62A019" w14:textId="77777777" w:rsidR="006E752A" w:rsidRPr="00D578DF" w:rsidRDefault="006E752A" w:rsidP="006E752A">
            <w:pPr>
              <w:rPr>
                <w:rFonts w:ascii="Times New Roman" w:hAnsi="Times New Roman" w:cs="Times New Roman"/>
                <w:b/>
                <w:bCs/>
                <w:sz w:val="20"/>
                <w:szCs w:val="20"/>
                <w:lang w:val="en-IN"/>
              </w:rPr>
            </w:pPr>
            <w:r w:rsidRPr="00D578DF">
              <w:rPr>
                <w:rFonts w:ascii="Times New Roman" w:hAnsi="Times New Roman" w:cs="Times New Roman"/>
                <w:b/>
                <w:bCs/>
                <w:sz w:val="20"/>
                <w:szCs w:val="20"/>
                <w:lang w:val="en-IN"/>
              </w:rPr>
              <w:t>Quality Category</w:t>
            </w:r>
          </w:p>
        </w:tc>
      </w:tr>
      <w:tr w:rsidR="006E752A" w:rsidRPr="00D578DF" w14:paraId="7C02B710" w14:textId="77777777" w:rsidTr="006E752A">
        <w:trPr>
          <w:jc w:val="center"/>
        </w:trPr>
        <w:tc>
          <w:tcPr>
            <w:tcW w:w="0" w:type="auto"/>
            <w:tcBorders>
              <w:top w:val="nil"/>
              <w:left w:val="nil"/>
              <w:bottom w:val="nil"/>
              <w:right w:val="nil"/>
            </w:tcBorders>
            <w:hideMark/>
          </w:tcPr>
          <w:p w14:paraId="25BF30CB"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9–10</w:t>
            </w:r>
          </w:p>
        </w:tc>
        <w:tc>
          <w:tcPr>
            <w:tcW w:w="0" w:type="auto"/>
            <w:tcBorders>
              <w:top w:val="nil"/>
              <w:left w:val="nil"/>
              <w:bottom w:val="nil"/>
              <w:right w:val="nil"/>
            </w:tcBorders>
            <w:hideMark/>
          </w:tcPr>
          <w:p w14:paraId="32BF9D4F"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Excellent methodological quality</w:t>
            </w:r>
          </w:p>
        </w:tc>
      </w:tr>
      <w:tr w:rsidR="006E752A" w:rsidRPr="00D578DF" w14:paraId="5B193479" w14:textId="77777777" w:rsidTr="006E752A">
        <w:trPr>
          <w:jc w:val="center"/>
        </w:trPr>
        <w:tc>
          <w:tcPr>
            <w:tcW w:w="0" w:type="auto"/>
            <w:tcBorders>
              <w:top w:val="nil"/>
              <w:left w:val="nil"/>
              <w:bottom w:val="nil"/>
              <w:right w:val="nil"/>
            </w:tcBorders>
            <w:hideMark/>
          </w:tcPr>
          <w:p w14:paraId="0F35D913"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7–8</w:t>
            </w:r>
          </w:p>
        </w:tc>
        <w:tc>
          <w:tcPr>
            <w:tcW w:w="0" w:type="auto"/>
            <w:tcBorders>
              <w:top w:val="nil"/>
              <w:left w:val="nil"/>
              <w:bottom w:val="nil"/>
              <w:right w:val="nil"/>
            </w:tcBorders>
            <w:hideMark/>
          </w:tcPr>
          <w:p w14:paraId="1FD575E9"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Good methodological quality</w:t>
            </w:r>
          </w:p>
        </w:tc>
      </w:tr>
      <w:tr w:rsidR="006E752A" w:rsidRPr="00D578DF" w14:paraId="047D5926" w14:textId="77777777" w:rsidTr="006E752A">
        <w:trPr>
          <w:jc w:val="center"/>
        </w:trPr>
        <w:tc>
          <w:tcPr>
            <w:tcW w:w="0" w:type="auto"/>
            <w:tcBorders>
              <w:top w:val="nil"/>
              <w:left w:val="nil"/>
              <w:bottom w:val="nil"/>
              <w:right w:val="nil"/>
            </w:tcBorders>
            <w:hideMark/>
          </w:tcPr>
          <w:p w14:paraId="70FEF513"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5–6</w:t>
            </w:r>
          </w:p>
        </w:tc>
        <w:tc>
          <w:tcPr>
            <w:tcW w:w="0" w:type="auto"/>
            <w:tcBorders>
              <w:top w:val="nil"/>
              <w:left w:val="nil"/>
              <w:bottom w:val="nil"/>
              <w:right w:val="nil"/>
            </w:tcBorders>
            <w:hideMark/>
          </w:tcPr>
          <w:p w14:paraId="000CC20F"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Moderate methodological quality</w:t>
            </w:r>
          </w:p>
        </w:tc>
      </w:tr>
      <w:tr w:rsidR="006E752A" w:rsidRPr="00D578DF" w14:paraId="6869AF1C" w14:textId="77777777" w:rsidTr="006E752A">
        <w:trPr>
          <w:jc w:val="center"/>
        </w:trPr>
        <w:tc>
          <w:tcPr>
            <w:tcW w:w="0" w:type="auto"/>
            <w:tcBorders>
              <w:top w:val="nil"/>
              <w:left w:val="nil"/>
              <w:bottom w:val="single" w:sz="8" w:space="0" w:color="000000"/>
              <w:right w:val="nil"/>
            </w:tcBorders>
            <w:hideMark/>
          </w:tcPr>
          <w:p w14:paraId="57D1B3E9"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b/>
                <w:bCs/>
                <w:sz w:val="20"/>
                <w:szCs w:val="20"/>
                <w:lang w:val="en-IN"/>
              </w:rPr>
              <w:t>0–4</w:t>
            </w:r>
          </w:p>
        </w:tc>
        <w:tc>
          <w:tcPr>
            <w:tcW w:w="0" w:type="auto"/>
            <w:tcBorders>
              <w:top w:val="nil"/>
              <w:left w:val="nil"/>
              <w:bottom w:val="single" w:sz="8" w:space="0" w:color="000000"/>
              <w:right w:val="nil"/>
            </w:tcBorders>
            <w:hideMark/>
          </w:tcPr>
          <w:p w14:paraId="22EFE67B" w14:textId="77777777" w:rsidR="006E752A" w:rsidRPr="00D578DF" w:rsidRDefault="006E752A" w:rsidP="006E752A">
            <w:pPr>
              <w:rPr>
                <w:rFonts w:ascii="Times New Roman" w:hAnsi="Times New Roman" w:cs="Times New Roman"/>
                <w:sz w:val="20"/>
                <w:szCs w:val="20"/>
                <w:lang w:val="en-IN"/>
              </w:rPr>
            </w:pPr>
            <w:r w:rsidRPr="00D578DF">
              <w:rPr>
                <w:rFonts w:ascii="Times New Roman" w:hAnsi="Times New Roman" w:cs="Times New Roman"/>
                <w:sz w:val="20"/>
                <w:szCs w:val="20"/>
                <w:lang w:val="en-IN"/>
              </w:rPr>
              <w:t>Low methodological quality</w:t>
            </w:r>
          </w:p>
        </w:tc>
      </w:tr>
    </w:tbl>
    <w:p w14:paraId="396FA861" w14:textId="77777777" w:rsidR="006E752A" w:rsidRPr="00D578DF" w:rsidRDefault="006E752A" w:rsidP="00A23ACF">
      <w:pPr>
        <w:rPr>
          <w:rFonts w:ascii="Times New Roman" w:hAnsi="Times New Roman" w:cs="Times New Roman"/>
          <w:sz w:val="20"/>
          <w:szCs w:val="20"/>
        </w:rPr>
      </w:pPr>
    </w:p>
    <w:sectPr w:rsidR="006E752A" w:rsidRPr="00D578DF" w:rsidSect="0003461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529045F"/>
    <w:multiLevelType w:val="hybridMultilevel"/>
    <w:tmpl w:val="A76C84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9D992E7"/>
    <w:multiLevelType w:val="hybridMultilevel"/>
    <w:tmpl w:val="793EA672"/>
    <w:lvl w:ilvl="0" w:tplc="15AE033E">
      <w:start w:val="1"/>
      <w:numFmt w:val="decimal"/>
      <w:lvlText w:val="%1."/>
      <w:lvlJc w:val="left"/>
      <w:pPr>
        <w:ind w:left="720" w:hanging="360"/>
      </w:pPr>
    </w:lvl>
    <w:lvl w:ilvl="1" w:tplc="CC0CA734">
      <w:start w:val="1"/>
      <w:numFmt w:val="lowerLetter"/>
      <w:lvlText w:val="%2."/>
      <w:lvlJc w:val="left"/>
      <w:pPr>
        <w:ind w:left="1440" w:hanging="360"/>
      </w:pPr>
    </w:lvl>
    <w:lvl w:ilvl="2" w:tplc="E43C582C">
      <w:start w:val="1"/>
      <w:numFmt w:val="lowerRoman"/>
      <w:lvlText w:val="%3."/>
      <w:lvlJc w:val="right"/>
      <w:pPr>
        <w:ind w:left="2160" w:hanging="180"/>
      </w:pPr>
    </w:lvl>
    <w:lvl w:ilvl="3" w:tplc="F564BF2E">
      <w:start w:val="1"/>
      <w:numFmt w:val="decimal"/>
      <w:lvlText w:val="%4."/>
      <w:lvlJc w:val="left"/>
      <w:pPr>
        <w:ind w:left="2880" w:hanging="360"/>
      </w:pPr>
    </w:lvl>
    <w:lvl w:ilvl="4" w:tplc="F60CF478">
      <w:start w:val="1"/>
      <w:numFmt w:val="lowerLetter"/>
      <w:lvlText w:val="%5."/>
      <w:lvlJc w:val="left"/>
      <w:pPr>
        <w:ind w:left="3600" w:hanging="360"/>
      </w:pPr>
    </w:lvl>
    <w:lvl w:ilvl="5" w:tplc="594ADF1C">
      <w:start w:val="1"/>
      <w:numFmt w:val="lowerRoman"/>
      <w:lvlText w:val="%6."/>
      <w:lvlJc w:val="right"/>
      <w:pPr>
        <w:ind w:left="4320" w:hanging="180"/>
      </w:pPr>
    </w:lvl>
    <w:lvl w:ilvl="6" w:tplc="E3F00132">
      <w:start w:val="1"/>
      <w:numFmt w:val="decimal"/>
      <w:lvlText w:val="%7."/>
      <w:lvlJc w:val="left"/>
      <w:pPr>
        <w:ind w:left="5040" w:hanging="360"/>
      </w:pPr>
    </w:lvl>
    <w:lvl w:ilvl="7" w:tplc="433007B6">
      <w:start w:val="1"/>
      <w:numFmt w:val="lowerLetter"/>
      <w:lvlText w:val="%8."/>
      <w:lvlJc w:val="left"/>
      <w:pPr>
        <w:ind w:left="5760" w:hanging="360"/>
      </w:pPr>
    </w:lvl>
    <w:lvl w:ilvl="8" w:tplc="22963090">
      <w:start w:val="1"/>
      <w:numFmt w:val="lowerRoman"/>
      <w:lvlText w:val="%9."/>
      <w:lvlJc w:val="right"/>
      <w:pPr>
        <w:ind w:left="6480" w:hanging="180"/>
      </w:pPr>
    </w:lvl>
  </w:abstractNum>
  <w:num w:numId="1" w16cid:durableId="588463325">
    <w:abstractNumId w:val="10"/>
  </w:num>
  <w:num w:numId="2" w16cid:durableId="1655259683">
    <w:abstractNumId w:val="8"/>
  </w:num>
  <w:num w:numId="3" w16cid:durableId="1135413156">
    <w:abstractNumId w:val="6"/>
  </w:num>
  <w:num w:numId="4" w16cid:durableId="1406611457">
    <w:abstractNumId w:val="5"/>
  </w:num>
  <w:num w:numId="5" w16cid:durableId="543950643">
    <w:abstractNumId w:val="4"/>
  </w:num>
  <w:num w:numId="6" w16cid:durableId="1093353269">
    <w:abstractNumId w:val="7"/>
  </w:num>
  <w:num w:numId="7" w16cid:durableId="599683570">
    <w:abstractNumId w:val="3"/>
  </w:num>
  <w:num w:numId="8" w16cid:durableId="1217206919">
    <w:abstractNumId w:val="2"/>
  </w:num>
  <w:num w:numId="9" w16cid:durableId="1937516038">
    <w:abstractNumId w:val="1"/>
  </w:num>
  <w:num w:numId="10" w16cid:durableId="505827959">
    <w:abstractNumId w:val="0"/>
  </w:num>
  <w:num w:numId="11" w16cid:durableId="19446806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1FE"/>
    <w:rsid w:val="00034616"/>
    <w:rsid w:val="00040129"/>
    <w:rsid w:val="0006063C"/>
    <w:rsid w:val="000757C9"/>
    <w:rsid w:val="000C20F2"/>
    <w:rsid w:val="00124D4D"/>
    <w:rsid w:val="001258D5"/>
    <w:rsid w:val="00140615"/>
    <w:rsid w:val="0015074B"/>
    <w:rsid w:val="00173A38"/>
    <w:rsid w:val="001C6BF7"/>
    <w:rsid w:val="00212CF3"/>
    <w:rsid w:val="00282976"/>
    <w:rsid w:val="0029639D"/>
    <w:rsid w:val="002E7405"/>
    <w:rsid w:val="00326F90"/>
    <w:rsid w:val="00376B40"/>
    <w:rsid w:val="003E00A3"/>
    <w:rsid w:val="00427431"/>
    <w:rsid w:val="00474D1E"/>
    <w:rsid w:val="004A24F1"/>
    <w:rsid w:val="004AE769"/>
    <w:rsid w:val="004D2539"/>
    <w:rsid w:val="00527B5B"/>
    <w:rsid w:val="005367AA"/>
    <w:rsid w:val="005368CD"/>
    <w:rsid w:val="00555AA0"/>
    <w:rsid w:val="00586744"/>
    <w:rsid w:val="005A109C"/>
    <w:rsid w:val="005E1723"/>
    <w:rsid w:val="00604B55"/>
    <w:rsid w:val="00663C4F"/>
    <w:rsid w:val="00692326"/>
    <w:rsid w:val="0069739A"/>
    <w:rsid w:val="006E752A"/>
    <w:rsid w:val="00745437"/>
    <w:rsid w:val="00750508"/>
    <w:rsid w:val="00765642"/>
    <w:rsid w:val="007773E2"/>
    <w:rsid w:val="007B42E4"/>
    <w:rsid w:val="007D7901"/>
    <w:rsid w:val="00820152"/>
    <w:rsid w:val="009A067D"/>
    <w:rsid w:val="00A23ACF"/>
    <w:rsid w:val="00A27574"/>
    <w:rsid w:val="00AA1D8D"/>
    <w:rsid w:val="00AB47B1"/>
    <w:rsid w:val="00AC7582"/>
    <w:rsid w:val="00B35C98"/>
    <w:rsid w:val="00B47730"/>
    <w:rsid w:val="00B66B2F"/>
    <w:rsid w:val="00BB65B6"/>
    <w:rsid w:val="00BB7E92"/>
    <w:rsid w:val="00BC284D"/>
    <w:rsid w:val="00BF662C"/>
    <w:rsid w:val="00C73A23"/>
    <w:rsid w:val="00CA14D5"/>
    <w:rsid w:val="00CB0664"/>
    <w:rsid w:val="00CC25DA"/>
    <w:rsid w:val="00CC4B11"/>
    <w:rsid w:val="00CD297F"/>
    <w:rsid w:val="00CF134F"/>
    <w:rsid w:val="00D46A94"/>
    <w:rsid w:val="00D578DF"/>
    <w:rsid w:val="00D7116D"/>
    <w:rsid w:val="00D937A3"/>
    <w:rsid w:val="00D94E57"/>
    <w:rsid w:val="00D9780B"/>
    <w:rsid w:val="00DC7233"/>
    <w:rsid w:val="00EC0CC8"/>
    <w:rsid w:val="00EF69FA"/>
    <w:rsid w:val="00FC25ED"/>
    <w:rsid w:val="00FC693F"/>
    <w:rsid w:val="02222B84"/>
    <w:rsid w:val="024C95DE"/>
    <w:rsid w:val="048CA67D"/>
    <w:rsid w:val="053884C7"/>
    <w:rsid w:val="06470F06"/>
    <w:rsid w:val="06F8E501"/>
    <w:rsid w:val="07E74102"/>
    <w:rsid w:val="080C5C18"/>
    <w:rsid w:val="089E6DF0"/>
    <w:rsid w:val="08B88FBB"/>
    <w:rsid w:val="0AA67E0B"/>
    <w:rsid w:val="0AEFD27E"/>
    <w:rsid w:val="0B181DA7"/>
    <w:rsid w:val="0B4C588D"/>
    <w:rsid w:val="0BF11DCB"/>
    <w:rsid w:val="0C5D9AA0"/>
    <w:rsid w:val="0CD77307"/>
    <w:rsid w:val="0E404915"/>
    <w:rsid w:val="0EF53FC4"/>
    <w:rsid w:val="101BECB2"/>
    <w:rsid w:val="10844AEA"/>
    <w:rsid w:val="114541DF"/>
    <w:rsid w:val="11A65B82"/>
    <w:rsid w:val="11B69CE8"/>
    <w:rsid w:val="11D28412"/>
    <w:rsid w:val="11ECC5F6"/>
    <w:rsid w:val="124E78AD"/>
    <w:rsid w:val="125B8D1D"/>
    <w:rsid w:val="1356D49D"/>
    <w:rsid w:val="149D5D77"/>
    <w:rsid w:val="151D4AEE"/>
    <w:rsid w:val="158C2C70"/>
    <w:rsid w:val="16A33C06"/>
    <w:rsid w:val="18540101"/>
    <w:rsid w:val="18870038"/>
    <w:rsid w:val="18931DAA"/>
    <w:rsid w:val="18B00152"/>
    <w:rsid w:val="193C812B"/>
    <w:rsid w:val="1A28A15D"/>
    <w:rsid w:val="1ABFEFCB"/>
    <w:rsid w:val="1B07D48E"/>
    <w:rsid w:val="1B323816"/>
    <w:rsid w:val="1C2C839A"/>
    <w:rsid w:val="1DB509F4"/>
    <w:rsid w:val="1DCDC40A"/>
    <w:rsid w:val="1EDBA22D"/>
    <w:rsid w:val="1EF24211"/>
    <w:rsid w:val="1F0AF05D"/>
    <w:rsid w:val="205CBAF3"/>
    <w:rsid w:val="20A88E4B"/>
    <w:rsid w:val="20E2A6FC"/>
    <w:rsid w:val="21C21D6E"/>
    <w:rsid w:val="21EB75B9"/>
    <w:rsid w:val="22416213"/>
    <w:rsid w:val="23069672"/>
    <w:rsid w:val="2342E1B0"/>
    <w:rsid w:val="2449E83B"/>
    <w:rsid w:val="2512816C"/>
    <w:rsid w:val="25E9E1C0"/>
    <w:rsid w:val="267E64E8"/>
    <w:rsid w:val="26CD6891"/>
    <w:rsid w:val="27584AEF"/>
    <w:rsid w:val="2758CE25"/>
    <w:rsid w:val="2803AC53"/>
    <w:rsid w:val="281FF0FF"/>
    <w:rsid w:val="28400C50"/>
    <w:rsid w:val="286214B0"/>
    <w:rsid w:val="28DB0C77"/>
    <w:rsid w:val="29514F7B"/>
    <w:rsid w:val="2A04C87F"/>
    <w:rsid w:val="2A5B1C98"/>
    <w:rsid w:val="2B079F7C"/>
    <w:rsid w:val="2B2F1F36"/>
    <w:rsid w:val="2B9EFE83"/>
    <w:rsid w:val="2E13F80A"/>
    <w:rsid w:val="2E3C33C7"/>
    <w:rsid w:val="2F54B6F7"/>
    <w:rsid w:val="301E331D"/>
    <w:rsid w:val="30C1CBE3"/>
    <w:rsid w:val="31D8EA74"/>
    <w:rsid w:val="32B45525"/>
    <w:rsid w:val="32C18E0C"/>
    <w:rsid w:val="334967F7"/>
    <w:rsid w:val="33B5DECE"/>
    <w:rsid w:val="33E918A6"/>
    <w:rsid w:val="3461E68E"/>
    <w:rsid w:val="34BC9859"/>
    <w:rsid w:val="3568B89D"/>
    <w:rsid w:val="35A86EB3"/>
    <w:rsid w:val="35DAEFB8"/>
    <w:rsid w:val="35E6883E"/>
    <w:rsid w:val="3694E57E"/>
    <w:rsid w:val="36F1B058"/>
    <w:rsid w:val="372EEC41"/>
    <w:rsid w:val="37FD9DC4"/>
    <w:rsid w:val="38452D7E"/>
    <w:rsid w:val="38A85D6D"/>
    <w:rsid w:val="39062880"/>
    <w:rsid w:val="390D79F0"/>
    <w:rsid w:val="395B1A31"/>
    <w:rsid w:val="3ADE1562"/>
    <w:rsid w:val="3CFFF61D"/>
    <w:rsid w:val="3D592499"/>
    <w:rsid w:val="3E2ABFB7"/>
    <w:rsid w:val="3F4F6983"/>
    <w:rsid w:val="430A77E0"/>
    <w:rsid w:val="452A6463"/>
    <w:rsid w:val="45A5B17F"/>
    <w:rsid w:val="46276AF4"/>
    <w:rsid w:val="46B90293"/>
    <w:rsid w:val="46D8D935"/>
    <w:rsid w:val="47046DC0"/>
    <w:rsid w:val="477228D4"/>
    <w:rsid w:val="48D83E5E"/>
    <w:rsid w:val="4B8DB927"/>
    <w:rsid w:val="4E1A3CF1"/>
    <w:rsid w:val="4F6FCDEC"/>
    <w:rsid w:val="5086B5EF"/>
    <w:rsid w:val="50D06375"/>
    <w:rsid w:val="5109EDD0"/>
    <w:rsid w:val="5203A388"/>
    <w:rsid w:val="52967F07"/>
    <w:rsid w:val="52B7C44A"/>
    <w:rsid w:val="52CD944D"/>
    <w:rsid w:val="543A2922"/>
    <w:rsid w:val="544CE685"/>
    <w:rsid w:val="54F03B01"/>
    <w:rsid w:val="5530FB28"/>
    <w:rsid w:val="5547E948"/>
    <w:rsid w:val="5569590D"/>
    <w:rsid w:val="55D8DD69"/>
    <w:rsid w:val="5699BF30"/>
    <w:rsid w:val="56D92F9F"/>
    <w:rsid w:val="5737D693"/>
    <w:rsid w:val="5769D388"/>
    <w:rsid w:val="57B54091"/>
    <w:rsid w:val="5A24B810"/>
    <w:rsid w:val="5ABF955B"/>
    <w:rsid w:val="5ACA6BEB"/>
    <w:rsid w:val="5B9E065A"/>
    <w:rsid w:val="5BC024D3"/>
    <w:rsid w:val="5C0BB574"/>
    <w:rsid w:val="5C9FE4EB"/>
    <w:rsid w:val="5D176DF8"/>
    <w:rsid w:val="5D803FF1"/>
    <w:rsid w:val="5EF75F3A"/>
    <w:rsid w:val="5FE4E444"/>
    <w:rsid w:val="60103E2C"/>
    <w:rsid w:val="6080AADE"/>
    <w:rsid w:val="60B8629D"/>
    <w:rsid w:val="60FCB5FF"/>
    <w:rsid w:val="619831BB"/>
    <w:rsid w:val="61DE63EA"/>
    <w:rsid w:val="61F8AE6E"/>
    <w:rsid w:val="620F8105"/>
    <w:rsid w:val="6238BCFB"/>
    <w:rsid w:val="63A8366C"/>
    <w:rsid w:val="644EFE9D"/>
    <w:rsid w:val="646BFE14"/>
    <w:rsid w:val="661DD392"/>
    <w:rsid w:val="6792E377"/>
    <w:rsid w:val="67EEA2A3"/>
    <w:rsid w:val="6807D128"/>
    <w:rsid w:val="6883EAE4"/>
    <w:rsid w:val="68EAC1D9"/>
    <w:rsid w:val="692725FE"/>
    <w:rsid w:val="69B69703"/>
    <w:rsid w:val="6A1C7AA5"/>
    <w:rsid w:val="6A60D482"/>
    <w:rsid w:val="6A83EADD"/>
    <w:rsid w:val="6A9D3DD0"/>
    <w:rsid w:val="6ACF625A"/>
    <w:rsid w:val="6C2DC460"/>
    <w:rsid w:val="6CA42DAF"/>
    <w:rsid w:val="6EFEDD74"/>
    <w:rsid w:val="6F21E1D7"/>
    <w:rsid w:val="6F95E138"/>
    <w:rsid w:val="6FE76640"/>
    <w:rsid w:val="702087BD"/>
    <w:rsid w:val="70251372"/>
    <w:rsid w:val="705CCADA"/>
    <w:rsid w:val="7085845F"/>
    <w:rsid w:val="71CE12F1"/>
    <w:rsid w:val="727FEC87"/>
    <w:rsid w:val="73D417F7"/>
    <w:rsid w:val="76F5C706"/>
    <w:rsid w:val="778E4047"/>
    <w:rsid w:val="77F15D98"/>
    <w:rsid w:val="7813013E"/>
    <w:rsid w:val="78B733B8"/>
    <w:rsid w:val="78B83C2D"/>
    <w:rsid w:val="79D64776"/>
    <w:rsid w:val="7BB8C9B8"/>
    <w:rsid w:val="7C149278"/>
    <w:rsid w:val="7CB02E39"/>
    <w:rsid w:val="7E19B083"/>
    <w:rsid w:val="7FF746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9CD2D9"/>
  <w14:defaultImageDpi w14:val="300"/>
  <w15:docId w15:val="{EF18CDA6-1728-4BF4-955F-CD4B174B1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23ACF"/>
    <w:rPr>
      <w:color w:val="0000FF" w:themeColor="hyperlink"/>
      <w:u w:val="single"/>
    </w:rPr>
  </w:style>
  <w:style w:type="character" w:styleId="UnresolvedMention">
    <w:name w:val="Unresolved Mention"/>
    <w:basedOn w:val="DefaultParagraphFont"/>
    <w:uiPriority w:val="99"/>
    <w:semiHidden/>
    <w:unhideWhenUsed/>
    <w:rsid w:val="00CD2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50</Pages>
  <Words>10637</Words>
  <Characters>60636</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Shalaka R</cp:lastModifiedBy>
  <cp:revision>6</cp:revision>
  <dcterms:created xsi:type="dcterms:W3CDTF">2026-04-07T05:38:00Z</dcterms:created>
  <dcterms:modified xsi:type="dcterms:W3CDTF">2026-08-27T05:00:00Z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ba76ad51-6783-4bab-8b82-eebaeff99f60</vt:lpwstr>
  </property>
</Properties>
</file>