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769" w:rsidRPr="007A2769" w:rsidRDefault="007A2769" w:rsidP="007A2769">
      <w:pPr>
        <w:autoSpaceDE w:val="0"/>
        <w:autoSpaceDN w:val="0"/>
        <w:spacing w:line="480" w:lineRule="auto"/>
        <w:rPr>
          <w:rFonts w:ascii="Times New Roman" w:eastAsia="新細明體" w:hAnsi="Times New Roman" w:cs="Times New Roman"/>
          <w:i/>
          <w:noProof/>
          <w:kern w:val="0"/>
          <w:szCs w:val="24"/>
          <w:lang w:eastAsia="ko-KR"/>
        </w:rPr>
      </w:pPr>
      <w:r w:rsidRPr="007A2769">
        <w:rPr>
          <w:rFonts w:ascii="Times New Roman" w:eastAsia="新細明體" w:hAnsi="Times New Roman" w:cs="Times New Roman"/>
          <w:b/>
          <w:noProof/>
          <w:kern w:val="0"/>
          <w:szCs w:val="24"/>
          <w:lang w:eastAsia="ko-KR"/>
        </w:rPr>
        <w:t>Additional File</w:t>
      </w:r>
    </w:p>
    <w:p w:rsidR="007A2769" w:rsidRPr="007A2769" w:rsidRDefault="007A2769" w:rsidP="007A2769">
      <w:pPr>
        <w:autoSpaceDE w:val="0"/>
        <w:autoSpaceDN w:val="0"/>
        <w:spacing w:line="480" w:lineRule="auto"/>
        <w:jc w:val="center"/>
        <w:rPr>
          <w:rFonts w:ascii="Times New Roman" w:eastAsia="Malgun Gothic" w:hAnsi="Times New Roman" w:cs="Times New Roman"/>
          <w:b/>
          <w:noProof/>
          <w:kern w:val="0"/>
          <w:szCs w:val="24"/>
          <w:lang w:eastAsia="ko-KR"/>
        </w:rPr>
      </w:pPr>
      <w:r w:rsidRPr="007A2769">
        <w:rPr>
          <w:rFonts w:ascii="Times New Roman" w:eastAsia="新細明體" w:hAnsi="Times New Roman" w:cs="Times New Roman"/>
          <w:b/>
          <w:noProof/>
          <w:kern w:val="0"/>
          <w:szCs w:val="24"/>
        </w:rPr>
        <w:drawing>
          <wp:inline distT="0" distB="0" distL="0" distR="0" wp14:anchorId="51EEE7D2" wp14:editId="55403CC1">
            <wp:extent cx="3470400" cy="2286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0400" cy="2286000"/>
                    </a:xfrm>
                    <a:prstGeom prst="rect">
                      <a:avLst/>
                    </a:prstGeom>
                    <a:noFill/>
                  </pic:spPr>
                </pic:pic>
              </a:graphicData>
            </a:graphic>
          </wp:inline>
        </w:drawing>
      </w:r>
    </w:p>
    <w:p w:rsidR="007A2769" w:rsidRPr="007A2769" w:rsidRDefault="007A2769" w:rsidP="007A2769">
      <w:pPr>
        <w:widowControl/>
        <w:suppressAutoHyphens/>
        <w:spacing w:line="480" w:lineRule="auto"/>
        <w:jc w:val="both"/>
        <w:rPr>
          <w:rFonts w:ascii="Times New Roman" w:eastAsia="Batang" w:hAnsi="Times New Roman" w:cs="Times New Roman"/>
          <w:kern w:val="0"/>
          <w:szCs w:val="24"/>
          <w:lang w:eastAsia="ko-KR"/>
        </w:rPr>
      </w:pPr>
      <w:r w:rsidRPr="007A2769">
        <w:rPr>
          <w:rFonts w:ascii="Times New Roman" w:eastAsia="Batang" w:hAnsi="Times New Roman" w:cs="Times New Roman"/>
          <w:b/>
          <w:kern w:val="0"/>
          <w:szCs w:val="24"/>
          <w:lang w:eastAsia="ko-KR"/>
        </w:rPr>
        <w:t>Figure S1.</w:t>
      </w:r>
      <w:r w:rsidRPr="007A2769">
        <w:rPr>
          <w:rFonts w:ascii="Times New Roman" w:eastAsia="Batang" w:hAnsi="Times New Roman" w:cs="Times New Roman"/>
          <w:kern w:val="0"/>
          <w:szCs w:val="24"/>
          <w:lang w:eastAsia="ko-KR"/>
        </w:rPr>
        <w:t xml:space="preserve"> Evolution analysis of PB1-216 in influenza A/H3N2 shows serine-to-glycine point mutation at PB1-216 </w:t>
      </w:r>
      <w:r w:rsidRPr="007A2769">
        <w:rPr>
          <w:rFonts w:ascii="Times New Roman" w:eastAsia="Batang" w:hAnsi="Times New Roman" w:cs="Times New Roman" w:hint="eastAsia"/>
          <w:kern w:val="0"/>
          <w:szCs w:val="24"/>
          <w:lang w:eastAsia="ko-KR"/>
        </w:rPr>
        <w:t xml:space="preserve">occurred </w:t>
      </w:r>
      <w:r w:rsidRPr="007A2769">
        <w:rPr>
          <w:rFonts w:ascii="Times New Roman" w:eastAsia="Batang" w:hAnsi="Times New Roman" w:cs="Times New Roman"/>
          <w:kern w:val="0"/>
          <w:szCs w:val="24"/>
          <w:lang w:eastAsia="ko-KR"/>
        </w:rPr>
        <w:t xml:space="preserve">in 1993. Residue substitution at PB1-216 of A/H3N2 was analyzed using data from the Influenza Virus Database (GenBank) that were deposited prior to August 31, 2016. Blue and red lines represent the proportion of serine and glycine residues at PB1-216, respectively. Purple bars represent number of full-length PB1 sequences submitted </w:t>
      </w:r>
      <w:r w:rsidRPr="007A2769">
        <w:rPr>
          <w:rFonts w:ascii="Times New Roman" w:eastAsia="Batang" w:hAnsi="Times New Roman" w:cs="Times New Roman" w:hint="eastAsia"/>
          <w:kern w:val="0"/>
          <w:szCs w:val="24"/>
          <w:lang w:eastAsia="ko-KR"/>
        </w:rPr>
        <w:t xml:space="preserve">to the Database </w:t>
      </w:r>
      <w:r w:rsidRPr="007A2769">
        <w:rPr>
          <w:rFonts w:ascii="Times New Roman" w:eastAsia="Batang" w:hAnsi="Times New Roman" w:cs="Times New Roman"/>
          <w:kern w:val="0"/>
          <w:szCs w:val="24"/>
          <w:lang w:eastAsia="ko-KR"/>
        </w:rPr>
        <w:t>in the year indicated.</w:t>
      </w: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p>
    <w:p w:rsidR="007A2769" w:rsidRPr="007A2769" w:rsidRDefault="007A2769" w:rsidP="007A2769">
      <w:pPr>
        <w:autoSpaceDE w:val="0"/>
        <w:autoSpaceDN w:val="0"/>
        <w:spacing w:line="480" w:lineRule="auto"/>
        <w:jc w:val="center"/>
        <w:rPr>
          <w:rFonts w:ascii="Times New Roman" w:eastAsia="Batang" w:hAnsi="Times New Roman" w:cs="Times New Roman"/>
          <w:noProof/>
          <w:kern w:val="0"/>
          <w:szCs w:val="24"/>
          <w:lang w:eastAsia="ko-KR"/>
        </w:rPr>
      </w:pPr>
      <w:r w:rsidRPr="007A2769">
        <w:rPr>
          <w:rFonts w:ascii="Times New Roman" w:eastAsia="Batang" w:hAnsi="Times New Roman" w:cs="Times New Roman"/>
          <w:noProof/>
          <w:kern w:val="0"/>
          <w:szCs w:val="24"/>
        </w:rPr>
        <w:lastRenderedPageBreak/>
        <w:drawing>
          <wp:inline distT="0" distB="0" distL="0" distR="0" wp14:anchorId="1C678D4F" wp14:editId="4BA4D755">
            <wp:extent cx="4935600" cy="38376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5600" cy="3837600"/>
                    </a:xfrm>
                    <a:prstGeom prst="rect">
                      <a:avLst/>
                    </a:prstGeom>
                    <a:noFill/>
                  </pic:spPr>
                </pic:pic>
              </a:graphicData>
            </a:graphic>
          </wp:inline>
        </w:drawing>
      </w: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r w:rsidRPr="007A2769">
        <w:rPr>
          <w:rFonts w:ascii="Times New Roman" w:eastAsia="Batang" w:hAnsi="Times New Roman" w:cs="Times New Roman"/>
          <w:b/>
          <w:noProof/>
          <w:kern w:val="0"/>
          <w:szCs w:val="24"/>
          <w:lang w:eastAsia="ko-KR"/>
        </w:rPr>
        <w:t>Figure S2.</w:t>
      </w:r>
      <w:r w:rsidRPr="007A2769">
        <w:rPr>
          <w:rFonts w:ascii="Times New Roman" w:eastAsia="Batang" w:hAnsi="Times New Roman" w:cs="Times New Roman"/>
          <w:noProof/>
          <w:kern w:val="0"/>
          <w:szCs w:val="24"/>
          <w:lang w:eastAsia="ko-KR"/>
        </w:rPr>
        <w:t xml:space="preserve"> Schematic Diagram of influenza artificial genome containing dual-luciferase RT2AF for measuring RdRp fidelity during influenza virus replication. In the influenza virus-infected and RT2AF-transfected HEK cells, </w:t>
      </w:r>
      <w:r w:rsidRPr="007A2769">
        <w:rPr>
          <w:rFonts w:ascii="Times New Roman" w:eastAsia="Batang" w:hAnsi="Times New Roman" w:cs="Times New Roman"/>
          <w:i/>
          <w:noProof/>
          <w:kern w:val="0"/>
          <w:szCs w:val="24"/>
          <w:lang w:eastAsia="ko-KR"/>
        </w:rPr>
        <w:t>PolI</w:t>
      </w:r>
      <w:r w:rsidRPr="007A2769">
        <w:rPr>
          <w:rFonts w:ascii="Times New Roman" w:eastAsia="Batang" w:hAnsi="Times New Roman" w:cs="Times New Roman"/>
          <w:noProof/>
          <w:kern w:val="0"/>
          <w:szCs w:val="24"/>
          <w:lang w:eastAsia="ko-KR"/>
        </w:rPr>
        <w:t xml:space="preserve"> starts to transcribe RT2AF as negative-strand viral RNA, which initiates self-replication of RT2AF reporter. The purpose of this reporter is to not only normalize total replication capability with the first Rluc activities but also evaluate the mutational potential that result in </w:t>
      </w:r>
      <w:r w:rsidRPr="007A2769">
        <w:rPr>
          <w:rFonts w:ascii="Times New Roman" w:eastAsia="Batang" w:hAnsi="Times New Roman" w:cs="新細明體" w:hint="eastAsia"/>
          <w:noProof/>
          <w:kern w:val="0"/>
          <w:szCs w:val="24"/>
          <w:lang w:eastAsia="ko-KR"/>
        </w:rPr>
        <w:t>expression of</w:t>
      </w:r>
      <w:r w:rsidRPr="007A2769">
        <w:rPr>
          <w:rFonts w:ascii="Times New Roman" w:eastAsia="Batang" w:hAnsi="Times New Roman" w:cs="Times New Roman" w:hint="eastAsia"/>
          <w:noProof/>
          <w:kern w:val="0"/>
          <w:szCs w:val="24"/>
          <w:lang w:eastAsia="ko-KR"/>
        </w:rPr>
        <w:t xml:space="preserve"> the</w:t>
      </w:r>
      <w:r w:rsidRPr="007A2769">
        <w:rPr>
          <w:rFonts w:ascii="Times New Roman" w:eastAsia="Batang" w:hAnsi="Times New Roman" w:cs="新細明體" w:hint="eastAsia"/>
          <w:noProof/>
          <w:kern w:val="0"/>
          <w:szCs w:val="24"/>
          <w:lang w:eastAsia="ko-KR"/>
        </w:rPr>
        <w:t xml:space="preserve"> </w:t>
      </w:r>
      <w:r w:rsidRPr="007A2769">
        <w:rPr>
          <w:rFonts w:ascii="Times New Roman" w:eastAsia="Batang" w:hAnsi="Times New Roman" w:cs="Times New Roman"/>
          <w:noProof/>
          <w:kern w:val="0"/>
          <w:szCs w:val="24"/>
          <w:lang w:eastAsia="ko-KR"/>
        </w:rPr>
        <w:t xml:space="preserve">downstream Fluc activities. The Rluc activity reflects influenza replication levels. The Fluc activity measures the events in which RdRp repaired the engineered stop codon between the Rluc and Fluc reporters. The replication-driven Fluc activity </w:t>
      </w:r>
      <w:r w:rsidRPr="007A2769">
        <w:rPr>
          <w:rFonts w:ascii="Times New Roman" w:eastAsia="Batang" w:hAnsi="Times New Roman" w:cs="Times New Roman" w:hint="eastAsia"/>
          <w:noProof/>
          <w:kern w:val="0"/>
          <w:szCs w:val="24"/>
          <w:lang w:eastAsia="ko-KR"/>
        </w:rPr>
        <w:t xml:space="preserve">thus </w:t>
      </w:r>
      <w:r w:rsidRPr="007A2769">
        <w:rPr>
          <w:rFonts w:ascii="Times New Roman" w:eastAsia="Batang" w:hAnsi="Times New Roman" w:cs="Times New Roman"/>
          <w:noProof/>
          <w:kern w:val="0"/>
          <w:szCs w:val="24"/>
          <w:lang w:eastAsia="ko-KR"/>
        </w:rPr>
        <w:t xml:space="preserve">represents the mutation potential of the virus. We calculated CMI based on the ratio of Fluc/Rluc </w:t>
      </w:r>
      <w:r w:rsidRPr="007A2769">
        <w:rPr>
          <w:rFonts w:ascii="Times New Roman" w:eastAsia="Batang" w:hAnsi="Times New Roman" w:cs="Times New Roman" w:hint="eastAsia"/>
          <w:noProof/>
          <w:kern w:val="0"/>
          <w:szCs w:val="24"/>
          <w:lang w:eastAsia="ko-KR"/>
        </w:rPr>
        <w:t>that serves</w:t>
      </w:r>
      <w:r w:rsidRPr="007A2769">
        <w:rPr>
          <w:rFonts w:ascii="Times New Roman" w:eastAsia="Batang" w:hAnsi="Times New Roman" w:cs="Times New Roman"/>
          <w:noProof/>
          <w:kern w:val="0"/>
          <w:szCs w:val="24"/>
          <w:lang w:eastAsia="ko-KR"/>
        </w:rPr>
        <w:t xml:space="preserve"> </w:t>
      </w:r>
      <w:r w:rsidRPr="007A2769">
        <w:rPr>
          <w:rFonts w:ascii="Times New Roman" w:eastAsia="Batang" w:hAnsi="Times New Roman" w:cs="Times New Roman" w:hint="eastAsia"/>
          <w:noProof/>
          <w:kern w:val="0"/>
          <w:szCs w:val="24"/>
          <w:lang w:eastAsia="ko-KR"/>
        </w:rPr>
        <w:t xml:space="preserve">as </w:t>
      </w:r>
      <w:r w:rsidRPr="007A2769">
        <w:rPr>
          <w:rFonts w:ascii="Times New Roman" w:eastAsia="Batang" w:hAnsi="Times New Roman" w:cs="Times New Roman"/>
          <w:noProof/>
          <w:kern w:val="0"/>
          <w:szCs w:val="24"/>
          <w:lang w:eastAsia="ko-KR"/>
        </w:rPr>
        <w:t>an arbitrary measure of the number of mutation events occurr</w:t>
      </w:r>
      <w:r w:rsidRPr="007A2769">
        <w:rPr>
          <w:rFonts w:ascii="Times New Roman" w:eastAsia="Batang" w:hAnsi="Times New Roman" w:cs="Times New Roman" w:hint="eastAsia"/>
          <w:noProof/>
          <w:kern w:val="0"/>
          <w:szCs w:val="24"/>
          <w:lang w:eastAsia="ko-KR"/>
        </w:rPr>
        <w:t>ing</w:t>
      </w:r>
      <w:r w:rsidRPr="007A2769">
        <w:rPr>
          <w:rFonts w:ascii="Times New Roman" w:eastAsia="Batang" w:hAnsi="Times New Roman" w:cs="Times New Roman"/>
          <w:noProof/>
          <w:kern w:val="0"/>
          <w:szCs w:val="24"/>
          <w:lang w:eastAsia="ko-KR"/>
        </w:rPr>
        <w:t xml:space="preserve"> during virus replication and/or viral transcription.</w:t>
      </w:r>
    </w:p>
    <w:p w:rsidR="007A2769" w:rsidRPr="007A2769" w:rsidRDefault="007A2769" w:rsidP="007A2769">
      <w:pPr>
        <w:autoSpaceDE w:val="0"/>
        <w:autoSpaceDN w:val="0"/>
        <w:spacing w:line="480" w:lineRule="auto"/>
        <w:jc w:val="both"/>
        <w:rPr>
          <w:rFonts w:ascii="Times New Roman" w:eastAsia="Malgun Gothic" w:hAnsi="Times New Roman" w:cs="Times New Roman"/>
          <w:b/>
          <w:noProof/>
          <w:kern w:val="0"/>
          <w:szCs w:val="24"/>
          <w:lang w:eastAsia="ko-KR"/>
        </w:rPr>
      </w:pPr>
    </w:p>
    <w:p w:rsidR="007A2769" w:rsidRPr="007A2769" w:rsidRDefault="007A2769" w:rsidP="007A2769">
      <w:pPr>
        <w:autoSpaceDE w:val="0"/>
        <w:autoSpaceDN w:val="0"/>
        <w:spacing w:line="480" w:lineRule="auto"/>
        <w:jc w:val="both"/>
        <w:rPr>
          <w:rFonts w:ascii="Times New Roman" w:eastAsia="Malgun Gothic" w:hAnsi="Times New Roman" w:cs="Times New Roman"/>
          <w:b/>
          <w:noProof/>
          <w:kern w:val="0"/>
          <w:szCs w:val="24"/>
          <w:lang w:eastAsia="ko-KR"/>
        </w:rPr>
      </w:pPr>
    </w:p>
    <w:p w:rsidR="007A2769" w:rsidRPr="007A2769" w:rsidRDefault="007A2769" w:rsidP="007A2769">
      <w:pPr>
        <w:autoSpaceDE w:val="0"/>
        <w:autoSpaceDN w:val="0"/>
        <w:spacing w:line="480" w:lineRule="auto"/>
        <w:jc w:val="both"/>
        <w:rPr>
          <w:rFonts w:ascii="Times New Roman" w:eastAsia="Malgun Gothic" w:hAnsi="Times New Roman" w:cs="Times New Roman"/>
          <w:b/>
          <w:noProof/>
          <w:kern w:val="0"/>
          <w:szCs w:val="24"/>
          <w:lang w:eastAsia="ko-KR"/>
        </w:rPr>
      </w:pPr>
    </w:p>
    <w:p w:rsidR="007A2769" w:rsidRPr="007A2769" w:rsidRDefault="007A2769" w:rsidP="007A2769">
      <w:pPr>
        <w:autoSpaceDE w:val="0"/>
        <w:autoSpaceDN w:val="0"/>
        <w:spacing w:line="480" w:lineRule="auto"/>
        <w:jc w:val="center"/>
        <w:rPr>
          <w:rFonts w:ascii="Times New Roman" w:eastAsia="Malgun Gothic" w:hAnsi="Times New Roman" w:cs="Times New Roman"/>
          <w:b/>
          <w:noProof/>
          <w:kern w:val="0"/>
          <w:szCs w:val="24"/>
          <w:lang w:eastAsia="ko-KR"/>
        </w:rPr>
      </w:pPr>
      <w:r w:rsidRPr="007A2769">
        <w:rPr>
          <w:rFonts w:ascii="Times New Roman" w:eastAsia="Malgun Gothic" w:hAnsi="Times New Roman" w:cs="Times New Roman"/>
          <w:b/>
          <w:noProof/>
          <w:kern w:val="0"/>
          <w:szCs w:val="24"/>
        </w:rPr>
        <w:drawing>
          <wp:inline distT="0" distB="0" distL="0" distR="0" wp14:anchorId="0DE5A43C" wp14:editId="3DDA48CB">
            <wp:extent cx="5018400" cy="18936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8400" cy="1893600"/>
                    </a:xfrm>
                    <a:prstGeom prst="rect">
                      <a:avLst/>
                    </a:prstGeom>
                    <a:noFill/>
                  </pic:spPr>
                </pic:pic>
              </a:graphicData>
            </a:graphic>
          </wp:inline>
        </w:drawing>
      </w: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r w:rsidRPr="007A2769">
        <w:rPr>
          <w:rFonts w:ascii="Times New Roman" w:eastAsia="Batang" w:hAnsi="Times New Roman" w:cs="Times New Roman"/>
          <w:b/>
          <w:noProof/>
          <w:kern w:val="0"/>
          <w:szCs w:val="24"/>
          <w:lang w:eastAsia="ko-KR"/>
        </w:rPr>
        <w:t>Figure S3.</w:t>
      </w:r>
      <w:r w:rsidRPr="007A2769">
        <w:rPr>
          <w:rFonts w:ascii="Times New Roman" w:eastAsia="Batang" w:hAnsi="Times New Roman" w:cs="Times New Roman"/>
          <w:noProof/>
          <w:kern w:val="0"/>
          <w:szCs w:val="24"/>
          <w:lang w:eastAsia="ko-KR"/>
        </w:rPr>
        <w:t xml:space="preserve"> Epidemiological survey of residue substitution at PB1-43 and PB1-216 of influenza A viruses. Residues at PB1-43 of A/H5N1, H3N2 and H1N1 viruses and residues at PB1-216 of A/H1N1 viruses were examined using data </w:t>
      </w:r>
      <w:r w:rsidRPr="007A2769">
        <w:rPr>
          <w:rFonts w:ascii="Times New Roman" w:eastAsia="Batang" w:hAnsi="Times New Roman" w:cs="Times New Roman" w:hint="eastAsia"/>
          <w:noProof/>
          <w:kern w:val="0"/>
          <w:szCs w:val="24"/>
          <w:lang w:eastAsia="ko-KR"/>
        </w:rPr>
        <w:t xml:space="preserve">derived </w:t>
      </w:r>
      <w:r w:rsidRPr="007A2769">
        <w:rPr>
          <w:rFonts w:ascii="Times New Roman" w:eastAsia="Batang" w:hAnsi="Times New Roman" w:cs="Times New Roman"/>
          <w:noProof/>
          <w:kern w:val="0"/>
          <w:szCs w:val="24"/>
          <w:lang w:eastAsia="ko-KR"/>
        </w:rPr>
        <w:t>from the Influenza Virus Database (GenBank) deposited prior to October 31, 2017.</w:t>
      </w: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r w:rsidRPr="007A2769">
        <w:rPr>
          <w:rFonts w:ascii="Times New Roman" w:eastAsia="Batang" w:hAnsi="Times New Roman" w:cs="Times New Roman"/>
          <w:noProof/>
          <w:kern w:val="0"/>
          <w:szCs w:val="24"/>
        </w:rPr>
        <w:lastRenderedPageBreak/>
        <w:drawing>
          <wp:inline distT="0" distB="0" distL="0" distR="0" wp14:anchorId="7A277A05" wp14:editId="57810FB2">
            <wp:extent cx="5645150" cy="593217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150" cy="5932170"/>
                    </a:xfrm>
                    <a:prstGeom prst="rect">
                      <a:avLst/>
                    </a:prstGeom>
                    <a:noFill/>
                  </pic:spPr>
                </pic:pic>
              </a:graphicData>
            </a:graphic>
          </wp:inline>
        </w:drawing>
      </w:r>
    </w:p>
    <w:p w:rsidR="007A2769" w:rsidRPr="007A2769" w:rsidRDefault="007A2769" w:rsidP="007A2769">
      <w:pPr>
        <w:widowControl/>
        <w:spacing w:line="480" w:lineRule="auto"/>
        <w:jc w:val="both"/>
        <w:rPr>
          <w:rFonts w:ascii="新細明體" w:eastAsia="新細明體" w:hAnsi="新細明體" w:cs="新細明體"/>
          <w:color w:val="FF0000"/>
          <w:kern w:val="0"/>
          <w:szCs w:val="24"/>
        </w:rPr>
      </w:pPr>
      <w:r w:rsidRPr="007A2769">
        <w:rPr>
          <w:rFonts w:ascii="Times New Roman" w:eastAsia="Times New Roman" w:hAnsi="Times New Roman" w:cs="Times New Roman"/>
          <w:b/>
          <w:bCs/>
          <w:color w:val="000000" w:themeColor="text1"/>
          <w:kern w:val="24"/>
          <w:szCs w:val="24"/>
        </w:rPr>
        <w:t xml:space="preserve">Figure S4 </w:t>
      </w:r>
      <w:r w:rsidRPr="007A2769">
        <w:rPr>
          <w:rFonts w:ascii="Times New Roman" w:eastAsia="Times New Roman" w:hAnsi="Times New Roman" w:cs="Times New Roman"/>
          <w:color w:val="000000" w:themeColor="text1"/>
          <w:kern w:val="24"/>
          <w:szCs w:val="24"/>
        </w:rPr>
        <w:t>Effects of the PB1-S216G mutation on influenza A/H1N1 virus replication capability and adaptability in cells treated with oseltamivir. (</w:t>
      </w:r>
      <w:r w:rsidRPr="007A2769">
        <w:rPr>
          <w:rFonts w:ascii="Times New Roman" w:eastAsia="Times New Roman" w:hAnsi="Times New Roman" w:cs="Times New Roman"/>
          <w:b/>
          <w:bCs/>
          <w:color w:val="000000" w:themeColor="text1"/>
          <w:kern w:val="24"/>
          <w:sz w:val="28"/>
          <w:szCs w:val="28"/>
        </w:rPr>
        <w:t>a</w:t>
      </w:r>
      <w:r w:rsidRPr="007A2769">
        <w:rPr>
          <w:rFonts w:ascii="Times New Roman" w:eastAsia="Times New Roman" w:hAnsi="Times New Roman" w:cs="Times New Roman"/>
          <w:color w:val="000000" w:themeColor="text1"/>
          <w:kern w:val="24"/>
          <w:sz w:val="28"/>
          <w:szCs w:val="28"/>
        </w:rPr>
        <w:t>)</w:t>
      </w:r>
      <w:r w:rsidRPr="007A2769">
        <w:rPr>
          <w:rFonts w:ascii="Times New Roman" w:eastAsia="Times New Roman" w:hAnsi="Times New Roman" w:cs="Times New Roman"/>
          <w:color w:val="000000" w:themeColor="text1"/>
          <w:kern w:val="24"/>
          <w:szCs w:val="24"/>
        </w:rPr>
        <w:t xml:space="preserve"> Cell-based oseltamivir selection scheme. Oseltamivir concentrations were increased 5-fold per passage, from 1 nM at passage 1 to 625 nM, </w:t>
      </w:r>
      <w:r w:rsidRPr="007A2769">
        <w:rPr>
          <w:rFonts w:ascii="Times New Roman" w:eastAsia="Batang" w:hAnsi="Times New Roman" w:cs="Times New Roman"/>
          <w:color w:val="000000" w:themeColor="text1"/>
          <w:kern w:val="0"/>
          <w:szCs w:val="24"/>
          <w:lang w:eastAsia="ko-KR"/>
        </w:rPr>
        <w:t>approximately 0.25- (4.2nM) to 148-fold IC50,</w:t>
      </w:r>
      <w:r w:rsidRPr="007A2769">
        <w:rPr>
          <w:rFonts w:ascii="Times New Roman" w:eastAsia="Times New Roman" w:hAnsi="Times New Roman" w:cs="Times New Roman"/>
          <w:color w:val="000000" w:themeColor="text1"/>
          <w:kern w:val="24"/>
          <w:szCs w:val="24"/>
        </w:rPr>
        <w:t xml:space="preserve"> at passage 5 and thereafter. (</w:t>
      </w:r>
      <w:r w:rsidRPr="007A2769">
        <w:rPr>
          <w:rFonts w:ascii="Times New Roman" w:eastAsia="Times New Roman" w:hAnsi="Times New Roman" w:cs="Times New Roman"/>
          <w:b/>
          <w:bCs/>
          <w:color w:val="000000" w:themeColor="text1"/>
          <w:kern w:val="24"/>
          <w:sz w:val="28"/>
          <w:szCs w:val="28"/>
        </w:rPr>
        <w:t>b</w:t>
      </w:r>
      <w:r w:rsidRPr="007A2769">
        <w:rPr>
          <w:rFonts w:ascii="Times New Roman" w:eastAsia="Times New Roman" w:hAnsi="Times New Roman" w:cs="Times New Roman"/>
          <w:color w:val="000000" w:themeColor="text1"/>
          <w:kern w:val="24"/>
          <w:sz w:val="28"/>
          <w:szCs w:val="28"/>
        </w:rPr>
        <w:t>)</w:t>
      </w:r>
      <w:r w:rsidRPr="007A2769">
        <w:rPr>
          <w:rFonts w:ascii="Times New Roman" w:eastAsia="Times New Roman" w:hAnsi="Times New Roman" w:cs="Times New Roman"/>
          <w:color w:val="000000" w:themeColor="text1"/>
          <w:kern w:val="24"/>
          <w:szCs w:val="24"/>
        </w:rPr>
        <w:t xml:space="preserve"> </w:t>
      </w:r>
      <w:r w:rsidRPr="007A2769">
        <w:rPr>
          <w:rFonts w:ascii="Times New Roman" w:eastAsia="Batang" w:hAnsi="Times New Roman" w:cs="Times New Roman" w:hint="eastAsia"/>
          <w:bCs/>
          <w:color w:val="000000" w:themeColor="text1"/>
          <w:kern w:val="0"/>
          <w:szCs w:val="24"/>
          <w:lang w:eastAsia="ko-KR"/>
        </w:rPr>
        <w:t>The representative data of two independent experiments with similar results was shown, in which m</w:t>
      </w:r>
      <w:r w:rsidRPr="007A2769">
        <w:rPr>
          <w:rFonts w:ascii="Times New Roman" w:eastAsia="Batang" w:hAnsi="Times New Roman" w:cs="Times New Roman"/>
          <w:bCs/>
          <w:color w:val="000000" w:themeColor="text1"/>
          <w:kern w:val="0"/>
          <w:szCs w:val="24"/>
          <w:lang w:eastAsia="ko-KR"/>
        </w:rPr>
        <w:t>utations in NA after passages in PR8</w:t>
      </w:r>
      <w:r w:rsidRPr="007A2769">
        <w:rPr>
          <w:rFonts w:ascii="Times New Roman" w:eastAsia="Batang" w:hAnsi="Times New Roman" w:cs="Times New Roman"/>
          <w:bCs/>
          <w:color w:val="000000" w:themeColor="text1"/>
          <w:kern w:val="0"/>
          <w:szCs w:val="24"/>
          <w:vertAlign w:val="superscript"/>
          <w:lang w:eastAsia="ko-KR"/>
        </w:rPr>
        <w:t>PB1(S216G)</w:t>
      </w:r>
      <w:r w:rsidRPr="007A2769">
        <w:rPr>
          <w:rFonts w:ascii="Times New Roman" w:eastAsia="Batang" w:hAnsi="Times New Roman" w:cs="Times New Roman"/>
          <w:bCs/>
          <w:color w:val="000000" w:themeColor="text1"/>
          <w:kern w:val="0"/>
          <w:szCs w:val="24"/>
          <w:lang w:eastAsia="ko-KR"/>
        </w:rPr>
        <w:t xml:space="preserve"> and PR8 were identified by direct Sanger </w:t>
      </w:r>
      <w:r w:rsidRPr="007A2769">
        <w:rPr>
          <w:rFonts w:ascii="Times New Roman" w:eastAsia="Batang" w:hAnsi="Times New Roman" w:cs="Times New Roman"/>
          <w:bCs/>
          <w:color w:val="000000" w:themeColor="text1"/>
          <w:kern w:val="0"/>
          <w:szCs w:val="24"/>
          <w:lang w:eastAsia="ko-KR"/>
        </w:rPr>
        <w:lastRenderedPageBreak/>
        <w:t>sequencing of viral cDNA. The NA</w:t>
      </w:r>
      <w:r w:rsidRPr="007A2769">
        <w:rPr>
          <w:rFonts w:ascii="Times New Roman" w:eastAsia="Batang" w:hAnsi="Times New Roman" w:cs="Times New Roman"/>
          <w:bCs/>
          <w:color w:val="000000" w:themeColor="text1"/>
          <w:kern w:val="0"/>
          <w:szCs w:val="24"/>
          <w:vertAlign w:val="superscript"/>
          <w:lang w:eastAsia="ko-KR"/>
        </w:rPr>
        <w:t>N294S</w:t>
      </w:r>
      <w:r w:rsidRPr="007A2769">
        <w:rPr>
          <w:rFonts w:ascii="Times New Roman" w:eastAsia="Batang" w:hAnsi="Times New Roman" w:cs="Times New Roman"/>
          <w:bCs/>
          <w:color w:val="000000" w:themeColor="text1"/>
          <w:kern w:val="0"/>
          <w:szCs w:val="24"/>
          <w:lang w:eastAsia="ko-KR"/>
        </w:rPr>
        <w:t xml:space="preserve"> and NA</w:t>
      </w:r>
      <w:r w:rsidRPr="007A2769">
        <w:rPr>
          <w:rFonts w:ascii="Times New Roman" w:eastAsia="Batang" w:hAnsi="Times New Roman" w:cs="Times New Roman"/>
          <w:bCs/>
          <w:color w:val="000000" w:themeColor="text1"/>
          <w:kern w:val="0"/>
          <w:szCs w:val="24"/>
          <w:vertAlign w:val="superscript"/>
          <w:lang w:eastAsia="ko-KR"/>
        </w:rPr>
        <w:t>H274Y</w:t>
      </w:r>
      <w:r w:rsidRPr="007A2769">
        <w:rPr>
          <w:rFonts w:ascii="Times New Roman" w:eastAsia="Batang" w:hAnsi="Times New Roman" w:cs="Times New Roman"/>
          <w:bCs/>
          <w:color w:val="000000" w:themeColor="text1"/>
          <w:kern w:val="0"/>
          <w:szCs w:val="24"/>
          <w:lang w:eastAsia="ko-KR"/>
        </w:rPr>
        <w:t xml:space="preserve"> mutation were first identified at passage 7 (P7) </w:t>
      </w:r>
      <w:r w:rsidRPr="007A2769">
        <w:rPr>
          <w:rFonts w:ascii="Times New Roman" w:eastAsia="Batang" w:hAnsi="Times New Roman" w:cs="Times New Roman" w:hint="eastAsia"/>
          <w:bCs/>
          <w:color w:val="000000" w:themeColor="text1"/>
          <w:kern w:val="0"/>
          <w:szCs w:val="24"/>
          <w:lang w:eastAsia="ko-KR"/>
        </w:rPr>
        <w:t xml:space="preserve">from </w:t>
      </w:r>
      <w:r w:rsidRPr="007A2769">
        <w:rPr>
          <w:rFonts w:ascii="Times New Roman" w:eastAsia="Batang" w:hAnsi="Times New Roman" w:cs="Times New Roman"/>
          <w:bCs/>
          <w:color w:val="000000" w:themeColor="text1"/>
          <w:kern w:val="0"/>
          <w:szCs w:val="24"/>
          <w:lang w:eastAsia="ko-KR"/>
        </w:rPr>
        <w:t>PR8</w:t>
      </w:r>
      <w:r w:rsidRPr="007A2769">
        <w:rPr>
          <w:rFonts w:ascii="Times New Roman" w:eastAsia="Batang" w:hAnsi="Times New Roman" w:cs="Times New Roman"/>
          <w:bCs/>
          <w:color w:val="000000" w:themeColor="text1"/>
          <w:kern w:val="0"/>
          <w:szCs w:val="24"/>
          <w:vertAlign w:val="superscript"/>
          <w:lang w:eastAsia="ko-KR"/>
        </w:rPr>
        <w:t>PB1(S216G)</w:t>
      </w:r>
      <w:r w:rsidRPr="007A2769">
        <w:rPr>
          <w:rFonts w:ascii="Times New Roman" w:eastAsia="Batang" w:hAnsi="Times New Roman" w:cs="Times New Roman"/>
          <w:bCs/>
          <w:color w:val="000000" w:themeColor="text1"/>
          <w:kern w:val="0"/>
          <w:szCs w:val="24"/>
          <w:lang w:eastAsia="ko-KR"/>
        </w:rPr>
        <w:t xml:space="preserve"> and passage 11 (P11)</w:t>
      </w:r>
      <w:r w:rsidRPr="007A2769">
        <w:rPr>
          <w:rFonts w:ascii="Times New Roman" w:eastAsia="Batang" w:hAnsi="Times New Roman" w:cs="Times New Roman" w:hint="eastAsia"/>
          <w:bCs/>
          <w:color w:val="000000" w:themeColor="text1"/>
          <w:kern w:val="0"/>
          <w:szCs w:val="24"/>
          <w:lang w:eastAsia="ko-KR"/>
        </w:rPr>
        <w:t xml:space="preserve"> from PR8</w:t>
      </w:r>
      <w:r w:rsidRPr="007A2769">
        <w:rPr>
          <w:rFonts w:ascii="Times New Roman" w:eastAsia="Batang" w:hAnsi="Times New Roman" w:cs="Times New Roman"/>
          <w:bCs/>
          <w:color w:val="000000" w:themeColor="text1"/>
          <w:kern w:val="0"/>
          <w:szCs w:val="24"/>
          <w:lang w:eastAsia="ko-KR"/>
        </w:rPr>
        <w:t>, respectively.</w:t>
      </w:r>
    </w:p>
    <w:p w:rsidR="007A2769" w:rsidRPr="007A2769" w:rsidRDefault="007A2769" w:rsidP="007A2769">
      <w:pPr>
        <w:autoSpaceDE w:val="0"/>
        <w:autoSpaceDN w:val="0"/>
        <w:spacing w:line="480" w:lineRule="auto"/>
        <w:jc w:val="both"/>
        <w:rPr>
          <w:rFonts w:ascii="Times New Roman" w:eastAsia="Batang" w:hAnsi="Times New Roman" w:cs="Times New Roman"/>
          <w:noProof/>
          <w:kern w:val="0"/>
          <w:szCs w:val="24"/>
          <w:lang w:eastAsia="ko-KR"/>
        </w:rPr>
      </w:pPr>
    </w:p>
    <w:p w:rsidR="007A2769" w:rsidRPr="007A2769" w:rsidRDefault="007A2769" w:rsidP="007A2769">
      <w:pPr>
        <w:autoSpaceDE w:val="0"/>
        <w:autoSpaceDN w:val="0"/>
        <w:spacing w:line="480" w:lineRule="auto"/>
        <w:jc w:val="both"/>
        <w:rPr>
          <w:rFonts w:ascii="Times New Roman" w:eastAsia="Malgun Gothic" w:hAnsi="Times New Roman" w:cs="Times New Roman"/>
          <w:noProof/>
          <w:color w:val="000000"/>
          <w:kern w:val="24"/>
          <w:szCs w:val="24"/>
          <w:lang w:eastAsia="ko-KR"/>
        </w:rPr>
      </w:pPr>
    </w:p>
    <w:p w:rsidR="007A2769" w:rsidRPr="007A2769" w:rsidRDefault="007A2769" w:rsidP="007A2769">
      <w:pPr>
        <w:widowControl/>
        <w:spacing w:line="480" w:lineRule="auto"/>
        <w:rPr>
          <w:rFonts w:ascii="Times New Roman" w:eastAsia="新細明體" w:hAnsi="Times New Roman" w:cs="新細明體"/>
          <w:color w:val="000000"/>
          <w:kern w:val="24"/>
          <w:szCs w:val="24"/>
        </w:rPr>
      </w:pPr>
      <w:r w:rsidRPr="007A2769">
        <w:rPr>
          <w:rFonts w:ascii="Times New Roman" w:eastAsia="Times New Roman" w:hAnsi="Times New Roman" w:cs="Times New Roman"/>
          <w:b/>
          <w:bCs/>
          <w:color w:val="000000"/>
          <w:kern w:val="24"/>
          <w:szCs w:val="24"/>
        </w:rPr>
        <w:t>Table S</w:t>
      </w:r>
      <w:r w:rsidRPr="007A2769">
        <w:rPr>
          <w:rFonts w:ascii="Times New Roman" w:eastAsia="新細明體" w:hAnsi="Times New Roman" w:cs="新細明體"/>
          <w:b/>
          <w:bCs/>
          <w:color w:val="000000"/>
          <w:kern w:val="24"/>
          <w:szCs w:val="24"/>
        </w:rPr>
        <w:t xml:space="preserve">1. </w:t>
      </w:r>
      <w:r w:rsidRPr="007A2769">
        <w:rPr>
          <w:rFonts w:ascii="Times New Roman" w:eastAsia="新細明體" w:hAnsi="Times New Roman" w:cs="新細明體"/>
          <w:color w:val="000000"/>
          <w:kern w:val="24"/>
          <w:szCs w:val="24"/>
        </w:rPr>
        <w:t>Epidemiological study on oseltamivir-resistant mutations in NA gene of human influenza A/H1N1 viruses using sequences deposited in NCBI influenza database.</w:t>
      </w:r>
    </w:p>
    <w:p w:rsidR="007A2769" w:rsidRPr="007A2769" w:rsidRDefault="007A2769" w:rsidP="007A2769">
      <w:pPr>
        <w:widowControl/>
        <w:spacing w:line="360" w:lineRule="exact"/>
        <w:rPr>
          <w:rFonts w:ascii="Times New Roman" w:eastAsia="新細明體" w:hAnsi="Times New Roman" w:cs="新細明體"/>
          <w:color w:val="000000"/>
          <w:kern w:val="24"/>
          <w:szCs w:val="24"/>
        </w:rPr>
      </w:pPr>
    </w:p>
    <w:p w:rsidR="007A2769" w:rsidRPr="007A2769" w:rsidRDefault="007A2769" w:rsidP="007A2769">
      <w:pPr>
        <w:autoSpaceDE w:val="0"/>
        <w:autoSpaceDN w:val="0"/>
        <w:spacing w:line="480" w:lineRule="auto"/>
        <w:jc w:val="center"/>
        <w:rPr>
          <w:rFonts w:ascii="Times New Roman" w:eastAsia="Malgun Gothic" w:hAnsi="Times New Roman" w:cs="Times New Roman"/>
          <w:b/>
          <w:noProof/>
          <w:kern w:val="0"/>
          <w:szCs w:val="24"/>
          <w:lang w:eastAsia="ko-KR"/>
        </w:rPr>
      </w:pPr>
      <w:r w:rsidRPr="007A2769">
        <w:rPr>
          <w:rFonts w:ascii="Times New Roman" w:eastAsia="Malgun Gothic" w:hAnsi="Times New Roman" w:cs="Times New Roman"/>
          <w:b/>
          <w:noProof/>
          <w:kern w:val="0"/>
          <w:szCs w:val="24"/>
        </w:rPr>
        <w:drawing>
          <wp:inline distT="0" distB="0" distL="0" distR="0" wp14:anchorId="0D43FF80" wp14:editId="04AD9131">
            <wp:extent cx="5994000" cy="1800000"/>
            <wp:effectExtent l="0" t="0" r="6985"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000" cy="1800000"/>
                    </a:xfrm>
                    <a:prstGeom prst="rect">
                      <a:avLst/>
                    </a:prstGeom>
                    <a:noFill/>
                  </pic:spPr>
                </pic:pic>
              </a:graphicData>
            </a:graphic>
          </wp:inline>
        </w:drawing>
      </w:r>
    </w:p>
    <w:p w:rsidR="007A2769" w:rsidRPr="007A2769" w:rsidRDefault="004550F3" w:rsidP="007A2769">
      <w:pPr>
        <w:widowControl/>
        <w:spacing w:line="480" w:lineRule="auto"/>
        <w:jc w:val="both"/>
        <w:rPr>
          <w:rFonts w:ascii="新細明體" w:eastAsia="新細明體" w:hAnsi="新細明體" w:cs="新細明體"/>
          <w:kern w:val="0"/>
          <w:szCs w:val="24"/>
        </w:rPr>
      </w:pPr>
      <w:bookmarkStart w:id="0" w:name="_GoBack"/>
      <w:bookmarkEnd w:id="0"/>
      <w:r>
        <w:rPr>
          <w:rFonts w:ascii="Times New Roman"/>
          <w:bCs/>
          <w:kern w:val="0"/>
        </w:rPr>
        <w:t xml:space="preserve">Complete full-length </w:t>
      </w:r>
      <w:r>
        <w:rPr>
          <w:rFonts w:ascii="Times New Roman"/>
          <w:bCs/>
          <w:i/>
          <w:iCs/>
          <w:kern w:val="0"/>
        </w:rPr>
        <w:t>NA</w:t>
      </w:r>
      <w:r>
        <w:rPr>
          <w:rFonts w:ascii="Times New Roman"/>
          <w:bCs/>
          <w:kern w:val="0"/>
        </w:rPr>
        <w:t xml:space="preserve"> sequences for PB1-216S viruses (blue) and PB1-216G viruses (red) were retrieved from the Influenza Virus Database (GenBank). The sequences were aligned and examined to identify NA point mutations conferring oseltamivir resistance and permissive secondary mutations in NA (V241I and N369K).</w:t>
      </w:r>
    </w:p>
    <w:p w:rsidR="00AF1977" w:rsidRDefault="00AF1977"/>
    <w:sectPr w:rsidR="00AF1977" w:rsidSect="00396FCC">
      <w:footerReference w:type="even" r:id="rId11"/>
      <w:footerReference w:type="default" r:id="rId12"/>
      <w:pgSz w:w="11907" w:h="16839" w:code="9"/>
      <w:pgMar w:top="1440" w:right="1440" w:bottom="1440" w:left="1440" w:header="720" w:footer="720" w:gutter="0"/>
      <w:lnNumType w:countBy="1" w:restart="continuou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8F3" w:rsidRDefault="00A038F3">
      <w:r>
        <w:separator/>
      </w:r>
    </w:p>
  </w:endnote>
  <w:endnote w:type="continuationSeparator" w:id="0">
    <w:p w:rsidR="00A038F3" w:rsidRDefault="00A03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D7B" w:rsidRDefault="007A2769">
    <w:pPr>
      <w:pStyle w:val="ParaAttribute2"/>
      <w:rPr>
        <w:rFonts w:eastAsia="SimSun"/>
      </w:rPr>
    </w:pPr>
    <w:r>
      <w:rPr>
        <w:noProof/>
      </w:rPr>
      <mc:AlternateContent>
        <mc:Choice Requires="wps">
          <w:drawing>
            <wp:anchor distT="0" distB="0" distL="114300" distR="114300" simplePos="0" relativeHeight="251659264" behindDoc="0" locked="0" layoutInCell="1" allowOverlap="1" wp14:anchorId="520F7E11" wp14:editId="37642725">
              <wp:simplePos x="0" y="0"/>
              <wp:positionH relativeFrom="column">
                <wp:posOffset>0</wp:posOffset>
              </wp:positionH>
              <wp:positionV relativeFrom="paragraph">
                <wp:posOffset>0</wp:posOffset>
              </wp:positionV>
              <wp:extent cx="635000" cy="635000"/>
              <wp:effectExtent l="0" t="0" r="0" b="0"/>
              <wp:wrapNone/>
              <wp:docPr id="11" name="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9C88D" id="_x0000_t202" coordsize="21600,21600" o:spt="202" path="m,l,21600r21600,l21600,xe">
              <v:stroke joinstyle="miter"/>
              <v:path gradientshapeok="t" o:connecttype="rect"/>
            </v:shapetype>
            <v:shape id="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">
              <v:path arrowok="t"/>
            </v:shape>
          </w:pict>
        </mc:Fallback>
      </mc:AlternateContent>
    </w:r>
    <w:r>
      <w:rPr>
        <w:noProof/>
      </w:rPr>
      <mc:AlternateContent>
        <mc:Choice Requires="wps">
          <w:drawing>
            <wp:anchor distT="0" distB="0" distL="114300" distR="114300" simplePos="0" relativeHeight="251660288" behindDoc="1" locked="0" layoutInCell="1" allowOverlap="1" wp14:anchorId="183E8F89" wp14:editId="33152D1F">
              <wp:simplePos x="0" y="0"/>
              <wp:positionH relativeFrom="margin">
                <wp:posOffset>5880100</wp:posOffset>
              </wp:positionH>
              <wp:positionV relativeFrom="paragraph">
                <wp:posOffset>0</wp:posOffset>
              </wp:positionV>
              <wp:extent cx="203200" cy="441960"/>
              <wp:effectExtent l="0" t="0" r="0" b="0"/>
              <wp:wrapNone/>
              <wp:docPr id="10"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20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D7B" w:rsidRDefault="007A2769">
                          <w:pPr>
                            <w:pStyle w:val="ParaAttribute1"/>
                            <w:rPr>
                              <w:rFonts w:eastAsia="SimSun"/>
                            </w:rPr>
                          </w:pPr>
                          <w:r>
                            <w:rPr>
                              <w:rStyle w:val="CharAttribute5"/>
                            </w:rPr>
                            <w:fldChar w:fldCharType="begin"/>
                          </w:r>
                          <w:r>
                            <w:rPr>
                              <w:rStyle w:val="CharAttribute5"/>
                            </w:rPr>
                            <w:instrText>PAGE</w:instrText>
                          </w:r>
                          <w:r>
                            <w:rPr>
                              <w:rStyle w:val="CharAttribute5"/>
                            </w:rPr>
                            <w:fldChar w:fldCharType="end"/>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3E8F89" id=" 1" o:spid="_x0000_s1026" type="#_x0000_t202" style="position:absolute;left:0;text-align:left;margin-left:463pt;margin-top:0;width:16pt;height:34.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" filled="f" stroked="f">
              <v:path arrowok="t"/>
              <v:textbox style="mso-fit-shape-to-text:t">
                <w:txbxContent>
                  <w:p w:rsidR="00860D7B" w:rsidRDefault="007A2769">
                    <w:pPr>
                      <w:pStyle w:val="ParaAttribute1"/>
                      <w:rPr>
                        <w:rFonts w:eastAsia="SimSun"/>
                      </w:rPr>
                    </w:pPr>
                    <w:r>
                      <w:rPr>
                        <w:rStyle w:val="CharAttribute5"/>
                      </w:rPr>
                      <w:fldChar w:fldCharType="begin"/>
                    </w:r>
                    <w:r>
                      <w:rPr>
                        <w:rStyle w:val="CharAttribute5"/>
                      </w:rPr>
                      <w:instrText>PAGE</w:instrText>
                    </w:r>
                    <w:r>
                      <w:rPr>
                        <w:rStyle w:val="CharAttribute5"/>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D7B" w:rsidRDefault="007A2769">
    <w:pPr>
      <w:pStyle w:val="ParaAttribute4"/>
      <w:rPr>
        <w:rFonts w:eastAsia="SimSun"/>
      </w:rPr>
    </w:pPr>
    <w:r>
      <w:rPr>
        <w:rStyle w:val="CharAttribute5"/>
      </w:rPr>
      <w:fldChar w:fldCharType="begin"/>
    </w:r>
    <w:r>
      <w:rPr>
        <w:rStyle w:val="CharAttribute5"/>
      </w:rPr>
      <w:instrText>PAGE</w:instrText>
    </w:r>
    <w:r>
      <w:rPr>
        <w:rStyle w:val="CharAttribute5"/>
      </w:rPr>
      <w:fldChar w:fldCharType="separate"/>
    </w:r>
    <w:r w:rsidR="002C681C">
      <w:rPr>
        <w:rStyle w:val="CharAttribute5"/>
        <w:noProof/>
      </w:rPr>
      <w:t>5</w:t>
    </w:r>
    <w:r>
      <w:rPr>
        <w:rStyle w:val="CharAttribute5"/>
      </w:rPr>
      <w:fldChar w:fldCharType="end"/>
    </w:r>
  </w:p>
  <w:p w:rsidR="00860D7B" w:rsidRDefault="00A038F3">
    <w:pPr>
      <w:pStyle w:val="ParaAttribute2"/>
      <w:rPr>
        <w:rFonts w:eastAsia="SimSu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8F3" w:rsidRDefault="00A038F3">
      <w:r>
        <w:separator/>
      </w:r>
    </w:p>
  </w:footnote>
  <w:footnote w:type="continuationSeparator" w:id="0">
    <w:p w:rsidR="00A038F3" w:rsidRDefault="00A038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769"/>
    <w:rsid w:val="001D227D"/>
    <w:rsid w:val="002C681C"/>
    <w:rsid w:val="004550F3"/>
    <w:rsid w:val="007A2769"/>
    <w:rsid w:val="00A038F3"/>
    <w:rsid w:val="00AF19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303D91-55FF-4BB6-B8C9-6F5028D9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Attribute1">
    <w:name w:val="ParaAttribute1"/>
    <w:uiPriority w:val="99"/>
    <w:rsid w:val="007A2769"/>
    <w:pPr>
      <w:widowControl w:val="0"/>
      <w:tabs>
        <w:tab w:val="center" w:pos="4320"/>
        <w:tab w:val="right" w:pos="8640"/>
      </w:tabs>
      <w:wordWrap w:val="0"/>
      <w:spacing w:line="480" w:lineRule="auto"/>
      <w:ind w:firstLine="418"/>
    </w:pPr>
    <w:rPr>
      <w:rFonts w:ascii="Times New Roman" w:eastAsia="Batang" w:hAnsi="Times New Roman" w:cs="Times New Roman"/>
      <w:kern w:val="0"/>
      <w:szCs w:val="24"/>
    </w:rPr>
  </w:style>
  <w:style w:type="paragraph" w:customStyle="1" w:styleId="ParaAttribute2">
    <w:name w:val="ParaAttribute2"/>
    <w:uiPriority w:val="99"/>
    <w:rsid w:val="007A2769"/>
    <w:pPr>
      <w:widowControl w:val="0"/>
      <w:tabs>
        <w:tab w:val="center" w:pos="4320"/>
        <w:tab w:val="right" w:pos="8640"/>
      </w:tabs>
      <w:wordWrap w:val="0"/>
      <w:spacing w:line="480" w:lineRule="auto"/>
      <w:ind w:right="360" w:firstLine="418"/>
    </w:pPr>
    <w:rPr>
      <w:rFonts w:ascii="Times New Roman" w:eastAsia="Batang" w:hAnsi="Times New Roman" w:cs="Times New Roman"/>
      <w:kern w:val="0"/>
      <w:szCs w:val="24"/>
    </w:rPr>
  </w:style>
  <w:style w:type="paragraph" w:customStyle="1" w:styleId="ParaAttribute4">
    <w:name w:val="ParaAttribute4"/>
    <w:uiPriority w:val="99"/>
    <w:rsid w:val="007A2769"/>
    <w:pPr>
      <w:widowControl w:val="0"/>
      <w:tabs>
        <w:tab w:val="center" w:pos="4320"/>
        <w:tab w:val="right" w:pos="8640"/>
      </w:tabs>
      <w:wordWrap w:val="0"/>
      <w:spacing w:line="480" w:lineRule="auto"/>
      <w:ind w:firstLine="418"/>
      <w:jc w:val="center"/>
    </w:pPr>
    <w:rPr>
      <w:rFonts w:ascii="Times New Roman" w:eastAsia="Batang" w:hAnsi="Times New Roman" w:cs="Times New Roman"/>
      <w:kern w:val="0"/>
      <w:szCs w:val="24"/>
    </w:rPr>
  </w:style>
  <w:style w:type="character" w:customStyle="1" w:styleId="CharAttribute5">
    <w:name w:val="CharAttribute5"/>
    <w:uiPriority w:val="99"/>
    <w:rsid w:val="007A2769"/>
    <w:rPr>
      <w:rFonts w:ascii="Times New Roman" w:eastAsia="SimSun" w:hAnsi="Times New Roman"/>
      <w:sz w:val="24"/>
    </w:rPr>
  </w:style>
  <w:style w:type="character" w:styleId="a3">
    <w:name w:val="line number"/>
    <w:basedOn w:val="a0"/>
    <w:uiPriority w:val="99"/>
    <w:semiHidden/>
    <w:unhideWhenUsed/>
    <w:rsid w:val="007A2769"/>
  </w:style>
  <w:style w:type="paragraph" w:styleId="a4">
    <w:name w:val="header"/>
    <w:basedOn w:val="a"/>
    <w:link w:val="a5"/>
    <w:uiPriority w:val="99"/>
    <w:unhideWhenUsed/>
    <w:rsid w:val="002C681C"/>
    <w:pPr>
      <w:tabs>
        <w:tab w:val="center" w:pos="4153"/>
        <w:tab w:val="right" w:pos="8306"/>
      </w:tabs>
      <w:snapToGrid w:val="0"/>
    </w:pPr>
    <w:rPr>
      <w:sz w:val="20"/>
      <w:szCs w:val="20"/>
    </w:rPr>
  </w:style>
  <w:style w:type="character" w:customStyle="1" w:styleId="a5">
    <w:name w:val="頁首 字元"/>
    <w:basedOn w:val="a0"/>
    <w:link w:val="a4"/>
    <w:uiPriority w:val="99"/>
    <w:rsid w:val="002C681C"/>
    <w:rPr>
      <w:sz w:val="20"/>
      <w:szCs w:val="20"/>
    </w:rPr>
  </w:style>
  <w:style w:type="paragraph" w:styleId="a6">
    <w:name w:val="footer"/>
    <w:basedOn w:val="a"/>
    <w:link w:val="a7"/>
    <w:uiPriority w:val="99"/>
    <w:unhideWhenUsed/>
    <w:rsid w:val="002C681C"/>
    <w:pPr>
      <w:tabs>
        <w:tab w:val="center" w:pos="4153"/>
        <w:tab w:val="right" w:pos="8306"/>
      </w:tabs>
      <w:snapToGrid w:val="0"/>
    </w:pPr>
    <w:rPr>
      <w:sz w:val="20"/>
      <w:szCs w:val="20"/>
    </w:rPr>
  </w:style>
  <w:style w:type="character" w:customStyle="1" w:styleId="a7">
    <w:name w:val="頁尾 字元"/>
    <w:basedOn w:val="a0"/>
    <w:link w:val="a6"/>
    <w:uiPriority w:val="99"/>
    <w:rsid w:val="002C68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Rueywen Lin</dc:creator>
  <cp:keywords/>
  <dc:description/>
  <cp:lastModifiedBy>Rueywen Lin</cp:lastModifiedBy>
  <cp:revision>3</cp:revision>
  <dcterms:created xsi:type="dcterms:W3CDTF">2019-07-14T14:25:00Z</dcterms:created>
  <dcterms:modified xsi:type="dcterms:W3CDTF">2019-07-15T15:02:00Z</dcterms:modified>
</cp:coreProperties>
</file>