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7C627" w14:textId="77777777" w:rsidR="00490779" w:rsidRPr="003F74EA" w:rsidRDefault="00490779" w:rsidP="00490779">
      <w:pPr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Cs w:val="24"/>
        </w:rPr>
      </w:pPr>
      <w:r w:rsidRPr="003F74EA">
        <w:rPr>
          <w:rFonts w:ascii="Times New Roman" w:hAnsi="Times New Roman" w:cs="Times New Roman"/>
          <w:b/>
          <w:bCs/>
          <w:color w:val="000000" w:themeColor="text1"/>
          <w:kern w:val="0"/>
          <w:szCs w:val="24"/>
        </w:rPr>
        <w:t xml:space="preserve">The down-regulation of XBP1, </w:t>
      </w:r>
      <w:r w:rsidRPr="003F74EA">
        <w:rPr>
          <w:rFonts w:ascii="Times New Roman" w:hAnsi="Times New Roman" w:cs="Times New Roman"/>
          <w:b/>
          <w:bCs/>
          <w:color w:val="000000" w:themeColor="text1"/>
          <w:kern w:val="0"/>
          <w:szCs w:val="24"/>
          <w:lang w:eastAsia="ja-JP"/>
        </w:rPr>
        <w:t xml:space="preserve">an </w:t>
      </w:r>
      <w:r w:rsidRPr="003F74EA">
        <w:rPr>
          <w:rFonts w:ascii="Times New Roman" w:hAnsi="Times New Roman" w:cs="Times New Roman"/>
          <w:b/>
          <w:bCs/>
          <w:color w:val="000000" w:themeColor="text1"/>
          <w:kern w:val="0"/>
          <w:szCs w:val="24"/>
        </w:rPr>
        <w:t>unfolded protein response effector, promotes the transition from acute kidney injury to chronic kidney disease</w:t>
      </w:r>
    </w:p>
    <w:p w14:paraId="7F81B625" w14:textId="33E07FCB" w:rsidR="001610A3" w:rsidRDefault="001610A3">
      <w:pPr>
        <w:rPr>
          <w:b/>
          <w:bCs/>
          <w:sz w:val="28"/>
          <w:szCs w:val="24"/>
        </w:rPr>
      </w:pPr>
    </w:p>
    <w:p w14:paraId="0603BDA1" w14:textId="0CD43063" w:rsidR="007417AE" w:rsidRPr="003F74EA" w:rsidRDefault="003F74EA" w:rsidP="007417AE">
      <w:pPr>
        <w:rPr>
          <w:rFonts w:ascii="Times New Roman" w:hAnsi="Times New Roman" w:cs="Times New Roman"/>
          <w:b/>
          <w:bCs/>
          <w:szCs w:val="24"/>
        </w:rPr>
      </w:pPr>
      <w:r w:rsidRPr="003F74EA">
        <w:rPr>
          <w:rFonts w:ascii="Times New Roman" w:hAnsi="Times New Roman" w:cs="Times New Roman"/>
          <w:b/>
          <w:bCs/>
          <w:szCs w:val="24"/>
        </w:rPr>
        <w:t>Chen et al. Additional file 2</w:t>
      </w:r>
    </w:p>
    <w:p w14:paraId="5EC8E40A" w14:textId="7D96094E" w:rsidR="00490779" w:rsidRPr="00BA5E29" w:rsidRDefault="003F74EA" w:rsidP="00BA5E29">
      <w:pPr>
        <w:rPr>
          <w:rFonts w:ascii="Times New Roman" w:hAnsi="Times New Roman" w:cs="Times New Roman"/>
          <w:b/>
          <w:bCs/>
          <w:szCs w:val="24"/>
        </w:rPr>
      </w:pPr>
      <w:r w:rsidRPr="003F74EA">
        <w:rPr>
          <w:rFonts w:ascii="Times New Roman" w:hAnsi="Times New Roman" w:cs="Times New Roman"/>
          <w:b/>
          <w:bCs/>
          <w:szCs w:val="24"/>
        </w:rPr>
        <w:t xml:space="preserve">Supplementary </w:t>
      </w:r>
      <w:r w:rsidR="00BA5E29">
        <w:rPr>
          <w:rFonts w:ascii="Times New Roman" w:hAnsi="Times New Roman" w:cs="Times New Roman"/>
          <w:b/>
          <w:bCs/>
          <w:szCs w:val="24"/>
        </w:rPr>
        <w:t>F</w:t>
      </w:r>
      <w:r w:rsidRPr="003F74EA">
        <w:rPr>
          <w:rFonts w:ascii="Times New Roman" w:hAnsi="Times New Roman" w:cs="Times New Roman"/>
          <w:b/>
          <w:bCs/>
          <w:szCs w:val="24"/>
        </w:rPr>
        <w:t>igure</w:t>
      </w:r>
      <w:r w:rsidR="00BA5E29">
        <w:rPr>
          <w:rFonts w:ascii="Times New Roman" w:hAnsi="Times New Roman" w:cs="Times New Roman"/>
          <w:b/>
          <w:bCs/>
          <w:szCs w:val="24"/>
        </w:rPr>
        <w:t>s</w:t>
      </w:r>
      <w:r w:rsidRPr="003F74EA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1B3362EA" w14:textId="77777777" w:rsidR="001D7877" w:rsidRDefault="00BA5E29" w:rsidP="003F74EA">
      <w:pPr>
        <w:widowControl/>
        <w:jc w:val="both"/>
        <w:rPr>
          <w:rFonts w:ascii="Times New Roman" w:hAnsi="Times New Roman" w:cs="Times New Roman"/>
        </w:rPr>
      </w:pPr>
      <w:r>
        <w:rPr>
          <w:rFonts w:ascii="TimesNewRomanPS" w:hAnsi="TimesNewRomanPS"/>
          <w:b/>
          <w:bCs/>
          <w:noProof/>
        </w:rPr>
        <w:drawing>
          <wp:inline distT="0" distB="0" distL="0" distR="0" wp14:anchorId="0E28406C" wp14:editId="7D791EE2">
            <wp:extent cx="5274310" cy="6055995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BF5">
        <w:rPr>
          <w:rFonts w:ascii="TimesNewRomanPS" w:hAnsi="TimesNewRomanPS"/>
          <w:b/>
          <w:bCs/>
        </w:rPr>
        <w:t>Figure S1</w:t>
      </w:r>
      <w:r w:rsidR="00490779" w:rsidRPr="00490779">
        <w:rPr>
          <w:rFonts w:ascii="Times New Roman" w:hAnsi="Times New Roman" w:cs="Times New Roman"/>
          <w:b/>
          <w:bCs/>
        </w:rPr>
        <w:t>. UIRI causes prominent renal damage and development of fibrosis.</w:t>
      </w:r>
      <w:r w:rsidR="00490779" w:rsidRPr="00490779">
        <w:rPr>
          <w:rFonts w:ascii="Times New Roman" w:hAnsi="Times New Roman" w:cs="Times New Roman"/>
        </w:rPr>
        <w:t xml:space="preserve"> </w:t>
      </w:r>
    </w:p>
    <w:p w14:paraId="04EA76B9" w14:textId="29FCF665" w:rsidR="007417AE" w:rsidRDefault="00490779" w:rsidP="003F74EA">
      <w:pPr>
        <w:widowControl/>
        <w:jc w:val="both"/>
        <w:rPr>
          <w:rFonts w:ascii="Times New Roman" w:hAnsi="Times New Roman" w:cs="Times New Roman"/>
        </w:rPr>
      </w:pPr>
      <w:r w:rsidRPr="00490779">
        <w:rPr>
          <w:rFonts w:ascii="Times New Roman" w:hAnsi="Times New Roman" w:cs="Times New Roman"/>
        </w:rPr>
        <w:t>(</w:t>
      </w:r>
      <w:r w:rsidR="00BA5E29">
        <w:rPr>
          <w:rFonts w:ascii="Times New Roman" w:hAnsi="Times New Roman" w:cs="Times New Roman"/>
        </w:rPr>
        <w:t>a</w:t>
      </w:r>
      <w:r w:rsidRPr="00490779">
        <w:rPr>
          <w:rFonts w:ascii="Times New Roman" w:hAnsi="Times New Roman" w:cs="Times New Roman"/>
        </w:rPr>
        <w:t xml:space="preserve">) Diagram illustrates the timeline of the experiment. The left kidney of male C57BL/6 mice was subjected to renal ischemia/reperfusion injury (UIRI) and then sacrificed at different days as indicated. </w:t>
      </w:r>
      <w:proofErr w:type="spellStart"/>
      <w:r w:rsidRPr="00490779">
        <w:rPr>
          <w:rFonts w:ascii="Times New Roman" w:hAnsi="Times New Roman" w:cs="Times New Roman"/>
        </w:rPr>
        <w:t>UDx</w:t>
      </w:r>
      <w:proofErr w:type="spellEnd"/>
      <w:r w:rsidRPr="00490779">
        <w:rPr>
          <w:rFonts w:ascii="Times New Roman" w:hAnsi="Times New Roman" w:cs="Times New Roman"/>
        </w:rPr>
        <w:t>: x days after UIRI. (</w:t>
      </w:r>
      <w:r w:rsidR="00BA5E29">
        <w:rPr>
          <w:rFonts w:ascii="Times New Roman" w:hAnsi="Times New Roman" w:cs="Times New Roman"/>
        </w:rPr>
        <w:t>b</w:t>
      </w:r>
      <w:r w:rsidRPr="00490779">
        <w:rPr>
          <w:rFonts w:ascii="Times New Roman" w:hAnsi="Times New Roman" w:cs="Times New Roman"/>
        </w:rPr>
        <w:t>) PAS staining represents the accumulation of debris in the tubular lumen after UIRI. The arrowhead</w:t>
      </w:r>
      <w:r w:rsidR="00ED7485">
        <w:rPr>
          <w:rFonts w:ascii="Times New Roman" w:hAnsi="Times New Roman" w:cs="Times New Roman"/>
        </w:rPr>
        <w:t xml:space="preserve"> in the lower panel</w:t>
      </w:r>
      <w:r w:rsidRPr="00490779">
        <w:rPr>
          <w:rFonts w:ascii="Times New Roman" w:hAnsi="Times New Roman" w:cs="Times New Roman"/>
        </w:rPr>
        <w:t xml:space="preserve"> </w:t>
      </w:r>
      <w:r w:rsidR="00ED7485">
        <w:rPr>
          <w:rFonts w:ascii="Times New Roman" w:hAnsi="Times New Roman" w:cs="Times New Roman"/>
        </w:rPr>
        <w:t>indicates</w:t>
      </w:r>
      <w:r w:rsidRPr="00490779">
        <w:rPr>
          <w:rFonts w:ascii="Times New Roman" w:hAnsi="Times New Roman" w:cs="Times New Roman"/>
        </w:rPr>
        <w:t xml:space="preserve"> brush border and debris, respectively. Scale bar indicates 200 </w:t>
      </w:r>
      <w:proofErr w:type="spellStart"/>
      <w:r w:rsidRPr="00490779">
        <w:rPr>
          <w:rFonts w:ascii="Times New Roman" w:hAnsi="Times New Roman" w:cs="Times New Roman"/>
        </w:rPr>
        <w:t>μm</w:t>
      </w:r>
      <w:proofErr w:type="spellEnd"/>
      <w:r w:rsidRPr="00490779">
        <w:rPr>
          <w:rFonts w:ascii="Times New Roman" w:hAnsi="Times New Roman" w:cs="Times New Roman"/>
        </w:rPr>
        <w:t xml:space="preserve"> in 40x, </w:t>
      </w:r>
      <w:r w:rsidRPr="00490779">
        <w:rPr>
          <w:rFonts w:ascii="Times New Roman" w:hAnsi="Times New Roman" w:cs="Times New Roman"/>
        </w:rPr>
        <w:lastRenderedPageBreak/>
        <w:t xml:space="preserve">50 </w:t>
      </w:r>
      <w:proofErr w:type="spellStart"/>
      <w:r w:rsidRPr="00490779">
        <w:rPr>
          <w:rFonts w:ascii="Times New Roman" w:hAnsi="Times New Roman" w:cs="Times New Roman"/>
        </w:rPr>
        <w:t>μm</w:t>
      </w:r>
      <w:proofErr w:type="spellEnd"/>
      <w:r w:rsidRPr="00490779">
        <w:rPr>
          <w:rFonts w:ascii="Times New Roman" w:hAnsi="Times New Roman" w:cs="Times New Roman"/>
        </w:rPr>
        <w:t xml:space="preserve"> in 200x. (</w:t>
      </w:r>
      <w:r w:rsidR="00BA5E29">
        <w:rPr>
          <w:rFonts w:ascii="Times New Roman" w:hAnsi="Times New Roman" w:cs="Times New Roman"/>
        </w:rPr>
        <w:t>c</w:t>
      </w:r>
      <w:r w:rsidRPr="00490779">
        <w:rPr>
          <w:rFonts w:ascii="Times New Roman" w:hAnsi="Times New Roman" w:cs="Times New Roman"/>
        </w:rPr>
        <w:t xml:space="preserve">) qPCR assessment of the relative expression level of </w:t>
      </w:r>
      <w:r w:rsidRPr="00A9728C">
        <w:rPr>
          <w:rFonts w:ascii="Times New Roman" w:hAnsi="Times New Roman" w:cs="Times New Roman"/>
          <w:i/>
          <w:iCs/>
        </w:rPr>
        <w:t>K</w:t>
      </w:r>
      <w:r w:rsidR="001D7877" w:rsidRPr="00A9728C">
        <w:rPr>
          <w:rFonts w:ascii="Times New Roman" w:hAnsi="Times New Roman" w:cs="Times New Roman"/>
          <w:i/>
          <w:iCs/>
        </w:rPr>
        <w:t>im</w:t>
      </w:r>
      <w:r w:rsidRPr="00A9728C">
        <w:rPr>
          <w:rFonts w:ascii="Times New Roman" w:hAnsi="Times New Roman" w:cs="Times New Roman"/>
          <w:i/>
          <w:iCs/>
        </w:rPr>
        <w:t>-1</w:t>
      </w:r>
      <w:r w:rsidRPr="00490779">
        <w:rPr>
          <w:rFonts w:ascii="Times New Roman" w:hAnsi="Times New Roman" w:cs="Times New Roman"/>
        </w:rPr>
        <w:t xml:space="preserve"> mRNA. (</w:t>
      </w:r>
      <w:r w:rsidR="00BA5E29">
        <w:rPr>
          <w:rFonts w:ascii="Times New Roman" w:hAnsi="Times New Roman" w:cs="Times New Roman"/>
        </w:rPr>
        <w:t>d</w:t>
      </w:r>
      <w:r w:rsidRPr="00490779">
        <w:rPr>
          <w:rFonts w:ascii="Times New Roman" w:hAnsi="Times New Roman" w:cs="Times New Roman"/>
        </w:rPr>
        <w:t xml:space="preserve">) Masson’s trichrome staining shows the increased fibrosis fraction in kidney section after UIRI. Scale bar indicates 50 </w:t>
      </w:r>
      <w:proofErr w:type="spellStart"/>
      <w:r w:rsidRPr="00490779">
        <w:rPr>
          <w:rFonts w:ascii="Times New Roman" w:hAnsi="Times New Roman" w:cs="Times New Roman"/>
        </w:rPr>
        <w:t>μm</w:t>
      </w:r>
      <w:proofErr w:type="spellEnd"/>
      <w:r w:rsidRPr="00490779">
        <w:rPr>
          <w:rFonts w:ascii="Times New Roman" w:hAnsi="Times New Roman" w:cs="Times New Roman"/>
        </w:rPr>
        <w:t xml:space="preserve"> in 200x. (</w:t>
      </w:r>
      <w:r w:rsidR="00BA5E29">
        <w:rPr>
          <w:rFonts w:ascii="Times New Roman" w:hAnsi="Times New Roman" w:cs="Times New Roman"/>
        </w:rPr>
        <w:t>e</w:t>
      </w:r>
      <w:r w:rsidRPr="00490779">
        <w:rPr>
          <w:rFonts w:ascii="Times New Roman" w:hAnsi="Times New Roman" w:cs="Times New Roman"/>
        </w:rPr>
        <w:t>) Quantitative scores of interstitial fibrosis were assessed. (</w:t>
      </w:r>
      <w:r w:rsidR="00BA5E29">
        <w:rPr>
          <w:rFonts w:ascii="Times New Roman" w:hAnsi="Times New Roman" w:cs="Times New Roman"/>
        </w:rPr>
        <w:t>f</w:t>
      </w:r>
      <w:r w:rsidRPr="00490779">
        <w:rPr>
          <w:rFonts w:ascii="Times New Roman" w:hAnsi="Times New Roman" w:cs="Times New Roman"/>
        </w:rPr>
        <w:t xml:space="preserve"> and </w:t>
      </w:r>
      <w:r w:rsidR="00BA5E29">
        <w:rPr>
          <w:rFonts w:ascii="Times New Roman" w:hAnsi="Times New Roman" w:cs="Times New Roman"/>
        </w:rPr>
        <w:t>g</w:t>
      </w:r>
      <w:r w:rsidRPr="00490779">
        <w:rPr>
          <w:rFonts w:ascii="Times New Roman" w:hAnsi="Times New Roman" w:cs="Times New Roman"/>
        </w:rPr>
        <w:t>) The expression of a-SMA was examined with western blot analysis and quantified. Data are expressed as means ± SEM, n=3~6 in each group. * P &lt; 0.05 and *** P &lt; 0.001, as compared with sham group.</w:t>
      </w:r>
    </w:p>
    <w:p w14:paraId="2BB47A51" w14:textId="00A91CC5" w:rsidR="00BA5E29" w:rsidRDefault="00BA5E29" w:rsidP="003F74EA">
      <w:pPr>
        <w:widowControl/>
        <w:jc w:val="both"/>
        <w:rPr>
          <w:rFonts w:ascii="Times New Roman" w:hAnsi="Times New Roman" w:cs="Times New Roman"/>
        </w:rPr>
      </w:pPr>
    </w:p>
    <w:p w14:paraId="72C17260" w14:textId="77777777" w:rsidR="00BA5E29" w:rsidRDefault="00BA5E2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40CD15" w14:textId="339DC5C3" w:rsidR="00BA5E29" w:rsidRPr="00490779" w:rsidRDefault="00BA5E29" w:rsidP="00BA5E29">
      <w:pPr>
        <w:widowControl/>
        <w:jc w:val="both"/>
        <w:rPr>
          <w:b/>
          <w:bCs/>
          <w:sz w:val="28"/>
          <w:szCs w:val="24"/>
        </w:rPr>
      </w:pPr>
      <w:r>
        <w:rPr>
          <w:rFonts w:hint="eastAsia"/>
          <w:b/>
          <w:bCs/>
          <w:noProof/>
          <w:sz w:val="28"/>
          <w:szCs w:val="24"/>
        </w:rPr>
        <w:lastRenderedPageBreak/>
        <w:drawing>
          <wp:inline distT="0" distB="0" distL="0" distR="0" wp14:anchorId="46B88F73" wp14:editId="0D95C741">
            <wp:extent cx="5274310" cy="617283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7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87E4F" w14:textId="688541A7" w:rsidR="00BA5E29" w:rsidRPr="005774D4" w:rsidRDefault="00BA5E29" w:rsidP="00BA5E29">
      <w:pPr>
        <w:widowControl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NewRomanPS" w:hAnsi="TimesNewRomanPS"/>
          <w:b/>
          <w:bCs/>
        </w:rPr>
        <w:t>Figure S2</w:t>
      </w:r>
      <w:r w:rsidRPr="005774D4">
        <w:rPr>
          <w:rFonts w:ascii="Times New Roman" w:hAnsi="Times New Roman" w:cs="Times New Roman"/>
          <w:b/>
          <w:bCs/>
          <w:color w:val="000000" w:themeColor="text1"/>
        </w:rPr>
        <w:t xml:space="preserve">. Loss of XBP1 expression is a universal </w:t>
      </w:r>
      <w:r w:rsidR="00BC4449">
        <w:rPr>
          <w:rFonts w:ascii="Times New Roman" w:hAnsi="Times New Roman" w:cs="Times New Roman"/>
          <w:b/>
          <w:bCs/>
          <w:color w:val="000000" w:themeColor="text1"/>
        </w:rPr>
        <w:t>characteristic</w:t>
      </w:r>
      <w:r w:rsidRPr="005774D4">
        <w:rPr>
          <w:rFonts w:ascii="Times New Roman" w:hAnsi="Times New Roman" w:cs="Times New Roman"/>
          <w:b/>
          <w:bCs/>
          <w:color w:val="000000" w:themeColor="text1"/>
        </w:rPr>
        <w:t xml:space="preserve"> in renal fibrosis models. </w:t>
      </w:r>
    </w:p>
    <w:p w14:paraId="39A4C1BC" w14:textId="5908A139" w:rsidR="00BA5E29" w:rsidRDefault="00BA5E29" w:rsidP="00BA5E29">
      <w:pPr>
        <w:widowControl/>
        <w:jc w:val="both"/>
        <w:rPr>
          <w:b/>
          <w:bCs/>
          <w:sz w:val="28"/>
          <w:szCs w:val="24"/>
        </w:rPr>
      </w:pPr>
      <w:r w:rsidRPr="005774D4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a</w:t>
      </w:r>
      <w:r w:rsidRPr="005774D4">
        <w:rPr>
          <w:rFonts w:ascii="Times New Roman" w:hAnsi="Times New Roman" w:cs="Times New Roman"/>
          <w:color w:val="000000" w:themeColor="text1"/>
        </w:rPr>
        <w:t xml:space="preserve">) Western blot analysis showed </w:t>
      </w:r>
      <w:r w:rsidR="00BC4449">
        <w:rPr>
          <w:rFonts w:ascii="Times New Roman" w:hAnsi="Times New Roman" w:cs="Times New Roman"/>
          <w:color w:val="000000" w:themeColor="text1"/>
        </w:rPr>
        <w:t xml:space="preserve">the protein </w:t>
      </w:r>
      <w:r w:rsidRPr="005774D4">
        <w:rPr>
          <w:rFonts w:ascii="Times New Roman" w:hAnsi="Times New Roman" w:cs="Times New Roman"/>
          <w:color w:val="000000" w:themeColor="text1"/>
        </w:rPr>
        <w:t>expression of α-SMA, XBP1u and XBP1s in UUO mice model. GAPDH was used as an internal control. (</w:t>
      </w:r>
      <w:r>
        <w:rPr>
          <w:rFonts w:ascii="Times New Roman" w:hAnsi="Times New Roman" w:cs="Times New Roman"/>
          <w:color w:val="000000" w:themeColor="text1"/>
        </w:rPr>
        <w:t>b</w:t>
      </w:r>
      <w:r w:rsidRPr="005774D4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>d</w:t>
      </w:r>
      <w:r w:rsidRPr="005774D4">
        <w:rPr>
          <w:rFonts w:ascii="Times New Roman" w:hAnsi="Times New Roman" w:cs="Times New Roman"/>
          <w:color w:val="000000" w:themeColor="text1"/>
        </w:rPr>
        <w:t xml:space="preserve">) Quantification of </w:t>
      </w:r>
      <w:r w:rsidR="00F6277A">
        <w:rPr>
          <w:rFonts w:ascii="Times New Roman" w:hAnsi="Times New Roman" w:cs="Times New Roman"/>
          <w:color w:val="000000" w:themeColor="text1"/>
        </w:rPr>
        <w:t xml:space="preserve">relative protein </w:t>
      </w:r>
      <w:r w:rsidRPr="005774D4">
        <w:rPr>
          <w:rFonts w:ascii="Times New Roman" w:hAnsi="Times New Roman" w:cs="Times New Roman"/>
          <w:color w:val="000000" w:themeColor="text1"/>
        </w:rPr>
        <w:t>expression levels of α-SMA, XBP1u and XBP1s. (</w:t>
      </w:r>
      <w:r>
        <w:rPr>
          <w:rFonts w:ascii="Times New Roman" w:hAnsi="Times New Roman" w:cs="Times New Roman"/>
          <w:color w:val="000000" w:themeColor="text1"/>
        </w:rPr>
        <w:t>e</w:t>
      </w:r>
      <w:r w:rsidRPr="005774D4">
        <w:rPr>
          <w:rFonts w:ascii="Times New Roman" w:hAnsi="Times New Roman" w:cs="Times New Roman"/>
          <w:color w:val="000000" w:themeColor="text1"/>
        </w:rPr>
        <w:t>) Western blot analysis showed</w:t>
      </w:r>
      <w:r w:rsidR="00F6277A">
        <w:rPr>
          <w:rFonts w:ascii="Times New Roman" w:hAnsi="Times New Roman" w:cs="Times New Roman"/>
          <w:color w:val="000000" w:themeColor="text1"/>
        </w:rPr>
        <w:t xml:space="preserve"> the protein</w:t>
      </w:r>
      <w:r w:rsidRPr="005774D4">
        <w:rPr>
          <w:rFonts w:ascii="Times New Roman" w:hAnsi="Times New Roman" w:cs="Times New Roman"/>
          <w:color w:val="000000" w:themeColor="text1"/>
        </w:rPr>
        <w:t xml:space="preserve"> expression of α-SMA, XBP1u and XBP1s proteins in adenine diet mice model. GAPDH was used as an internal control. (</w:t>
      </w:r>
      <w:r>
        <w:rPr>
          <w:rFonts w:ascii="Times New Roman" w:hAnsi="Times New Roman" w:cs="Times New Roman"/>
          <w:color w:val="000000" w:themeColor="text1"/>
        </w:rPr>
        <w:t>f</w:t>
      </w:r>
      <w:r w:rsidRPr="005774D4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>h</w:t>
      </w:r>
      <w:r w:rsidRPr="005774D4">
        <w:rPr>
          <w:rFonts w:ascii="Times New Roman" w:hAnsi="Times New Roman" w:cs="Times New Roman"/>
          <w:color w:val="000000" w:themeColor="text1"/>
        </w:rPr>
        <w:t xml:space="preserve">) Quantification of </w:t>
      </w:r>
      <w:r w:rsidR="00F6277A">
        <w:rPr>
          <w:rFonts w:ascii="Times New Roman" w:hAnsi="Times New Roman" w:cs="Times New Roman"/>
          <w:color w:val="000000" w:themeColor="text1"/>
        </w:rPr>
        <w:t>relative protein</w:t>
      </w:r>
      <w:r w:rsidRPr="005774D4">
        <w:rPr>
          <w:rFonts w:ascii="Times New Roman" w:hAnsi="Times New Roman" w:cs="Times New Roman"/>
          <w:color w:val="000000" w:themeColor="text1"/>
        </w:rPr>
        <w:t xml:space="preserve"> expression levels of α-SMA, XBP1u and XBP1s. N=3-4 for each group, * P &lt; 0.05, ** P &lt; 0.01, and *** P &lt; 0.001, as compared with sham or chow diet group.</w:t>
      </w:r>
    </w:p>
    <w:p w14:paraId="07962B03" w14:textId="4F01F2E1" w:rsidR="001B7175" w:rsidRDefault="00BA5E29" w:rsidP="001B7175">
      <w:pPr>
        <w:jc w:val="both"/>
        <w:rPr>
          <w:rFonts w:ascii="Times New Roman" w:hAnsi="Times New Roman" w:cs="Times New Roman"/>
          <w:b/>
          <w:szCs w:val="28"/>
        </w:rPr>
      </w:pPr>
      <w:r>
        <w:rPr>
          <w:b/>
          <w:bCs/>
          <w:sz w:val="28"/>
          <w:szCs w:val="24"/>
        </w:rPr>
        <w:br w:type="page"/>
      </w:r>
      <w:r w:rsidR="001B7175"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1654E951" wp14:editId="0AF25212">
            <wp:simplePos x="0" y="0"/>
            <wp:positionH relativeFrom="column">
              <wp:posOffset>81915</wp:posOffset>
            </wp:positionH>
            <wp:positionV relativeFrom="paragraph">
              <wp:posOffset>3990340</wp:posOffset>
            </wp:positionV>
            <wp:extent cx="5141595" cy="2394585"/>
            <wp:effectExtent l="0" t="0" r="1905" b="5715"/>
            <wp:wrapTopAndBottom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175" w:rsidRPr="001B7175">
        <w:rPr>
          <w:rFonts w:ascii="TimesNewRomanPS" w:hAnsi="TimesNewRomanPS"/>
          <w:b/>
          <w:bCs/>
          <w:noProof/>
        </w:rPr>
        <w:drawing>
          <wp:anchor distT="0" distB="0" distL="114300" distR="114300" simplePos="0" relativeHeight="251678720" behindDoc="0" locked="0" layoutInCell="1" allowOverlap="1" wp14:anchorId="1E70D277" wp14:editId="311CEABA">
            <wp:simplePos x="0" y="0"/>
            <wp:positionH relativeFrom="column">
              <wp:posOffset>-31750</wp:posOffset>
            </wp:positionH>
            <wp:positionV relativeFrom="paragraph">
              <wp:posOffset>0</wp:posOffset>
            </wp:positionV>
            <wp:extent cx="5274310" cy="4006850"/>
            <wp:effectExtent l="0" t="0" r="0" b="6350"/>
            <wp:wrapTopAndBottom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175">
        <w:rPr>
          <w:rFonts w:ascii="TimesNewRomanPS" w:hAnsi="TimesNewRomanPS"/>
          <w:b/>
          <w:bCs/>
        </w:rPr>
        <w:t>Figure S3</w:t>
      </w:r>
      <w:r w:rsidR="001B7175" w:rsidRPr="005774D4">
        <w:rPr>
          <w:rFonts w:ascii="Times New Roman" w:hAnsi="Times New Roman" w:cs="Times New Roman"/>
          <w:b/>
          <w:szCs w:val="28"/>
        </w:rPr>
        <w:t xml:space="preserve">. </w:t>
      </w:r>
      <w:r w:rsidR="009A1760">
        <w:rPr>
          <w:rFonts w:ascii="Times New Roman" w:hAnsi="Times New Roman" w:cs="Times New Roman"/>
          <w:b/>
          <w:szCs w:val="28"/>
        </w:rPr>
        <w:t>P</w:t>
      </w:r>
      <w:r w:rsidR="001B7175" w:rsidRPr="005774D4">
        <w:rPr>
          <w:rFonts w:ascii="Times New Roman" w:hAnsi="Times New Roman" w:cs="Times New Roman"/>
          <w:b/>
          <w:szCs w:val="28"/>
        </w:rPr>
        <w:t xml:space="preserve">roximal tubular conditional knockout mice blocked XBP1s activation. </w:t>
      </w:r>
    </w:p>
    <w:p w14:paraId="1CCEC37A" w14:textId="09BA3DB6" w:rsidR="001B7175" w:rsidRDefault="001B7175" w:rsidP="00A9728C">
      <w:pPr>
        <w:widowControl/>
        <w:jc w:val="both"/>
        <w:rPr>
          <w:rFonts w:ascii="Times New Roman" w:hAnsi="Times New Roman" w:cs="Times New Roman"/>
          <w:bCs/>
          <w:szCs w:val="28"/>
        </w:rPr>
      </w:pPr>
      <w:r w:rsidRPr="005774D4">
        <w:rPr>
          <w:rFonts w:ascii="Times New Roman" w:hAnsi="Times New Roman" w:cs="Times New Roman"/>
          <w:bCs/>
          <w:szCs w:val="28"/>
        </w:rPr>
        <w:t>(</w:t>
      </w:r>
      <w:r>
        <w:rPr>
          <w:rFonts w:ascii="Times New Roman" w:hAnsi="Times New Roman" w:cs="Times New Roman"/>
          <w:bCs/>
          <w:szCs w:val="28"/>
        </w:rPr>
        <w:t>a</w:t>
      </w:r>
      <w:r w:rsidRPr="005774D4">
        <w:rPr>
          <w:rFonts w:ascii="Times New Roman" w:hAnsi="Times New Roman" w:cs="Times New Roman"/>
          <w:bCs/>
          <w:szCs w:val="28"/>
        </w:rPr>
        <w:t>) Diagram illustrates SLC5a</w:t>
      </w:r>
      <w:r w:rsidRPr="005774D4">
        <w:rPr>
          <w:rFonts w:ascii="Times New Roman" w:hAnsi="Times New Roman" w:cs="Times New Roman"/>
          <w:bCs/>
          <w:szCs w:val="28"/>
          <w:vertAlign w:val="superscript"/>
        </w:rPr>
        <w:t>CreERT2</w:t>
      </w:r>
      <w:r w:rsidRPr="005774D4">
        <w:rPr>
          <w:rFonts w:ascii="Times New Roman" w:hAnsi="Times New Roman" w:cs="Times New Roman"/>
          <w:bCs/>
          <w:szCs w:val="28"/>
        </w:rPr>
        <w:t>; XBP1</w:t>
      </w:r>
      <w:r w:rsidR="00554620">
        <w:rPr>
          <w:rFonts w:ascii="Times New Roman" w:hAnsi="Times New Roman" w:cs="Times New Roman"/>
          <w:bCs/>
          <w:szCs w:val="28"/>
          <w:vertAlign w:val="superscript"/>
        </w:rPr>
        <w:t>fl</w:t>
      </w:r>
      <w:r w:rsidRPr="005774D4">
        <w:rPr>
          <w:rFonts w:ascii="Times New Roman" w:hAnsi="Times New Roman" w:cs="Times New Roman"/>
          <w:bCs/>
          <w:szCs w:val="28"/>
          <w:vertAlign w:val="superscript"/>
        </w:rPr>
        <w:t>/</w:t>
      </w:r>
      <w:proofErr w:type="spellStart"/>
      <w:r w:rsidR="00554620">
        <w:rPr>
          <w:rFonts w:ascii="Times New Roman" w:hAnsi="Times New Roman" w:cs="Times New Roman"/>
          <w:bCs/>
          <w:szCs w:val="28"/>
          <w:vertAlign w:val="superscript"/>
        </w:rPr>
        <w:t>fl</w:t>
      </w:r>
      <w:proofErr w:type="spellEnd"/>
      <w:r w:rsidRPr="005774D4">
        <w:rPr>
          <w:rFonts w:ascii="Times New Roman" w:hAnsi="Times New Roman" w:cs="Times New Roman"/>
          <w:bCs/>
          <w:szCs w:val="28"/>
        </w:rPr>
        <w:t xml:space="preserve"> mice</w:t>
      </w:r>
      <w:r w:rsidR="00554620">
        <w:rPr>
          <w:rFonts w:ascii="Times New Roman" w:hAnsi="Times New Roman" w:cs="Times New Roman"/>
          <w:bCs/>
          <w:szCs w:val="28"/>
        </w:rPr>
        <w:t>.</w:t>
      </w:r>
      <w:r w:rsidRPr="005774D4">
        <w:rPr>
          <w:rFonts w:ascii="Times New Roman" w:hAnsi="Times New Roman" w:cs="Times New Roman"/>
          <w:bCs/>
          <w:szCs w:val="28"/>
        </w:rPr>
        <w:t xml:space="preserve"> (</w:t>
      </w:r>
      <w:r>
        <w:rPr>
          <w:rFonts w:ascii="Times New Roman" w:hAnsi="Times New Roman" w:cs="Times New Roman"/>
          <w:bCs/>
          <w:szCs w:val="28"/>
        </w:rPr>
        <w:t>b</w:t>
      </w:r>
      <w:r w:rsidRPr="005774D4">
        <w:rPr>
          <w:rFonts w:ascii="Times New Roman" w:hAnsi="Times New Roman" w:cs="Times New Roman"/>
          <w:bCs/>
          <w:szCs w:val="28"/>
        </w:rPr>
        <w:t xml:space="preserve">) </w:t>
      </w:r>
      <w:r w:rsidR="00554620">
        <w:rPr>
          <w:rFonts w:ascii="Times New Roman" w:hAnsi="Times New Roman" w:cs="Times New Roman"/>
          <w:bCs/>
          <w:szCs w:val="28"/>
        </w:rPr>
        <w:t>A</w:t>
      </w:r>
      <w:r w:rsidRPr="005774D4">
        <w:rPr>
          <w:rFonts w:ascii="Times New Roman" w:hAnsi="Times New Roman" w:cs="Times New Roman"/>
          <w:bCs/>
          <w:szCs w:val="28"/>
        </w:rPr>
        <w:t xml:space="preserve">fter </w:t>
      </w:r>
      <w:r w:rsidR="00554620">
        <w:rPr>
          <w:rFonts w:ascii="Times New Roman" w:hAnsi="Times New Roman" w:cs="Times New Roman"/>
          <w:bCs/>
          <w:szCs w:val="28"/>
        </w:rPr>
        <w:t>tamoxifen administration</w:t>
      </w:r>
      <w:r w:rsidRPr="005774D4">
        <w:rPr>
          <w:rFonts w:ascii="Times New Roman" w:hAnsi="Times New Roman" w:cs="Times New Roman"/>
          <w:bCs/>
          <w:szCs w:val="28"/>
        </w:rPr>
        <w:t xml:space="preserve">, mice </w:t>
      </w:r>
      <w:r w:rsidR="00554620">
        <w:rPr>
          <w:rFonts w:ascii="Times New Roman" w:hAnsi="Times New Roman" w:cs="Times New Roman"/>
          <w:bCs/>
          <w:szCs w:val="28"/>
        </w:rPr>
        <w:t xml:space="preserve">were </w:t>
      </w:r>
      <w:r w:rsidRPr="005774D4">
        <w:rPr>
          <w:rFonts w:ascii="Times New Roman" w:hAnsi="Times New Roman" w:cs="Times New Roman"/>
          <w:bCs/>
          <w:szCs w:val="28"/>
        </w:rPr>
        <w:t xml:space="preserve">subjected to IP injection of 500 ng/g </w:t>
      </w:r>
      <w:r w:rsidR="00554620">
        <w:rPr>
          <w:rFonts w:ascii="Times New Roman" w:hAnsi="Times New Roman" w:cs="Times New Roman"/>
          <w:bCs/>
          <w:szCs w:val="28"/>
        </w:rPr>
        <w:t xml:space="preserve">of </w:t>
      </w:r>
      <w:r w:rsidRPr="005774D4">
        <w:rPr>
          <w:rFonts w:ascii="Times New Roman" w:hAnsi="Times New Roman" w:cs="Times New Roman"/>
          <w:bCs/>
          <w:szCs w:val="28"/>
        </w:rPr>
        <w:t>Tunicamycin for 12 hours. Western blot analysis showed protein expression of XBP1s after Tunicamycin</w:t>
      </w:r>
      <w:r w:rsidR="00554620">
        <w:rPr>
          <w:rFonts w:ascii="Times New Roman" w:hAnsi="Times New Roman" w:cs="Times New Roman"/>
          <w:bCs/>
          <w:szCs w:val="28"/>
        </w:rPr>
        <w:t xml:space="preserve"> induction</w:t>
      </w:r>
      <w:r w:rsidRPr="005774D4">
        <w:rPr>
          <w:rFonts w:ascii="Times New Roman" w:hAnsi="Times New Roman" w:cs="Times New Roman"/>
          <w:bCs/>
          <w:szCs w:val="28"/>
        </w:rPr>
        <w:t xml:space="preserve"> in XBP</w:t>
      </w:r>
      <w:r w:rsidR="00554620">
        <w:rPr>
          <w:rFonts w:ascii="Times New Roman" w:hAnsi="Times New Roman" w:cs="Times New Roman"/>
          <w:bCs/>
          <w:szCs w:val="28"/>
        </w:rPr>
        <w:t>1</w:t>
      </w:r>
      <w:r w:rsidRPr="00A9728C">
        <w:rPr>
          <w:rFonts w:ascii="Times New Roman" w:hAnsi="Times New Roman" w:cs="Times New Roman"/>
          <w:bCs/>
          <w:szCs w:val="28"/>
          <w:vertAlign w:val="superscript"/>
        </w:rPr>
        <w:t>fl/</w:t>
      </w:r>
      <w:proofErr w:type="spellStart"/>
      <w:r w:rsidRPr="00A9728C">
        <w:rPr>
          <w:rFonts w:ascii="Times New Roman" w:hAnsi="Times New Roman" w:cs="Times New Roman"/>
          <w:bCs/>
          <w:szCs w:val="28"/>
          <w:vertAlign w:val="superscript"/>
        </w:rPr>
        <w:t>fl</w:t>
      </w:r>
      <w:proofErr w:type="spellEnd"/>
      <w:r w:rsidRPr="005774D4">
        <w:rPr>
          <w:rFonts w:ascii="Times New Roman" w:hAnsi="Times New Roman" w:cs="Times New Roman"/>
          <w:bCs/>
          <w:szCs w:val="28"/>
        </w:rPr>
        <w:t xml:space="preserve"> or XBP1</w:t>
      </w:r>
      <w:r w:rsidRPr="00A9728C">
        <w:rPr>
          <w:rFonts w:ascii="Times New Roman" w:hAnsi="Times New Roman" w:cs="Times New Roman"/>
          <w:bCs/>
          <w:szCs w:val="28"/>
          <w:vertAlign w:val="superscript"/>
        </w:rPr>
        <w:t>cKO</w:t>
      </w:r>
      <w:r w:rsidRPr="005774D4">
        <w:rPr>
          <w:rFonts w:ascii="Times New Roman" w:hAnsi="Times New Roman" w:cs="Times New Roman"/>
          <w:bCs/>
          <w:szCs w:val="28"/>
        </w:rPr>
        <w:t xml:space="preserve"> mice. GAPDH was used as an internal control. (</w:t>
      </w:r>
      <w:r>
        <w:rPr>
          <w:rFonts w:ascii="Times New Roman" w:hAnsi="Times New Roman" w:cs="Times New Roman"/>
          <w:bCs/>
          <w:szCs w:val="28"/>
        </w:rPr>
        <w:t>c</w:t>
      </w:r>
      <w:r w:rsidRPr="005774D4">
        <w:rPr>
          <w:rFonts w:ascii="Times New Roman" w:hAnsi="Times New Roman" w:cs="Times New Roman"/>
          <w:bCs/>
          <w:szCs w:val="28"/>
        </w:rPr>
        <w:t xml:space="preserve">) </w:t>
      </w:r>
      <w:r>
        <w:rPr>
          <w:rFonts w:ascii="Times New Roman" w:hAnsi="Times New Roman" w:cs="Times New Roman"/>
          <w:bCs/>
          <w:szCs w:val="28"/>
        </w:rPr>
        <w:t>I</w:t>
      </w:r>
      <w:r w:rsidRPr="005774D4">
        <w:rPr>
          <w:rFonts w:ascii="Times New Roman" w:hAnsi="Times New Roman" w:cs="Times New Roman"/>
          <w:bCs/>
          <w:szCs w:val="28"/>
        </w:rPr>
        <w:t xml:space="preserve">mmunofluorescence staining demonstrated XBP1 expression in Tunicamycin treated mice </w:t>
      </w:r>
      <w:r>
        <w:rPr>
          <w:rFonts w:ascii="Times New Roman" w:hAnsi="Times New Roman" w:cs="Times New Roman"/>
          <w:bCs/>
          <w:szCs w:val="28"/>
        </w:rPr>
        <w:t>kidneys</w:t>
      </w:r>
      <w:r w:rsidRPr="005774D4">
        <w:rPr>
          <w:rFonts w:ascii="Times New Roman" w:hAnsi="Times New Roman" w:cs="Times New Roman"/>
          <w:bCs/>
          <w:szCs w:val="28"/>
        </w:rPr>
        <w:t xml:space="preserve">. </w:t>
      </w:r>
      <w:r>
        <w:rPr>
          <w:rFonts w:ascii="Times New Roman" w:hAnsi="Times New Roman" w:cs="Times New Roman"/>
          <w:bCs/>
          <w:szCs w:val="28"/>
        </w:rPr>
        <w:t>Scale</w:t>
      </w:r>
      <w:r w:rsidRPr="005774D4">
        <w:rPr>
          <w:rFonts w:ascii="Times New Roman" w:hAnsi="Times New Roman" w:cs="Times New Roman"/>
          <w:bCs/>
          <w:szCs w:val="28"/>
        </w:rPr>
        <w:t xml:space="preserve"> bar</w:t>
      </w:r>
      <w:r>
        <w:rPr>
          <w:rFonts w:ascii="Times New Roman" w:hAnsi="Times New Roman" w:cs="Times New Roman"/>
          <w:bCs/>
          <w:szCs w:val="28"/>
        </w:rPr>
        <w:t xml:space="preserve">: </w:t>
      </w:r>
      <w:r w:rsidRPr="005774D4">
        <w:rPr>
          <w:rFonts w:ascii="Times New Roman" w:hAnsi="Times New Roman" w:cs="Times New Roman"/>
          <w:bCs/>
          <w:szCs w:val="28"/>
        </w:rPr>
        <w:t xml:space="preserve">250 </w:t>
      </w:r>
      <w:proofErr w:type="spellStart"/>
      <w:r w:rsidRPr="005774D4">
        <w:rPr>
          <w:rFonts w:ascii="Times New Roman" w:hAnsi="Times New Roman" w:cs="Times New Roman"/>
          <w:bCs/>
          <w:szCs w:val="28"/>
        </w:rPr>
        <w:t>μm</w:t>
      </w:r>
      <w:proofErr w:type="spellEnd"/>
      <w:r w:rsidRPr="005774D4">
        <w:rPr>
          <w:rFonts w:ascii="Times New Roman" w:hAnsi="Times New Roman" w:cs="Times New Roman"/>
          <w:bCs/>
          <w:szCs w:val="28"/>
        </w:rPr>
        <w:t>.</w:t>
      </w:r>
      <w:r>
        <w:rPr>
          <w:rFonts w:ascii="Times New Roman" w:hAnsi="Times New Roman" w:cs="Times New Roman"/>
          <w:bCs/>
          <w:szCs w:val="28"/>
        </w:rPr>
        <w:t xml:space="preserve"> (d) </w:t>
      </w:r>
      <w:r w:rsidRPr="001B7175">
        <w:rPr>
          <w:rFonts w:ascii="Times New Roman" w:hAnsi="Times New Roman" w:cs="Times New Roman"/>
          <w:bCs/>
          <w:szCs w:val="28"/>
        </w:rPr>
        <w:t xml:space="preserve">XBP1s mRNA expression level </w:t>
      </w:r>
      <w:r w:rsidR="006608F2">
        <w:rPr>
          <w:rFonts w:ascii="Times New Roman" w:hAnsi="Times New Roman" w:cs="Times New Roman"/>
          <w:bCs/>
          <w:szCs w:val="28"/>
        </w:rPr>
        <w:t>was</w:t>
      </w:r>
      <w:r w:rsidRPr="001B7175">
        <w:rPr>
          <w:rFonts w:ascii="Times New Roman" w:hAnsi="Times New Roman" w:cs="Times New Roman"/>
          <w:bCs/>
          <w:szCs w:val="28"/>
        </w:rPr>
        <w:t xml:space="preserve"> determined by semi-quantitative PCR</w:t>
      </w:r>
      <w:r>
        <w:rPr>
          <w:rFonts w:ascii="Times New Roman" w:hAnsi="Times New Roman" w:cs="Times New Roman"/>
          <w:bCs/>
          <w:szCs w:val="28"/>
        </w:rPr>
        <w:t>. (e)</w:t>
      </w:r>
      <w:r w:rsidR="009A1760" w:rsidRPr="00490779">
        <w:rPr>
          <w:rFonts w:ascii="Times New Roman" w:hAnsi="Times New Roman" w:cs="Times New Roman"/>
        </w:rPr>
        <w:t xml:space="preserve"> qPCR assessment of the relative expression level of </w:t>
      </w:r>
      <w:r w:rsidR="009A1760">
        <w:rPr>
          <w:rFonts w:ascii="Times New Roman" w:hAnsi="Times New Roman" w:cs="Times New Roman"/>
        </w:rPr>
        <w:t>XBP1s</w:t>
      </w:r>
      <w:r w:rsidR="009A1760" w:rsidRPr="00490779">
        <w:rPr>
          <w:rFonts w:ascii="Times New Roman" w:hAnsi="Times New Roman" w:cs="Times New Roman"/>
        </w:rPr>
        <w:t xml:space="preserve"> mRNA</w:t>
      </w:r>
      <w:r w:rsidR="009A176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  <w:szCs w:val="28"/>
        </w:rPr>
        <w:br w:type="page"/>
      </w:r>
    </w:p>
    <w:p w14:paraId="3D51C3B2" w14:textId="0D9FBBD2" w:rsidR="001B7175" w:rsidRDefault="001B7175" w:rsidP="005774D4">
      <w:pPr>
        <w:jc w:val="both"/>
        <w:rPr>
          <w:rFonts w:ascii="TimesNewRomanPS" w:hAnsi="TimesNewRomanPS" w:hint="eastAsia"/>
          <w:b/>
          <w:bCs/>
        </w:rPr>
      </w:pPr>
      <w:r w:rsidRPr="00A9728C">
        <w:rPr>
          <w:rFonts w:ascii="TimesNewRomanPS" w:hAnsi="TimesNewRomanPS"/>
          <w:b/>
          <w:bCs/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3AC473AF" wp14:editId="4BD876CF">
            <wp:simplePos x="0" y="0"/>
            <wp:positionH relativeFrom="column">
              <wp:posOffset>154271</wp:posOffset>
            </wp:positionH>
            <wp:positionV relativeFrom="paragraph">
              <wp:posOffset>73866</wp:posOffset>
            </wp:positionV>
            <wp:extent cx="4992370" cy="3945890"/>
            <wp:effectExtent l="0" t="0" r="0" b="381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5" t="2741"/>
                    <a:stretch/>
                  </pic:blipFill>
                  <pic:spPr bwMode="auto">
                    <a:xfrm>
                      <a:off x="0" y="0"/>
                      <a:ext cx="4992370" cy="3945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28C">
        <w:rPr>
          <w:rFonts w:ascii="TimesNewRomanPS" w:hAnsi="TimesNewRomanPS"/>
          <w:b/>
          <w:bCs/>
        </w:rPr>
        <w:t>Figure S4. Proximal tubular XBP1 specific knockout mice</w:t>
      </w:r>
      <w:r>
        <w:rPr>
          <w:rFonts w:ascii="TimesNewRomanPS" w:hAnsi="TimesNewRomanPS"/>
          <w:b/>
          <w:bCs/>
        </w:rPr>
        <w:t xml:space="preserve"> were</w:t>
      </w:r>
      <w:r w:rsidRPr="00A9728C">
        <w:rPr>
          <w:rFonts w:ascii="TimesNewRomanPS" w:hAnsi="TimesNewRomanPS"/>
          <w:b/>
          <w:bCs/>
        </w:rPr>
        <w:t xml:space="preserve"> vulnerable to </w:t>
      </w:r>
      <w:r w:rsidR="006608F2">
        <w:rPr>
          <w:rFonts w:ascii="TimesNewRomanPS" w:hAnsi="TimesNewRomanPS"/>
          <w:b/>
          <w:bCs/>
        </w:rPr>
        <w:t>UIRI-induced</w:t>
      </w:r>
      <w:r w:rsidRPr="00A9728C">
        <w:rPr>
          <w:rFonts w:ascii="TimesNewRomanPS" w:hAnsi="TimesNewRomanPS"/>
          <w:b/>
          <w:bCs/>
        </w:rPr>
        <w:t xml:space="preserve"> kidney injury.</w:t>
      </w:r>
    </w:p>
    <w:p w14:paraId="52A19A20" w14:textId="4E1AFC77" w:rsidR="001B7175" w:rsidRPr="00A9728C" w:rsidRDefault="001B7175" w:rsidP="001B7175">
      <w:pPr>
        <w:jc w:val="both"/>
        <w:rPr>
          <w:rFonts w:ascii="TimesNewRomanPS" w:hAnsi="TimesNewRomanPS" w:hint="eastAsia"/>
        </w:rPr>
      </w:pPr>
      <w:r>
        <w:rPr>
          <w:rFonts w:ascii="Times New Roman" w:hAnsi="Times New Roman" w:cs="Times New Roman"/>
          <w:bCs/>
          <w:szCs w:val="28"/>
        </w:rPr>
        <w:t xml:space="preserve">(a) </w:t>
      </w:r>
      <w:r w:rsidRPr="00A9728C">
        <w:rPr>
          <w:rFonts w:ascii="Times New Roman" w:hAnsi="Times New Roman" w:cs="Times New Roman"/>
          <w:bCs/>
          <w:szCs w:val="28"/>
        </w:rPr>
        <w:t>Diagram illustrates the experimental timeline of tamoxifen administration and UIRI with contralateral nephrectomy</w:t>
      </w:r>
      <w:r>
        <w:rPr>
          <w:rFonts w:ascii="Times New Roman" w:hAnsi="Times New Roman" w:cs="Times New Roman"/>
          <w:bCs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Cs/>
          <w:szCs w:val="28"/>
        </w:rPr>
        <w:t>Nx</w:t>
      </w:r>
      <w:proofErr w:type="spellEnd"/>
      <w:r>
        <w:rPr>
          <w:rFonts w:ascii="Times New Roman" w:hAnsi="Times New Roman" w:cs="Times New Roman"/>
          <w:bCs/>
          <w:szCs w:val="28"/>
        </w:rPr>
        <w:t>)</w:t>
      </w:r>
      <w:r w:rsidRPr="00A9728C">
        <w:rPr>
          <w:rFonts w:ascii="Times New Roman" w:hAnsi="Times New Roman" w:cs="Times New Roman"/>
          <w:bCs/>
          <w:szCs w:val="28"/>
        </w:rPr>
        <w:t xml:space="preserve"> </w:t>
      </w:r>
      <w:r>
        <w:rPr>
          <w:rFonts w:ascii="Times New Roman" w:hAnsi="Times New Roman" w:cs="Times New Roman"/>
          <w:bCs/>
          <w:szCs w:val="28"/>
        </w:rPr>
        <w:t>surgery in XBP1</w:t>
      </w:r>
      <w:r w:rsidRPr="00A9728C">
        <w:rPr>
          <w:rFonts w:ascii="Times New Roman" w:hAnsi="Times New Roman" w:cs="Times New Roman"/>
          <w:bCs/>
          <w:szCs w:val="28"/>
          <w:vertAlign w:val="superscript"/>
        </w:rPr>
        <w:t>fl/</w:t>
      </w:r>
      <w:proofErr w:type="spellStart"/>
      <w:r w:rsidRPr="00A9728C">
        <w:rPr>
          <w:rFonts w:ascii="Times New Roman" w:hAnsi="Times New Roman" w:cs="Times New Roman"/>
          <w:bCs/>
          <w:szCs w:val="28"/>
          <w:vertAlign w:val="superscript"/>
        </w:rPr>
        <w:t>fl</w:t>
      </w:r>
      <w:proofErr w:type="spellEnd"/>
      <w:r w:rsidRPr="00A9728C">
        <w:rPr>
          <w:rFonts w:ascii="Times New Roman" w:hAnsi="Times New Roman" w:cs="Times New Roman"/>
          <w:bCs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Cs w:val="28"/>
        </w:rPr>
        <w:t>and XBP1</w:t>
      </w:r>
      <w:r w:rsidRPr="00A9728C">
        <w:rPr>
          <w:rFonts w:ascii="Times New Roman" w:hAnsi="Times New Roman" w:cs="Times New Roman"/>
          <w:bCs/>
          <w:szCs w:val="28"/>
          <w:vertAlign w:val="superscript"/>
        </w:rPr>
        <w:t xml:space="preserve">cKO </w:t>
      </w:r>
      <w:r>
        <w:rPr>
          <w:rFonts w:ascii="Times New Roman" w:hAnsi="Times New Roman" w:cs="Times New Roman"/>
          <w:bCs/>
          <w:szCs w:val="28"/>
        </w:rPr>
        <w:t>mice</w:t>
      </w:r>
      <w:r w:rsidRPr="00A9728C">
        <w:rPr>
          <w:rFonts w:ascii="Times New Roman" w:hAnsi="Times New Roman" w:cs="Times New Roman"/>
          <w:bCs/>
          <w:szCs w:val="28"/>
        </w:rPr>
        <w:t xml:space="preserve">. </w:t>
      </w:r>
      <w:r>
        <w:rPr>
          <w:rFonts w:ascii="Times New Roman" w:hAnsi="Times New Roman" w:cs="Times New Roman"/>
          <w:bCs/>
          <w:szCs w:val="28"/>
        </w:rPr>
        <w:t>(b and c) Blood urea nitrogen (BUN) and serum creatinine (</w:t>
      </w:r>
      <w:proofErr w:type="spellStart"/>
      <w:r>
        <w:rPr>
          <w:rFonts w:ascii="Times New Roman" w:hAnsi="Times New Roman" w:cs="Times New Roman"/>
          <w:bCs/>
          <w:szCs w:val="28"/>
        </w:rPr>
        <w:t>Scr</w:t>
      </w:r>
      <w:proofErr w:type="spellEnd"/>
      <w:r>
        <w:rPr>
          <w:rFonts w:ascii="Times New Roman" w:hAnsi="Times New Roman" w:cs="Times New Roman"/>
          <w:bCs/>
          <w:szCs w:val="28"/>
        </w:rPr>
        <w:t xml:space="preserve">) levels were measured after 1 day of contralateral </w:t>
      </w:r>
      <w:proofErr w:type="spellStart"/>
      <w:r>
        <w:rPr>
          <w:rFonts w:ascii="Times New Roman" w:hAnsi="Times New Roman" w:cs="Times New Roman"/>
          <w:bCs/>
          <w:szCs w:val="28"/>
        </w:rPr>
        <w:t>Nx</w:t>
      </w:r>
      <w:proofErr w:type="spellEnd"/>
      <w:r>
        <w:rPr>
          <w:rFonts w:ascii="Times New Roman" w:hAnsi="Times New Roman" w:cs="Times New Roman"/>
          <w:bCs/>
          <w:szCs w:val="28"/>
        </w:rPr>
        <w:t xml:space="preserve">. </w:t>
      </w:r>
      <w:r w:rsidRPr="005774D4">
        <w:rPr>
          <w:rFonts w:ascii="Times New Roman" w:hAnsi="Times New Roman" w:cs="Times New Roman"/>
          <w:color w:val="000000" w:themeColor="text1"/>
        </w:rPr>
        <w:t>N=3</w:t>
      </w:r>
      <w:r>
        <w:rPr>
          <w:rFonts w:ascii="Times New Roman" w:hAnsi="Times New Roman" w:cs="Times New Roman"/>
          <w:color w:val="000000" w:themeColor="text1"/>
        </w:rPr>
        <w:t xml:space="preserve"> for each group. *</w:t>
      </w:r>
      <w:r w:rsidRPr="005774D4">
        <w:rPr>
          <w:rFonts w:ascii="Times New Roman" w:hAnsi="Times New Roman" w:cs="Times New Roman"/>
          <w:color w:val="000000" w:themeColor="text1"/>
        </w:rPr>
        <w:t>* P &lt; 0.01, and *** P &lt; 0.001, as compared with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szCs w:val="28"/>
        </w:rPr>
        <w:t>XBP1</w:t>
      </w:r>
      <w:r w:rsidRPr="00731C2A">
        <w:rPr>
          <w:rFonts w:ascii="Times New Roman" w:hAnsi="Times New Roman" w:cs="Times New Roman"/>
          <w:bCs/>
          <w:szCs w:val="28"/>
          <w:vertAlign w:val="superscript"/>
        </w:rPr>
        <w:t>fl/</w:t>
      </w:r>
      <w:proofErr w:type="spellStart"/>
      <w:r w:rsidRPr="00731C2A">
        <w:rPr>
          <w:rFonts w:ascii="Times New Roman" w:hAnsi="Times New Roman" w:cs="Times New Roman"/>
          <w:bCs/>
          <w:szCs w:val="28"/>
          <w:vertAlign w:val="superscript"/>
        </w:rPr>
        <w:t>fl</w:t>
      </w:r>
      <w:proofErr w:type="spellEnd"/>
      <w:r>
        <w:rPr>
          <w:rFonts w:ascii="Times New Roman" w:hAnsi="Times New Roman" w:cs="Times New Roman"/>
          <w:bCs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Cs w:val="28"/>
        </w:rPr>
        <w:t>Sham group.</w:t>
      </w:r>
    </w:p>
    <w:p w14:paraId="59F69755" w14:textId="5C3B8484" w:rsidR="005774D4" w:rsidRPr="001B7175" w:rsidRDefault="005774D4" w:rsidP="005774D4">
      <w:pPr>
        <w:jc w:val="both"/>
        <w:rPr>
          <w:bCs/>
        </w:rPr>
      </w:pPr>
    </w:p>
    <w:p w14:paraId="20FFA510" w14:textId="5F4AD355" w:rsidR="00AA73F7" w:rsidRDefault="005774D4" w:rsidP="005774D4">
      <w:pPr>
        <w:widowControl/>
        <w:jc w:val="both"/>
      </w:pPr>
      <w:r>
        <w:br w:type="page"/>
      </w:r>
    </w:p>
    <w:p w14:paraId="252FC22C" w14:textId="7F4F7F86" w:rsidR="00A17564" w:rsidRDefault="00A17564">
      <w:pPr>
        <w:widowControl/>
      </w:pPr>
      <w:r>
        <w:rPr>
          <w:rFonts w:ascii="TimesNewRomanPS" w:hAnsi="TimesNewRomanPS"/>
          <w:b/>
          <w:bCs/>
          <w:noProof/>
        </w:rPr>
        <w:lastRenderedPageBreak/>
        <w:drawing>
          <wp:inline distT="0" distB="0" distL="0" distR="0" wp14:anchorId="79F40238" wp14:editId="66EED2B7">
            <wp:extent cx="5274310" cy="752348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8D9DA" w14:textId="3451AD73" w:rsidR="00A17564" w:rsidRDefault="00A17564">
      <w:pPr>
        <w:widowControl/>
      </w:pPr>
    </w:p>
    <w:p w14:paraId="3C77E4F3" w14:textId="4E2863A2" w:rsidR="00A17564" w:rsidRDefault="00A17564">
      <w:pPr>
        <w:widowControl/>
      </w:pPr>
    </w:p>
    <w:p w14:paraId="7E831969" w14:textId="608EE79C" w:rsidR="00A17564" w:rsidRDefault="00A17564">
      <w:pPr>
        <w:widowControl/>
      </w:pPr>
    </w:p>
    <w:p w14:paraId="65582DE7" w14:textId="77777777" w:rsidR="00A17564" w:rsidRDefault="00A17564">
      <w:pPr>
        <w:widowControl/>
      </w:pPr>
    </w:p>
    <w:p w14:paraId="2279A7F9" w14:textId="67BD20BD" w:rsidR="00500F63" w:rsidRDefault="002C722D" w:rsidP="00086AA2">
      <w:pPr>
        <w:widowControl/>
        <w:jc w:val="both"/>
        <w:rPr>
          <w:rFonts w:ascii="TimesNewRomanPS" w:hAnsi="TimesNewRomanPS" w:hint="eastAsia"/>
          <w:b/>
          <w:bCs/>
        </w:rPr>
      </w:pPr>
      <w:r>
        <w:rPr>
          <w:rFonts w:ascii="TimesNewRomanPS" w:hAnsi="TimesNewRomanPS"/>
          <w:b/>
          <w:bCs/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5D9DDDBB" wp14:editId="66691604">
            <wp:simplePos x="0" y="0"/>
            <wp:positionH relativeFrom="column">
              <wp:posOffset>0</wp:posOffset>
            </wp:positionH>
            <wp:positionV relativeFrom="paragraph">
              <wp:posOffset>89535</wp:posOffset>
            </wp:positionV>
            <wp:extent cx="5274310" cy="6409690"/>
            <wp:effectExtent l="0" t="0" r="0" b="3810"/>
            <wp:wrapTopAndBottom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0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9FC">
        <w:rPr>
          <w:rFonts w:ascii="TimesNewRomanPS" w:hAnsi="TimesNewRomanPS"/>
          <w:b/>
          <w:bCs/>
        </w:rPr>
        <w:t>Figure S5</w:t>
      </w:r>
      <w:r w:rsidR="005939FC" w:rsidRPr="00AA73F7">
        <w:rPr>
          <w:rFonts w:ascii="Times New Roman" w:hAnsi="Times New Roman" w:cs="Times New Roman"/>
          <w:b/>
          <w:szCs w:val="28"/>
        </w:rPr>
        <w:t>. UIRI induces cell cycle arrest in G2/M phase.</w:t>
      </w:r>
    </w:p>
    <w:p w14:paraId="363B564A" w14:textId="3D266CFD" w:rsidR="00705C7A" w:rsidRDefault="00500F63" w:rsidP="00086AA2">
      <w:pPr>
        <w:widowControl/>
        <w:jc w:val="both"/>
        <w:rPr>
          <w:rFonts w:ascii="Times New Roman" w:hAnsi="Times New Roman" w:cs="Times New Roman"/>
          <w:bCs/>
          <w:szCs w:val="28"/>
        </w:rPr>
      </w:pPr>
      <w:r w:rsidRPr="00AA73F7">
        <w:rPr>
          <w:rFonts w:ascii="Times New Roman" w:hAnsi="Times New Roman" w:cs="Times New Roman"/>
          <w:bCs/>
          <w:szCs w:val="28"/>
        </w:rPr>
        <w:t>(</w:t>
      </w:r>
      <w:r>
        <w:rPr>
          <w:rFonts w:ascii="Times New Roman" w:hAnsi="Times New Roman" w:cs="Times New Roman"/>
          <w:bCs/>
          <w:szCs w:val="28"/>
        </w:rPr>
        <w:t>a</w:t>
      </w:r>
      <w:r w:rsidR="00386E9D">
        <w:rPr>
          <w:rFonts w:ascii="Times New Roman" w:hAnsi="Times New Roman" w:cs="Times New Roman"/>
          <w:bCs/>
          <w:szCs w:val="28"/>
        </w:rPr>
        <w:t>-d</w:t>
      </w:r>
      <w:r w:rsidRPr="00AA73F7">
        <w:rPr>
          <w:rFonts w:ascii="Times New Roman" w:hAnsi="Times New Roman" w:cs="Times New Roman"/>
          <w:bCs/>
          <w:szCs w:val="28"/>
        </w:rPr>
        <w:t xml:space="preserve">) The expression of </w:t>
      </w:r>
      <w:r>
        <w:rPr>
          <w:rFonts w:ascii="Times New Roman" w:hAnsi="Times New Roman" w:cs="Times New Roman"/>
          <w:bCs/>
          <w:szCs w:val="28"/>
        </w:rPr>
        <w:t>chk1</w:t>
      </w:r>
      <w:r w:rsidR="00386E9D">
        <w:rPr>
          <w:rFonts w:ascii="Times New Roman" w:hAnsi="Times New Roman" w:cs="Times New Roman"/>
          <w:bCs/>
          <w:szCs w:val="28"/>
        </w:rPr>
        <w:t xml:space="preserve"> and p21</w:t>
      </w:r>
      <w:r w:rsidRPr="00AA73F7">
        <w:rPr>
          <w:rFonts w:ascii="Times New Roman" w:hAnsi="Times New Roman" w:cs="Times New Roman"/>
          <w:bCs/>
          <w:szCs w:val="28"/>
        </w:rPr>
        <w:t xml:space="preserve"> in mice </w:t>
      </w:r>
      <w:r>
        <w:rPr>
          <w:rFonts w:ascii="Times New Roman" w:hAnsi="Times New Roman" w:cs="Times New Roman"/>
          <w:bCs/>
          <w:szCs w:val="28"/>
        </w:rPr>
        <w:t>kidneys</w:t>
      </w:r>
      <w:r w:rsidRPr="00AA73F7">
        <w:rPr>
          <w:rFonts w:ascii="Times New Roman" w:hAnsi="Times New Roman" w:cs="Times New Roman"/>
          <w:bCs/>
          <w:szCs w:val="28"/>
        </w:rPr>
        <w:t xml:space="preserve"> was evaluated with western blotting and quantified. GAPDH was used as an internal control. Data are expressed as means ± SEM, n=3~6 in each group. * P &lt; 0.05, ** P &lt; 0.01, and *** P &lt; 0.001, as compared with sham group.</w:t>
      </w:r>
      <w:r>
        <w:rPr>
          <w:rFonts w:ascii="Times New Roman" w:hAnsi="Times New Roman" w:cs="Times New Roman"/>
          <w:bCs/>
          <w:szCs w:val="28"/>
        </w:rPr>
        <w:t xml:space="preserve"> (e and f) Representative images of Ki67</w:t>
      </w:r>
      <w:r w:rsidRPr="00F65ABD">
        <w:rPr>
          <w:rFonts w:ascii="Times New Roman" w:hAnsi="Times New Roman" w:cs="Times New Roman"/>
          <w:bCs/>
          <w:szCs w:val="28"/>
          <w:vertAlign w:val="superscript"/>
        </w:rPr>
        <w:t>+</w:t>
      </w:r>
      <w:r>
        <w:rPr>
          <w:rFonts w:ascii="Times New Roman" w:hAnsi="Times New Roman" w:cs="Times New Roman"/>
          <w:bCs/>
          <w:szCs w:val="28"/>
        </w:rPr>
        <w:t xml:space="preserve"> pHH3</w:t>
      </w:r>
      <w:r w:rsidRPr="00F65ABD">
        <w:rPr>
          <w:rFonts w:ascii="Times New Roman" w:hAnsi="Times New Roman" w:cs="Times New Roman"/>
          <w:bCs/>
          <w:szCs w:val="28"/>
          <w:vertAlign w:val="superscript"/>
        </w:rPr>
        <w:t>+</w:t>
      </w:r>
      <w:r>
        <w:rPr>
          <w:rFonts w:ascii="Times New Roman" w:hAnsi="Times New Roman" w:cs="Times New Roman"/>
          <w:bCs/>
          <w:szCs w:val="28"/>
        </w:rPr>
        <w:t xml:space="preserve"> renal sections in (e) WT mice or (f) XBP1</w:t>
      </w:r>
      <w:r w:rsidRPr="0097749B">
        <w:rPr>
          <w:rFonts w:ascii="Times New Roman" w:hAnsi="Times New Roman" w:cs="Times New Roman"/>
          <w:bCs/>
          <w:szCs w:val="28"/>
          <w:vertAlign w:val="superscript"/>
        </w:rPr>
        <w:t>cKO</w:t>
      </w:r>
      <w:r>
        <w:rPr>
          <w:rFonts w:ascii="Times New Roman" w:hAnsi="Times New Roman" w:cs="Times New Roman"/>
          <w:bCs/>
          <w:szCs w:val="28"/>
        </w:rPr>
        <w:t xml:space="preserve"> and XBP1</w:t>
      </w:r>
      <w:r w:rsidRPr="0097749B">
        <w:rPr>
          <w:rFonts w:ascii="Times New Roman" w:hAnsi="Times New Roman" w:cs="Times New Roman"/>
          <w:bCs/>
          <w:szCs w:val="28"/>
          <w:vertAlign w:val="superscript"/>
        </w:rPr>
        <w:t>fl/</w:t>
      </w:r>
      <w:proofErr w:type="spellStart"/>
      <w:r w:rsidRPr="0097749B">
        <w:rPr>
          <w:rFonts w:ascii="Times New Roman" w:hAnsi="Times New Roman" w:cs="Times New Roman"/>
          <w:bCs/>
          <w:szCs w:val="28"/>
          <w:vertAlign w:val="superscript"/>
        </w:rPr>
        <w:t>fl</w:t>
      </w:r>
      <w:proofErr w:type="spellEnd"/>
      <w:r>
        <w:rPr>
          <w:rFonts w:ascii="Times New Roman" w:hAnsi="Times New Roman" w:cs="Times New Roman"/>
          <w:bCs/>
          <w:szCs w:val="28"/>
        </w:rPr>
        <w:t xml:space="preserve"> mice subjected to UIRI or Sham operation.</w:t>
      </w:r>
      <w:r w:rsidRPr="00C66D74">
        <w:rPr>
          <w:rFonts w:ascii="Times New Roman" w:hAnsi="Times New Roman" w:cs="Times New Roman"/>
          <w:bCs/>
          <w:szCs w:val="28"/>
        </w:rPr>
        <w:t xml:space="preserve"> </w:t>
      </w:r>
      <w:r>
        <w:rPr>
          <w:rFonts w:ascii="Times New Roman" w:hAnsi="Times New Roman" w:cs="Times New Roman"/>
          <w:bCs/>
          <w:szCs w:val="28"/>
        </w:rPr>
        <w:t xml:space="preserve">Selected areas indicated highly expressed double-positive tubules. Scale bar: 50 </w:t>
      </w:r>
      <w:proofErr w:type="spellStart"/>
      <w:r w:rsidRPr="005774D4">
        <w:rPr>
          <w:rFonts w:ascii="Times New Roman" w:hAnsi="Times New Roman" w:cs="Times New Roman"/>
          <w:bCs/>
          <w:szCs w:val="28"/>
        </w:rPr>
        <w:t>μm</w:t>
      </w:r>
      <w:proofErr w:type="spellEnd"/>
      <w:r>
        <w:rPr>
          <w:rFonts w:ascii="Times New Roman" w:hAnsi="Times New Roman" w:cs="Times New Roman"/>
          <w:bCs/>
          <w:szCs w:val="28"/>
        </w:rPr>
        <w:t>.</w:t>
      </w:r>
    </w:p>
    <w:p w14:paraId="3DD37007" w14:textId="3607E0E6" w:rsidR="003F6367" w:rsidRDefault="00086AA2" w:rsidP="00A9728C">
      <w:pPr>
        <w:widowControl/>
        <w:jc w:val="both"/>
      </w:pPr>
      <w:r w:rsidRPr="00AA73F7">
        <w:rPr>
          <w:rFonts w:ascii="Times New Roman" w:hAnsi="Times New Roman" w:cs="Times New Roman"/>
          <w:b/>
          <w:szCs w:val="28"/>
        </w:rPr>
        <w:t> </w:t>
      </w:r>
    </w:p>
    <w:sectPr w:rsidR="003F6367" w:rsidSect="007213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PS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E31DA"/>
    <w:multiLevelType w:val="hybridMultilevel"/>
    <w:tmpl w:val="538A4340"/>
    <w:lvl w:ilvl="0" w:tplc="3C4CBC2C">
      <w:start w:val="1"/>
      <w:numFmt w:val="low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D27A51"/>
    <w:multiLevelType w:val="hybridMultilevel"/>
    <w:tmpl w:val="7F30C814"/>
    <w:lvl w:ilvl="0" w:tplc="9D08D8B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85712964">
    <w:abstractNumId w:val="1"/>
  </w:num>
  <w:num w:numId="2" w16cid:durableId="1769543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67"/>
    <w:rsid w:val="00086AA2"/>
    <w:rsid w:val="0010108E"/>
    <w:rsid w:val="001610A3"/>
    <w:rsid w:val="001B7175"/>
    <w:rsid w:val="001D7877"/>
    <w:rsid w:val="00212405"/>
    <w:rsid w:val="002C722D"/>
    <w:rsid w:val="0033439F"/>
    <w:rsid w:val="00386E9D"/>
    <w:rsid w:val="003A7E0D"/>
    <w:rsid w:val="003F6367"/>
    <w:rsid w:val="003F74EA"/>
    <w:rsid w:val="0043706A"/>
    <w:rsid w:val="0044373C"/>
    <w:rsid w:val="0047173D"/>
    <w:rsid w:val="00490779"/>
    <w:rsid w:val="004E3E5B"/>
    <w:rsid w:val="00500F63"/>
    <w:rsid w:val="00554620"/>
    <w:rsid w:val="005774D4"/>
    <w:rsid w:val="005939FC"/>
    <w:rsid w:val="00604C27"/>
    <w:rsid w:val="006430EB"/>
    <w:rsid w:val="006608F2"/>
    <w:rsid w:val="006B3BF5"/>
    <w:rsid w:val="006E62DC"/>
    <w:rsid w:val="00705C7A"/>
    <w:rsid w:val="007213B2"/>
    <w:rsid w:val="007417AE"/>
    <w:rsid w:val="00990EF0"/>
    <w:rsid w:val="009A1760"/>
    <w:rsid w:val="009B395F"/>
    <w:rsid w:val="00A0676A"/>
    <w:rsid w:val="00A17564"/>
    <w:rsid w:val="00A9728C"/>
    <w:rsid w:val="00AA6A56"/>
    <w:rsid w:val="00AA73F7"/>
    <w:rsid w:val="00B261A9"/>
    <w:rsid w:val="00B5200B"/>
    <w:rsid w:val="00BA2595"/>
    <w:rsid w:val="00BA5E29"/>
    <w:rsid w:val="00BA7A50"/>
    <w:rsid w:val="00BC4449"/>
    <w:rsid w:val="00C3034D"/>
    <w:rsid w:val="00C66D74"/>
    <w:rsid w:val="00DA1FBD"/>
    <w:rsid w:val="00DB368D"/>
    <w:rsid w:val="00DC228B"/>
    <w:rsid w:val="00DD048B"/>
    <w:rsid w:val="00EA6A76"/>
    <w:rsid w:val="00EA7D57"/>
    <w:rsid w:val="00ED7485"/>
    <w:rsid w:val="00F504DA"/>
    <w:rsid w:val="00F6277A"/>
    <w:rsid w:val="00F63CB1"/>
    <w:rsid w:val="00FD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F0331"/>
  <w15:chartTrackingRefBased/>
  <w15:docId w15:val="{D95B2A8D-B232-0644-9D59-98D157AF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175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636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907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1B7175"/>
    <w:pPr>
      <w:ind w:leftChars="200" w:left="480"/>
    </w:pPr>
  </w:style>
  <w:style w:type="paragraph" w:styleId="a5">
    <w:name w:val="Revision"/>
    <w:hidden/>
    <w:uiPriority w:val="99"/>
    <w:semiHidden/>
    <w:rsid w:val="00554620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1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25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6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1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7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9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6C9062-F5AA-2C41-AE16-B2493104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陳佳煌</cp:lastModifiedBy>
  <cp:revision>16</cp:revision>
  <dcterms:created xsi:type="dcterms:W3CDTF">2022-02-22T06:52:00Z</dcterms:created>
  <dcterms:modified xsi:type="dcterms:W3CDTF">2022-06-13T06:04:00Z</dcterms:modified>
</cp:coreProperties>
</file>