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FF301" w14:textId="77777777" w:rsidR="00F54F1D" w:rsidRPr="004316A0" w:rsidRDefault="00F54F1D" w:rsidP="00F54F1D">
      <w:pPr>
        <w:rPr>
          <w:rFonts w:cs="Calibri"/>
        </w:rPr>
      </w:pPr>
      <w:r w:rsidRPr="004316A0">
        <w:rPr>
          <w:rFonts w:cs="Calibri"/>
          <w:b/>
        </w:rPr>
        <w:t>S</w:t>
      </w:r>
      <w:r w:rsidR="00DE4090">
        <w:rPr>
          <w:rFonts w:cs="Calibri"/>
          <w:b/>
        </w:rPr>
        <w:t>UPPLEMENTARY FIGURES:</w:t>
      </w:r>
    </w:p>
    <w:p w14:paraId="100A288F" w14:textId="77777777" w:rsidR="00F54F1D" w:rsidRPr="004316A0" w:rsidRDefault="008918AC" w:rsidP="00F54F1D">
      <w:pPr>
        <w:jc w:val="center"/>
      </w:pPr>
      <w:r>
        <w:rPr>
          <w:noProof/>
          <w:lang w:eastAsia="zh-TW"/>
        </w:rPr>
        <w:drawing>
          <wp:inline distT="0" distB="0" distL="0" distR="0" wp14:anchorId="37B6E885" wp14:editId="7F030EA7">
            <wp:extent cx="5219700" cy="4141803"/>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27025" cy="4147615"/>
                    </a:xfrm>
                    <a:prstGeom prst="rect">
                      <a:avLst/>
                    </a:prstGeom>
                    <a:noFill/>
                  </pic:spPr>
                </pic:pic>
              </a:graphicData>
            </a:graphic>
          </wp:inline>
        </w:drawing>
      </w:r>
    </w:p>
    <w:p w14:paraId="70C2BC74" w14:textId="77777777" w:rsidR="00F54F1D" w:rsidRPr="004316A0" w:rsidRDefault="00DE4090" w:rsidP="00F54F1D">
      <w:pPr>
        <w:spacing w:after="160" w:line="259" w:lineRule="auto"/>
        <w:jc w:val="both"/>
        <w:rPr>
          <w:rFonts w:eastAsia="新細明體" w:cs="Arial"/>
          <w:bCs/>
          <w:lang w:eastAsia="zh-TW"/>
        </w:rPr>
      </w:pPr>
      <w:r>
        <w:rPr>
          <w:rFonts w:eastAsia="新細明體" w:cs="Arial"/>
          <w:b/>
          <w:bCs/>
          <w:lang w:eastAsia="zh-TW"/>
        </w:rPr>
        <w:t>Supplementary Fig.</w:t>
      </w:r>
      <w:r w:rsidR="00F54F1D" w:rsidRPr="004316A0">
        <w:rPr>
          <w:rFonts w:eastAsia="新細明體" w:cs="Arial"/>
          <w:b/>
          <w:bCs/>
          <w:lang w:eastAsia="zh-TW"/>
        </w:rPr>
        <w:t xml:space="preserve"> 1</w:t>
      </w:r>
      <w:r w:rsidR="008918AC">
        <w:rPr>
          <w:rFonts w:eastAsia="新細明體" w:cs="Arial"/>
          <w:bCs/>
          <w:lang w:eastAsia="zh-TW"/>
        </w:rPr>
        <w:t xml:space="preserve"> (</w:t>
      </w:r>
      <w:r w:rsidR="008918AC">
        <w:rPr>
          <w:rFonts w:eastAsia="新細明體" w:cs="Arial" w:hint="eastAsia"/>
          <w:bCs/>
          <w:lang w:eastAsia="zh-TW"/>
        </w:rPr>
        <w:t>A</w:t>
      </w:r>
      <w:r w:rsidR="00F54F1D" w:rsidRPr="004316A0">
        <w:rPr>
          <w:rFonts w:eastAsia="新細明體" w:cs="Arial"/>
          <w:bCs/>
          <w:lang w:eastAsia="zh-TW"/>
        </w:rPr>
        <w:t xml:space="preserve">) Similar to the disease course of PD in patients we divided the MP mice’ PD-like progressive phenotype into three stages. The early stage is the preclinical stage with no obvious </w:t>
      </w:r>
      <w:r w:rsidR="000148E6">
        <w:rPr>
          <w:rFonts w:eastAsia="新細明體" w:cs="Arial"/>
          <w:bCs/>
          <w:lang w:eastAsia="zh-TW"/>
        </w:rPr>
        <w:t xml:space="preserve">phenotype </w:t>
      </w:r>
      <w:r w:rsidR="00F54F1D" w:rsidRPr="004316A0">
        <w:rPr>
          <w:rFonts w:eastAsia="新細明體" w:cs="Arial"/>
          <w:bCs/>
          <w:lang w:eastAsia="zh-TW"/>
        </w:rPr>
        <w:t>characteristics. In the middle stage, the changes in DAN protein expression and neural function starts to decline, and the mice start to have small motor defects. In the late stage, mice show severe motor defects a</w:t>
      </w:r>
      <w:r w:rsidR="008918AC">
        <w:rPr>
          <w:rFonts w:eastAsia="新細明體" w:cs="Arial"/>
          <w:bCs/>
          <w:lang w:eastAsia="zh-TW"/>
        </w:rPr>
        <w:t>nd</w:t>
      </w:r>
      <w:r w:rsidR="000148E6">
        <w:rPr>
          <w:rFonts w:eastAsia="新細明體" w:cs="Arial"/>
          <w:bCs/>
          <w:lang w:eastAsia="zh-TW"/>
        </w:rPr>
        <w:t xml:space="preserve"> significant</w:t>
      </w:r>
      <w:r w:rsidR="008918AC">
        <w:rPr>
          <w:rFonts w:eastAsia="新細明體" w:cs="Arial"/>
          <w:bCs/>
          <w:lang w:eastAsia="zh-TW"/>
        </w:rPr>
        <w:t xml:space="preserve"> dopaminergic neuron loss. (</w:t>
      </w:r>
      <w:r w:rsidR="008918AC">
        <w:rPr>
          <w:rFonts w:eastAsia="新細明體" w:cs="Arial" w:hint="eastAsia"/>
          <w:bCs/>
          <w:lang w:eastAsia="zh-TW"/>
        </w:rPr>
        <w:t>B</w:t>
      </w:r>
      <w:r w:rsidR="00F54F1D" w:rsidRPr="004316A0">
        <w:rPr>
          <w:rFonts w:eastAsia="新細明體" w:cs="Arial"/>
          <w:bCs/>
          <w:lang w:eastAsia="zh-TW"/>
        </w:rPr>
        <w:t>) Schematic time line of biweekly administration of PT320 to MP animals and cellular as well as molecular tests.</w:t>
      </w:r>
    </w:p>
    <w:p w14:paraId="79C4AB6B" w14:textId="77777777" w:rsidR="00F54F1D" w:rsidRPr="004316A0" w:rsidRDefault="00F54F1D" w:rsidP="00F54F1D">
      <w:pPr>
        <w:rPr>
          <w:rFonts w:cs="Arial"/>
          <w:b/>
        </w:rPr>
      </w:pPr>
      <w:r w:rsidRPr="004316A0">
        <w:rPr>
          <w:rFonts w:cs="Arial"/>
        </w:rPr>
        <w:br w:type="page"/>
      </w:r>
    </w:p>
    <w:p w14:paraId="08F11CB0" w14:textId="77777777" w:rsidR="00F54F1D" w:rsidRPr="004316A0" w:rsidRDefault="008918AC" w:rsidP="00F54F1D">
      <w:pPr>
        <w:spacing w:line="480" w:lineRule="auto"/>
        <w:jc w:val="center"/>
        <w:rPr>
          <w:rFonts w:cs="Arial"/>
          <w:b/>
        </w:rPr>
      </w:pPr>
      <w:r>
        <w:rPr>
          <w:rFonts w:cs="Arial"/>
          <w:b/>
          <w:noProof/>
          <w:lang w:eastAsia="zh-TW"/>
        </w:rPr>
        <w:lastRenderedPageBreak/>
        <w:drawing>
          <wp:inline distT="0" distB="0" distL="0" distR="0" wp14:anchorId="335622CA" wp14:editId="0A817E9F">
            <wp:extent cx="5706110" cy="8224520"/>
            <wp:effectExtent l="0" t="0" r="889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6110" cy="8224520"/>
                    </a:xfrm>
                    <a:prstGeom prst="rect">
                      <a:avLst/>
                    </a:prstGeom>
                    <a:noFill/>
                  </pic:spPr>
                </pic:pic>
              </a:graphicData>
            </a:graphic>
          </wp:inline>
        </w:drawing>
      </w:r>
    </w:p>
    <w:p w14:paraId="24E6464F" w14:textId="77777777" w:rsidR="00F54F1D" w:rsidRPr="004316A0" w:rsidRDefault="00DE4090" w:rsidP="00F54F1D">
      <w:pPr>
        <w:spacing w:after="160" w:line="259" w:lineRule="auto"/>
        <w:jc w:val="both"/>
        <w:rPr>
          <w:rFonts w:eastAsia="新細明體" w:cs="Arial"/>
          <w:bCs/>
          <w:lang w:eastAsia="zh-TW"/>
        </w:rPr>
      </w:pPr>
      <w:r>
        <w:rPr>
          <w:rFonts w:eastAsia="新細明體" w:cs="Arial"/>
          <w:b/>
          <w:bCs/>
          <w:lang w:eastAsia="zh-TW"/>
        </w:rPr>
        <w:t>Supplementary Fig.</w:t>
      </w:r>
      <w:r w:rsidR="00F54F1D" w:rsidRPr="004316A0">
        <w:rPr>
          <w:rFonts w:eastAsia="新細明體" w:cs="Arial"/>
          <w:b/>
          <w:bCs/>
          <w:lang w:eastAsia="zh-TW"/>
        </w:rPr>
        <w:t xml:space="preserve"> 2</w:t>
      </w:r>
      <w:r w:rsidR="00F54F1D" w:rsidRPr="004316A0">
        <w:rPr>
          <w:rFonts w:eastAsia="新細明體" w:cs="Arial"/>
          <w:bCs/>
          <w:lang w:eastAsia="zh-TW"/>
        </w:rPr>
        <w:t xml:space="preserve"> The chemical reagents used in </w:t>
      </w:r>
      <w:proofErr w:type="spellStart"/>
      <w:r w:rsidR="00F54F1D" w:rsidRPr="004316A0">
        <w:rPr>
          <w:rFonts w:eastAsia="新細明體" w:cs="Arial"/>
          <w:bCs/>
          <w:lang w:eastAsia="zh-TW"/>
        </w:rPr>
        <w:t>Oroboros</w:t>
      </w:r>
      <w:proofErr w:type="spellEnd"/>
      <w:r w:rsidR="00F54F1D" w:rsidRPr="004316A0">
        <w:rPr>
          <w:rFonts w:eastAsia="新細明體" w:cs="Arial"/>
          <w:bCs/>
          <w:lang w:eastAsia="zh-TW"/>
        </w:rPr>
        <w:t xml:space="preserve"> O2k analysis a</w:t>
      </w:r>
      <w:r>
        <w:rPr>
          <w:rFonts w:eastAsia="新細明體" w:cs="Arial"/>
          <w:bCs/>
          <w:lang w:eastAsia="zh-TW"/>
        </w:rPr>
        <w:t>nd their diagrammed function</w:t>
      </w:r>
      <w:r w:rsidR="008918AC">
        <w:rPr>
          <w:rFonts w:eastAsia="新細明體" w:cs="Arial"/>
          <w:bCs/>
          <w:lang w:eastAsia="zh-TW"/>
        </w:rPr>
        <w:t>s (</w:t>
      </w:r>
      <w:r w:rsidR="008918AC">
        <w:rPr>
          <w:rFonts w:eastAsia="新細明體" w:cs="Arial" w:hint="eastAsia"/>
          <w:bCs/>
          <w:lang w:eastAsia="zh-TW"/>
        </w:rPr>
        <w:t>A</w:t>
      </w:r>
      <w:r w:rsidR="008918AC">
        <w:rPr>
          <w:rFonts w:eastAsia="新細明體" w:cs="Arial"/>
          <w:bCs/>
          <w:lang w:eastAsia="zh-TW"/>
        </w:rPr>
        <w:t>) as well as concentrations (</w:t>
      </w:r>
      <w:r w:rsidR="008918AC">
        <w:rPr>
          <w:rFonts w:eastAsia="新細明體" w:cs="Arial" w:hint="eastAsia"/>
          <w:bCs/>
          <w:lang w:eastAsia="zh-TW"/>
        </w:rPr>
        <w:t>B</w:t>
      </w:r>
      <w:r w:rsidR="00F54F1D" w:rsidRPr="004316A0">
        <w:rPr>
          <w:rFonts w:eastAsia="新細明體" w:cs="Arial"/>
          <w:bCs/>
          <w:lang w:eastAsia="zh-TW"/>
        </w:rPr>
        <w:t>).</w:t>
      </w:r>
    </w:p>
    <w:p w14:paraId="31240B48" w14:textId="77777777" w:rsidR="00F54F1D" w:rsidRPr="004316A0" w:rsidRDefault="00F54F1D" w:rsidP="00F54F1D">
      <w:pPr>
        <w:spacing w:line="480" w:lineRule="auto"/>
        <w:jc w:val="both"/>
        <w:rPr>
          <w:rFonts w:cs="Arial"/>
        </w:rPr>
      </w:pPr>
      <w:r w:rsidRPr="004316A0">
        <w:rPr>
          <w:rFonts w:cs="Arial"/>
          <w:noProof/>
          <w:lang w:eastAsia="zh-TW"/>
        </w:rPr>
        <w:drawing>
          <wp:inline distT="0" distB="0" distL="0" distR="0" wp14:anchorId="24E34812" wp14:editId="3E5097C2">
            <wp:extent cx="5268686" cy="3401355"/>
            <wp:effectExtent l="0" t="0" r="8255" b="8890"/>
            <wp:docPr id="1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8768" cy="3407864"/>
                    </a:xfrm>
                    <a:prstGeom prst="rect">
                      <a:avLst/>
                    </a:prstGeom>
                  </pic:spPr>
                </pic:pic>
              </a:graphicData>
            </a:graphic>
          </wp:inline>
        </w:drawing>
      </w:r>
    </w:p>
    <w:p w14:paraId="4ED1A70A" w14:textId="77777777" w:rsidR="00F54F1D" w:rsidRPr="004316A0" w:rsidRDefault="006936BD" w:rsidP="00F54F1D">
      <w:pPr>
        <w:spacing w:after="160" w:line="259" w:lineRule="auto"/>
        <w:jc w:val="both"/>
        <w:rPr>
          <w:rFonts w:eastAsia="新細明體" w:cs="Arial"/>
          <w:bCs/>
          <w:lang w:eastAsia="zh-TW"/>
        </w:rPr>
      </w:pPr>
      <w:r>
        <w:rPr>
          <w:rFonts w:eastAsia="新細明體" w:cs="Arial"/>
          <w:b/>
          <w:bCs/>
          <w:lang w:eastAsia="zh-TW"/>
        </w:rPr>
        <w:t>Supplementary Fig.</w:t>
      </w:r>
      <w:r w:rsidR="00F54F1D" w:rsidRPr="004316A0">
        <w:rPr>
          <w:rFonts w:eastAsia="新細明體" w:cs="Arial"/>
          <w:b/>
          <w:bCs/>
          <w:lang w:eastAsia="zh-TW"/>
        </w:rPr>
        <w:t xml:space="preserve"> 3</w:t>
      </w:r>
      <w:r w:rsidR="00F54F1D" w:rsidRPr="004316A0">
        <w:rPr>
          <w:rFonts w:eastAsia="新細明體" w:cs="Arial"/>
          <w:bCs/>
          <w:lang w:eastAsia="zh-TW"/>
        </w:rPr>
        <w:t xml:space="preserve"> </w:t>
      </w:r>
      <w:proofErr w:type="gramStart"/>
      <w:r w:rsidR="00F54F1D" w:rsidRPr="004316A0">
        <w:rPr>
          <w:rFonts w:eastAsia="新細明體" w:cs="Arial"/>
          <w:bCs/>
          <w:lang w:eastAsia="zh-TW"/>
        </w:rPr>
        <w:t>Principle</w:t>
      </w:r>
      <w:proofErr w:type="gramEnd"/>
      <w:r w:rsidR="00F54F1D" w:rsidRPr="004316A0">
        <w:rPr>
          <w:rFonts w:eastAsia="新細明體" w:cs="Arial"/>
          <w:bCs/>
          <w:lang w:eastAsia="zh-TW"/>
        </w:rPr>
        <w:t xml:space="preserve"> component analysis (PCA) of the indicated samples. The figure shows the genes’ distribution </w:t>
      </w:r>
      <w:r w:rsidR="000148E6">
        <w:rPr>
          <w:rFonts w:eastAsia="新細明體" w:cs="Arial"/>
          <w:bCs/>
          <w:lang w:eastAsia="zh-TW"/>
        </w:rPr>
        <w:t>in</w:t>
      </w:r>
      <w:r w:rsidR="000148E6" w:rsidRPr="004316A0">
        <w:rPr>
          <w:rFonts w:eastAsia="新細明體" w:cs="Arial"/>
          <w:bCs/>
          <w:lang w:eastAsia="zh-TW"/>
        </w:rPr>
        <w:t xml:space="preserve"> </w:t>
      </w:r>
      <w:r w:rsidR="00F54F1D" w:rsidRPr="004316A0">
        <w:rPr>
          <w:rFonts w:eastAsia="新細明體" w:cs="Arial"/>
          <w:bCs/>
          <w:lang w:eastAsia="zh-TW"/>
        </w:rPr>
        <w:t xml:space="preserve">samples; we used NGS analysis. The black (control) dots represent the WT mice, which are close together. The red (MP) dots are far from the control while the blue (PT320) dots are in </w:t>
      </w:r>
      <w:r w:rsidR="000148E6">
        <w:rPr>
          <w:rFonts w:eastAsia="新細明體" w:cs="Arial"/>
          <w:bCs/>
          <w:lang w:eastAsia="zh-TW"/>
        </w:rPr>
        <w:t xml:space="preserve">a </w:t>
      </w:r>
      <w:r w:rsidR="00F54F1D" w:rsidRPr="004316A0">
        <w:rPr>
          <w:rFonts w:eastAsia="新細明體" w:cs="Arial"/>
          <w:bCs/>
          <w:lang w:eastAsia="zh-TW"/>
        </w:rPr>
        <w:t>linear distribution and close to the control dots. This data indicates that PT320 administration affects the gene distribution in MP mice.</w:t>
      </w:r>
    </w:p>
    <w:p w14:paraId="5C021B53" w14:textId="77777777" w:rsidR="00F54F1D" w:rsidRPr="004316A0" w:rsidRDefault="00F54F1D" w:rsidP="00F54F1D">
      <w:pPr>
        <w:rPr>
          <w:rFonts w:cs="Arial"/>
        </w:rPr>
      </w:pPr>
      <w:r w:rsidRPr="004316A0">
        <w:rPr>
          <w:rFonts w:cs="Arial"/>
        </w:rPr>
        <w:br w:type="page"/>
      </w:r>
    </w:p>
    <w:p w14:paraId="57DF202F" w14:textId="77777777" w:rsidR="00F54F1D" w:rsidRPr="004316A0" w:rsidRDefault="008918AC" w:rsidP="00F54F1D">
      <w:pPr>
        <w:spacing w:line="480" w:lineRule="auto"/>
        <w:jc w:val="center"/>
        <w:rPr>
          <w:rFonts w:cs="Arial"/>
        </w:rPr>
      </w:pPr>
      <w:r>
        <w:rPr>
          <w:rFonts w:cs="Arial"/>
          <w:noProof/>
          <w:lang w:eastAsia="zh-TW"/>
        </w:rPr>
        <w:drawing>
          <wp:inline distT="0" distB="0" distL="0" distR="0" wp14:anchorId="34DAB050" wp14:editId="44AAC7CD">
            <wp:extent cx="5200694" cy="663702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11457" cy="6650756"/>
                    </a:xfrm>
                    <a:prstGeom prst="rect">
                      <a:avLst/>
                    </a:prstGeom>
                    <a:noFill/>
                  </pic:spPr>
                </pic:pic>
              </a:graphicData>
            </a:graphic>
          </wp:inline>
        </w:drawing>
      </w:r>
    </w:p>
    <w:p w14:paraId="25E28D88" w14:textId="77777777" w:rsidR="00F54F1D" w:rsidRPr="004316A0" w:rsidRDefault="006936BD" w:rsidP="00F54F1D">
      <w:pPr>
        <w:spacing w:after="160" w:line="259" w:lineRule="auto"/>
        <w:jc w:val="both"/>
        <w:rPr>
          <w:rFonts w:eastAsia="新細明體" w:cs="Arial"/>
          <w:bCs/>
          <w:lang w:eastAsia="zh-TW"/>
        </w:rPr>
      </w:pPr>
      <w:r>
        <w:rPr>
          <w:rFonts w:eastAsia="新細明體" w:cs="Arial"/>
          <w:b/>
          <w:bCs/>
          <w:lang w:eastAsia="zh-TW"/>
        </w:rPr>
        <w:t>Supplementary Fig.</w:t>
      </w:r>
      <w:r w:rsidR="00F54F1D" w:rsidRPr="004316A0">
        <w:rPr>
          <w:rFonts w:eastAsia="新細明體" w:cs="Arial"/>
          <w:b/>
          <w:bCs/>
          <w:lang w:eastAsia="zh-TW"/>
        </w:rPr>
        <w:t xml:space="preserve"> 4</w:t>
      </w:r>
      <w:r w:rsidR="00F54F1D" w:rsidRPr="004316A0">
        <w:rPr>
          <w:rFonts w:eastAsia="新細明體" w:cs="Arial"/>
          <w:bCs/>
          <w:lang w:eastAsia="zh-TW"/>
        </w:rPr>
        <w:t xml:space="preserve"> Using qPCR, the expression levels of genes associated with complex I, IV, and V in NGS were confirmed, revealing FDR p-values &lt; 0.05. However, qPCR analysis demonstrated no significant differences in the expression of these genes. This suggests that the regulation of mitochondrial function by PT320 may not occur directly through the modulation</w:t>
      </w:r>
      <w:r w:rsidR="008918AC">
        <w:rPr>
          <w:rFonts w:eastAsia="新細明體" w:cs="Arial"/>
          <w:bCs/>
          <w:lang w:eastAsia="zh-TW"/>
        </w:rPr>
        <w:t xml:space="preserve"> of complex-associated genes. (</w:t>
      </w:r>
      <w:r w:rsidR="008918AC">
        <w:rPr>
          <w:rFonts w:eastAsia="新細明體" w:cs="Arial" w:hint="eastAsia"/>
          <w:bCs/>
          <w:lang w:eastAsia="zh-TW"/>
        </w:rPr>
        <w:t>A</w:t>
      </w:r>
      <w:r w:rsidR="008918AC">
        <w:rPr>
          <w:rFonts w:eastAsia="新細明體" w:cs="Arial"/>
          <w:bCs/>
          <w:lang w:eastAsia="zh-TW"/>
        </w:rPr>
        <w:t>) complex I associated genes. (</w:t>
      </w:r>
      <w:r w:rsidR="008918AC">
        <w:rPr>
          <w:rFonts w:eastAsia="新細明體" w:cs="Arial" w:hint="eastAsia"/>
          <w:bCs/>
          <w:lang w:eastAsia="zh-TW"/>
        </w:rPr>
        <w:t>B</w:t>
      </w:r>
      <w:r w:rsidR="00F54F1D" w:rsidRPr="004316A0">
        <w:rPr>
          <w:rFonts w:eastAsia="新細明體" w:cs="Arial"/>
          <w:bCs/>
          <w:lang w:eastAsia="zh-TW"/>
        </w:rPr>
        <w:t>)</w:t>
      </w:r>
      <w:r w:rsidR="008918AC">
        <w:rPr>
          <w:rFonts w:eastAsia="新細明體" w:cs="Arial"/>
          <w:bCs/>
          <w:lang w:eastAsia="zh-TW"/>
        </w:rPr>
        <w:t xml:space="preserve"> complex IV associated genes. (</w:t>
      </w:r>
      <w:r w:rsidR="008918AC">
        <w:rPr>
          <w:rFonts w:eastAsia="新細明體" w:cs="Arial" w:hint="eastAsia"/>
          <w:bCs/>
          <w:lang w:eastAsia="zh-TW"/>
        </w:rPr>
        <w:t>C</w:t>
      </w:r>
      <w:r w:rsidR="00F54F1D" w:rsidRPr="004316A0">
        <w:rPr>
          <w:rFonts w:eastAsia="新細明體" w:cs="Arial"/>
          <w:bCs/>
          <w:lang w:eastAsia="zh-TW"/>
        </w:rPr>
        <w:t>) complex V associated genes. (N = 6).</w:t>
      </w:r>
    </w:p>
    <w:p w14:paraId="7F5C67CE" w14:textId="77777777" w:rsidR="00F54F1D" w:rsidRPr="004316A0" w:rsidRDefault="00F54F1D" w:rsidP="00F54F1D">
      <w:pPr>
        <w:spacing w:line="480" w:lineRule="auto"/>
        <w:jc w:val="both"/>
        <w:rPr>
          <w:rFonts w:cs="Arial"/>
        </w:rPr>
      </w:pPr>
      <w:r w:rsidRPr="004316A0">
        <w:rPr>
          <w:rFonts w:cs="Arial"/>
          <w:noProof/>
          <w:lang w:eastAsia="zh-TW"/>
        </w:rPr>
        <w:drawing>
          <wp:inline distT="0" distB="0" distL="0" distR="0" wp14:anchorId="66BFDC09" wp14:editId="696939EE">
            <wp:extent cx="5279571" cy="3287983"/>
            <wp:effectExtent l="0" t="0" r="0" b="8255"/>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00200" cy="3300830"/>
                    </a:xfrm>
                    <a:prstGeom prst="rect">
                      <a:avLst/>
                    </a:prstGeom>
                    <a:noFill/>
                  </pic:spPr>
                </pic:pic>
              </a:graphicData>
            </a:graphic>
          </wp:inline>
        </w:drawing>
      </w:r>
    </w:p>
    <w:p w14:paraId="17073C08" w14:textId="77777777" w:rsidR="00942047" w:rsidRDefault="008973FB" w:rsidP="00F54F1D">
      <w:pPr>
        <w:spacing w:after="160" w:line="259" w:lineRule="auto"/>
        <w:jc w:val="both"/>
        <w:rPr>
          <w:rFonts w:eastAsia="新細明體" w:cs="Arial"/>
          <w:bCs/>
          <w:lang w:eastAsia="zh-TW"/>
        </w:rPr>
      </w:pPr>
      <w:r>
        <w:rPr>
          <w:rFonts w:eastAsia="新細明體" w:cs="Arial"/>
          <w:b/>
          <w:bCs/>
          <w:lang w:eastAsia="zh-TW"/>
        </w:rPr>
        <w:t>Supplementary Fig.</w:t>
      </w:r>
      <w:r w:rsidR="00F54F1D" w:rsidRPr="004316A0">
        <w:rPr>
          <w:rFonts w:eastAsia="新細明體" w:cs="Arial"/>
          <w:b/>
          <w:bCs/>
          <w:lang w:eastAsia="zh-TW"/>
        </w:rPr>
        <w:t xml:space="preserve"> 5</w:t>
      </w:r>
      <w:r w:rsidR="00F54F1D" w:rsidRPr="004316A0">
        <w:rPr>
          <w:rFonts w:eastAsia="新細明體" w:cs="Arial"/>
          <w:bCs/>
          <w:lang w:eastAsia="zh-TW"/>
        </w:rPr>
        <w:t xml:space="preserve"> The heat map of mitochondrial morphology-related gene expression in NGS data.</w:t>
      </w:r>
    </w:p>
    <w:p w14:paraId="0B96AB7E" w14:textId="77777777" w:rsidR="00942047" w:rsidRDefault="00942047">
      <w:pPr>
        <w:rPr>
          <w:rFonts w:eastAsia="新細明體" w:cs="Arial"/>
          <w:bCs/>
          <w:lang w:eastAsia="zh-TW"/>
        </w:rPr>
      </w:pPr>
      <w:r>
        <w:rPr>
          <w:rFonts w:eastAsia="新細明體" w:cs="Arial"/>
          <w:bCs/>
          <w:lang w:eastAsia="zh-TW"/>
        </w:rPr>
        <w:br w:type="page"/>
      </w:r>
    </w:p>
    <w:p w14:paraId="2E3DB72C" w14:textId="77777777" w:rsidR="00F54F1D" w:rsidRDefault="00942047" w:rsidP="00942047">
      <w:pPr>
        <w:spacing w:after="160" w:line="259" w:lineRule="auto"/>
        <w:jc w:val="center"/>
        <w:rPr>
          <w:rFonts w:eastAsia="新細明體" w:cs="Arial"/>
          <w:bCs/>
          <w:lang w:eastAsia="zh-TW"/>
        </w:rPr>
      </w:pPr>
      <w:r>
        <w:rPr>
          <w:rFonts w:eastAsia="新細明體" w:cs="Arial"/>
          <w:bCs/>
          <w:noProof/>
          <w:lang w:eastAsia="zh-TW"/>
        </w:rPr>
        <w:drawing>
          <wp:inline distT="0" distB="0" distL="0" distR="0" wp14:anchorId="04E0588D" wp14:editId="2DB1BAB8">
            <wp:extent cx="4810125" cy="460883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4608830"/>
                    </a:xfrm>
                    <a:prstGeom prst="rect">
                      <a:avLst/>
                    </a:prstGeom>
                    <a:noFill/>
                  </pic:spPr>
                </pic:pic>
              </a:graphicData>
            </a:graphic>
          </wp:inline>
        </w:drawing>
      </w:r>
    </w:p>
    <w:p w14:paraId="10A8E7E2" w14:textId="77777777" w:rsidR="00942047" w:rsidRPr="00942047" w:rsidRDefault="00942047" w:rsidP="00942047">
      <w:pPr>
        <w:spacing w:after="160" w:line="259" w:lineRule="auto"/>
        <w:jc w:val="both"/>
        <w:rPr>
          <w:rFonts w:eastAsia="新細明體" w:cs="Arial"/>
          <w:bCs/>
          <w:lang w:eastAsia="zh-TW"/>
        </w:rPr>
      </w:pPr>
      <w:r>
        <w:rPr>
          <w:rFonts w:eastAsia="新細明體" w:cs="Arial"/>
          <w:b/>
          <w:bCs/>
          <w:lang w:eastAsia="zh-TW"/>
        </w:rPr>
        <w:t>Supplementary Fig. 6</w:t>
      </w:r>
      <w:r w:rsidRPr="004316A0">
        <w:rPr>
          <w:rFonts w:eastAsia="新細明體" w:cs="Arial"/>
          <w:bCs/>
          <w:lang w:eastAsia="zh-TW"/>
        </w:rPr>
        <w:t xml:space="preserve"> </w:t>
      </w:r>
      <w:r w:rsidRPr="00942047">
        <w:rPr>
          <w:rFonts w:eastAsia="新細明體" w:cs="Arial"/>
          <w:bCs/>
          <w:lang w:eastAsia="zh-TW"/>
        </w:rPr>
        <w:t>Protein expression of GLP1R, FIS1, and OPA1 in N27 cells after 6-OHDA damage and Ex4 treatment.</w:t>
      </w:r>
      <w:r w:rsidR="00FB61B7">
        <w:rPr>
          <w:rFonts w:eastAsia="新細明體" w:cs="Arial" w:hint="eastAsia"/>
          <w:bCs/>
          <w:lang w:eastAsia="zh-TW"/>
        </w:rPr>
        <w:t xml:space="preserve"> </w:t>
      </w:r>
      <w:r w:rsidR="000148E6">
        <w:rPr>
          <w:rFonts w:eastAsia="新細明體" w:cs="Arial"/>
          <w:bCs/>
          <w:lang w:eastAsia="zh-TW"/>
        </w:rPr>
        <w:t xml:space="preserve">A) Western blots, B) Bar graphs of data and statistics. </w:t>
      </w:r>
      <w:r w:rsidR="00FB61B7" w:rsidRPr="00FB61B7">
        <w:rPr>
          <w:rFonts w:eastAsia="新細明體" w:cs="Arial"/>
          <w:bCs/>
          <w:lang w:eastAsia="zh-TW"/>
        </w:rPr>
        <w:t>One-way analysis of variance (ANOVA) followed by Bonferroni post hoc test for multiple comparisons. WT vs M</w:t>
      </w:r>
      <w:r w:rsidR="00FB61B7">
        <w:rPr>
          <w:rFonts w:eastAsia="新細明體" w:cs="Arial"/>
          <w:bCs/>
          <w:lang w:eastAsia="zh-TW"/>
        </w:rPr>
        <w:t xml:space="preserve">P or MP+PT320: *, p &lt; 0.01; </w:t>
      </w:r>
      <w:r w:rsidR="00FB61B7" w:rsidRPr="00FB61B7">
        <w:rPr>
          <w:rFonts w:eastAsia="新細明體" w:cs="Arial"/>
          <w:bCs/>
          <w:lang w:eastAsia="zh-TW"/>
        </w:rPr>
        <w:t>***, p &lt; 0.001</w:t>
      </w:r>
      <w:r w:rsidR="00FB61B7">
        <w:rPr>
          <w:rFonts w:eastAsia="新細明體" w:cs="Arial" w:hint="eastAsia"/>
          <w:bCs/>
          <w:lang w:eastAsia="zh-TW"/>
        </w:rPr>
        <w:t>.</w:t>
      </w:r>
    </w:p>
    <w:p w14:paraId="3AD474DC" w14:textId="77777777" w:rsidR="00F54F1D" w:rsidRPr="004316A0" w:rsidRDefault="00F54F1D" w:rsidP="00F54F1D">
      <w:pPr>
        <w:rPr>
          <w:rFonts w:cs="Arial"/>
        </w:rPr>
      </w:pPr>
      <w:r w:rsidRPr="004316A0">
        <w:rPr>
          <w:rFonts w:cs="Arial"/>
        </w:rPr>
        <w:br w:type="page"/>
      </w:r>
    </w:p>
    <w:p w14:paraId="0393F8C3" w14:textId="77777777" w:rsidR="00F54F1D" w:rsidRPr="004316A0" w:rsidRDefault="00F54F1D" w:rsidP="00F54F1D">
      <w:pPr>
        <w:spacing w:after="160" w:line="259" w:lineRule="auto"/>
        <w:jc w:val="both"/>
        <w:rPr>
          <w:rFonts w:eastAsia="新細明體" w:cs="Arial"/>
          <w:bCs/>
          <w:lang w:eastAsia="zh-TW"/>
        </w:rPr>
      </w:pPr>
      <w:r w:rsidRPr="004316A0">
        <w:rPr>
          <w:rFonts w:eastAsia="新細明體" w:cs="Arial" w:hint="eastAsia"/>
          <w:b/>
          <w:bCs/>
          <w:lang w:eastAsia="zh-TW"/>
        </w:rPr>
        <w:t>S</w:t>
      </w:r>
      <w:r w:rsidRPr="004316A0">
        <w:rPr>
          <w:rFonts w:eastAsia="新細明體" w:cs="Arial"/>
          <w:b/>
          <w:bCs/>
          <w:lang w:eastAsia="zh-TW"/>
        </w:rPr>
        <w:t>upplementary Table 1</w:t>
      </w:r>
      <w:r w:rsidRPr="004316A0">
        <w:rPr>
          <w:rFonts w:eastAsia="新細明體" w:cs="Arial"/>
          <w:bCs/>
          <w:lang w:eastAsia="zh-TW"/>
        </w:rPr>
        <w:t xml:space="preserve"> Primers used for mitochondrial complex I-V and mitochondrial morphology control genes.</w:t>
      </w:r>
    </w:p>
    <w:p w14:paraId="5EBB0656" w14:textId="77777777" w:rsidR="00F54F1D" w:rsidRPr="004316A0" w:rsidRDefault="008918AC" w:rsidP="00F54F1D">
      <w:pPr>
        <w:spacing w:line="480" w:lineRule="auto"/>
        <w:jc w:val="center"/>
        <w:rPr>
          <w:rFonts w:cs="Arial"/>
        </w:rPr>
      </w:pPr>
      <w:r>
        <w:rPr>
          <w:rFonts w:cs="Arial"/>
          <w:noProof/>
          <w:lang w:eastAsia="zh-TW"/>
        </w:rPr>
        <w:drawing>
          <wp:inline distT="0" distB="0" distL="0" distR="0" wp14:anchorId="1654DFBE" wp14:editId="511826A8">
            <wp:extent cx="5293360" cy="6111857"/>
            <wp:effectExtent l="0" t="0" r="2540" b="381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3641" cy="6123728"/>
                    </a:xfrm>
                    <a:prstGeom prst="rect">
                      <a:avLst/>
                    </a:prstGeom>
                    <a:noFill/>
                  </pic:spPr>
                </pic:pic>
              </a:graphicData>
            </a:graphic>
          </wp:inline>
        </w:drawing>
      </w:r>
    </w:p>
    <w:p w14:paraId="47EF059B" w14:textId="77777777" w:rsidR="00000000" w:rsidRDefault="00000000"/>
    <w:sectPr w:rsidR="001F25FE">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335B9" w14:textId="77777777" w:rsidR="00C810D3" w:rsidRDefault="00C810D3" w:rsidP="00A73A10">
      <w:r>
        <w:separator/>
      </w:r>
    </w:p>
  </w:endnote>
  <w:endnote w:type="continuationSeparator" w:id="0">
    <w:p w14:paraId="3A62EFBE" w14:textId="77777777" w:rsidR="00C810D3" w:rsidRDefault="00C810D3" w:rsidP="00A73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1D212D" w14:textId="77777777" w:rsidR="00C810D3" w:rsidRDefault="00C810D3" w:rsidP="00A73A10">
      <w:r>
        <w:separator/>
      </w:r>
    </w:p>
  </w:footnote>
  <w:footnote w:type="continuationSeparator" w:id="0">
    <w:p w14:paraId="541DEE32" w14:textId="77777777" w:rsidR="00C810D3" w:rsidRDefault="00C810D3" w:rsidP="00A73A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trackRevisions/>
  <w:defaultTabStop w:val="480"/>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F1D"/>
    <w:rsid w:val="000148E6"/>
    <w:rsid w:val="00090A42"/>
    <w:rsid w:val="001E1B70"/>
    <w:rsid w:val="002608A8"/>
    <w:rsid w:val="00395743"/>
    <w:rsid w:val="003A01F2"/>
    <w:rsid w:val="00621608"/>
    <w:rsid w:val="00636D12"/>
    <w:rsid w:val="006936BD"/>
    <w:rsid w:val="008918AC"/>
    <w:rsid w:val="008973FB"/>
    <w:rsid w:val="00942047"/>
    <w:rsid w:val="00A73A10"/>
    <w:rsid w:val="00C810D3"/>
    <w:rsid w:val="00D17436"/>
    <w:rsid w:val="00DE4090"/>
    <w:rsid w:val="00E77125"/>
    <w:rsid w:val="00E851D0"/>
    <w:rsid w:val="00F54F1D"/>
    <w:rsid w:val="00FB61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D90037"/>
  <w15:chartTrackingRefBased/>
  <w15:docId w15:val="{C657230F-E73D-4586-8C18-F8BDA06E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4F1D"/>
    <w:rPr>
      <w:rFonts w:ascii="Times New Roman" w:eastAsia="Times New Roman" w:hAnsi="Times New Roman" w:cs="Times New Roman"/>
      <w:kern w:val="0"/>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3A10"/>
    <w:pPr>
      <w:tabs>
        <w:tab w:val="center" w:pos="4153"/>
        <w:tab w:val="right" w:pos="8306"/>
      </w:tabs>
      <w:snapToGrid w:val="0"/>
    </w:pPr>
    <w:rPr>
      <w:sz w:val="20"/>
      <w:szCs w:val="20"/>
    </w:rPr>
  </w:style>
  <w:style w:type="character" w:customStyle="1" w:styleId="a4">
    <w:name w:val="頁首 字元"/>
    <w:basedOn w:val="a0"/>
    <w:link w:val="a3"/>
    <w:uiPriority w:val="99"/>
    <w:rsid w:val="00A73A10"/>
    <w:rPr>
      <w:rFonts w:ascii="Times New Roman" w:eastAsia="Times New Roman" w:hAnsi="Times New Roman" w:cs="Times New Roman"/>
      <w:kern w:val="0"/>
      <w:sz w:val="20"/>
      <w:szCs w:val="20"/>
      <w:lang w:eastAsia="en-US"/>
    </w:rPr>
  </w:style>
  <w:style w:type="paragraph" w:styleId="a5">
    <w:name w:val="footer"/>
    <w:basedOn w:val="a"/>
    <w:link w:val="a6"/>
    <w:uiPriority w:val="99"/>
    <w:unhideWhenUsed/>
    <w:rsid w:val="00A73A10"/>
    <w:pPr>
      <w:tabs>
        <w:tab w:val="center" w:pos="4153"/>
        <w:tab w:val="right" w:pos="8306"/>
      </w:tabs>
      <w:snapToGrid w:val="0"/>
    </w:pPr>
    <w:rPr>
      <w:sz w:val="20"/>
      <w:szCs w:val="20"/>
    </w:rPr>
  </w:style>
  <w:style w:type="character" w:customStyle="1" w:styleId="a6">
    <w:name w:val="頁尾 字元"/>
    <w:basedOn w:val="a0"/>
    <w:link w:val="a5"/>
    <w:uiPriority w:val="99"/>
    <w:rsid w:val="00A73A10"/>
    <w:rPr>
      <w:rFonts w:ascii="Times New Roman" w:eastAsia="Times New Roman" w:hAnsi="Times New Roman" w:cs="Times New Roman"/>
      <w:kern w:val="0"/>
      <w:sz w:val="20"/>
      <w:szCs w:val="20"/>
      <w:lang w:eastAsia="en-US"/>
    </w:rPr>
  </w:style>
  <w:style w:type="paragraph" w:styleId="a7">
    <w:name w:val="Revision"/>
    <w:hidden/>
    <w:uiPriority w:val="99"/>
    <w:semiHidden/>
    <w:rsid w:val="003A01F2"/>
    <w:rPr>
      <w:rFonts w:ascii="Times New Roman" w:eastAsia="Times New Roman" w:hAnsi="Times New Roman" w:cs="Times New Roman"/>
      <w:kern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336</Words>
  <Characters>1916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王菁</dc:creator>
  <cp:keywords/>
  <dc:description/>
  <cp:lastModifiedBy>Chen YH</cp:lastModifiedBy>
  <cp:revision>2</cp:revision>
  <dcterms:created xsi:type="dcterms:W3CDTF">2024-02-23T15:18:00Z</dcterms:created>
  <dcterms:modified xsi:type="dcterms:W3CDTF">2024-02-23T15:18:00Z</dcterms:modified>
</cp:coreProperties>
</file>