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5C3" w:rsidRPr="002607A4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 w:val="28"/>
          <w:szCs w:val="24"/>
        </w:rPr>
      </w:pPr>
      <w:r w:rsidRPr="002607A4">
        <w:rPr>
          <w:rFonts w:cstheme="minorHAnsi"/>
          <w:b/>
          <w:noProof/>
          <w:color w:val="000000" w:themeColor="text1"/>
          <w:sz w:val="32"/>
          <w:szCs w:val="24"/>
        </w:rPr>
        <w:t xml:space="preserve">Supplemental </w:t>
      </w:r>
      <w:r w:rsidR="00702C49" w:rsidRPr="002607A4">
        <w:rPr>
          <w:rFonts w:cstheme="minorHAnsi" w:hint="eastAsia"/>
          <w:b/>
          <w:noProof/>
          <w:color w:val="000000" w:themeColor="text1"/>
          <w:sz w:val="32"/>
          <w:szCs w:val="24"/>
        </w:rPr>
        <w:t>I</w:t>
      </w:r>
      <w:r w:rsidRPr="002607A4">
        <w:rPr>
          <w:rFonts w:cstheme="minorHAnsi"/>
          <w:b/>
          <w:noProof/>
          <w:color w:val="000000" w:themeColor="text1"/>
          <w:sz w:val="32"/>
          <w:szCs w:val="24"/>
        </w:rPr>
        <w:t>nformation</w:t>
      </w: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702C49" w:rsidRPr="00BC51D9" w:rsidRDefault="00702C49" w:rsidP="00702C49">
      <w:pPr>
        <w:adjustRightInd w:val="0"/>
        <w:snapToGrid w:val="0"/>
        <w:spacing w:line="480" w:lineRule="auto"/>
        <w:jc w:val="both"/>
        <w:rPr>
          <w:rFonts w:cstheme="minorHAnsi"/>
          <w:b/>
          <w:color w:val="000000" w:themeColor="text1"/>
          <w:szCs w:val="24"/>
        </w:rPr>
      </w:pPr>
      <w:r w:rsidRPr="00BC51D9">
        <w:rPr>
          <w:rFonts w:cstheme="minorHAnsi"/>
          <w:b/>
          <w:color w:val="000000" w:themeColor="text1"/>
          <w:szCs w:val="24"/>
        </w:rPr>
        <w:t>SARS-CoV-2 Membrane Protein Recruits PP2A to Dephosphorylate the Nucleocapsid and Promote Virion Production</w:t>
      </w:r>
    </w:p>
    <w:p w:rsidR="00B825C3" w:rsidRPr="00BC51D9" w:rsidRDefault="00B825C3" w:rsidP="00B825C3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702C49" w:rsidRPr="00BC51D9" w:rsidRDefault="00702C49" w:rsidP="00702C49">
      <w:pPr>
        <w:adjustRightInd w:val="0"/>
        <w:snapToGrid w:val="0"/>
        <w:spacing w:line="480" w:lineRule="auto"/>
        <w:jc w:val="both"/>
        <w:rPr>
          <w:rFonts w:cstheme="minorHAnsi"/>
          <w:b/>
          <w:color w:val="000000" w:themeColor="text1"/>
          <w:szCs w:val="24"/>
        </w:rPr>
      </w:pPr>
      <w:r w:rsidRPr="00BC51D9">
        <w:rPr>
          <w:rFonts w:cstheme="minorHAnsi"/>
          <w:b/>
          <w:color w:val="000000" w:themeColor="text1"/>
          <w:szCs w:val="24"/>
        </w:rPr>
        <w:t>Authors</w:t>
      </w:r>
    </w:p>
    <w:p w:rsidR="00B825C3" w:rsidRPr="00BC51D9" w:rsidRDefault="00B825C3" w:rsidP="00B825C3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noProof/>
          <w:color w:val="000000" w:themeColor="text1"/>
          <w:szCs w:val="24"/>
        </w:rPr>
        <w:t>Sheng-Han Wang, Tai-Ling Chao, Chi-Ling Hsieh, Pei-Jer Chen, Sui-Yuan Chang, and Shiou-Hwei Yeh</w:t>
      </w: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D61D52" w:rsidRPr="00BC51D9" w:rsidRDefault="00D61D52" w:rsidP="00D61D5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 w:hint="eastAsia"/>
          <w:b/>
          <w:noProof/>
          <w:color w:val="000000" w:themeColor="text1"/>
          <w:szCs w:val="24"/>
        </w:rPr>
        <w:lastRenderedPageBreak/>
        <w:t>Supplementary Materials and Methods</w:t>
      </w:r>
    </w:p>
    <w:p w:rsidR="000D0DBC" w:rsidRPr="00BC51D9" w:rsidRDefault="000D0DBC" w:rsidP="000D0DBC">
      <w:pPr>
        <w:widowControl/>
        <w:spacing w:line="360" w:lineRule="auto"/>
        <w:jc w:val="both"/>
        <w:rPr>
          <w:rFonts w:cstheme="minorHAnsi"/>
          <w:b/>
          <w:i/>
          <w:color w:val="000000" w:themeColor="text1"/>
          <w:szCs w:val="24"/>
        </w:rPr>
      </w:pPr>
      <w:r w:rsidRPr="00BC51D9">
        <w:rPr>
          <w:rFonts w:cstheme="minorHAnsi"/>
          <w:b/>
          <w:i/>
          <w:color w:val="000000" w:themeColor="text1"/>
          <w:szCs w:val="24"/>
        </w:rPr>
        <w:t>Transmission Electron Microscopy</w:t>
      </w:r>
    </w:p>
    <w:p w:rsidR="000D0DBC" w:rsidRPr="00BC51D9" w:rsidRDefault="000D0DBC" w:rsidP="001B1F09">
      <w:pPr>
        <w:widowControl/>
        <w:spacing w:line="360" w:lineRule="auto"/>
        <w:ind w:firstLineChars="200" w:firstLine="480"/>
        <w:jc w:val="both"/>
        <w:rPr>
          <w:rFonts w:cstheme="minorHAnsi"/>
          <w:color w:val="000000" w:themeColor="text1"/>
          <w:szCs w:val="24"/>
        </w:rPr>
      </w:pPr>
      <w:r w:rsidRPr="00BC51D9">
        <w:rPr>
          <w:rFonts w:cstheme="minorHAnsi"/>
          <w:color w:val="000000" w:themeColor="text1"/>
          <w:szCs w:val="24"/>
        </w:rPr>
        <w:t>The VLP precipitates prepared from cu</w:t>
      </w:r>
      <w:r w:rsidR="002607A4">
        <w:rPr>
          <w:rFonts w:cstheme="minorHAnsi"/>
          <w:color w:val="000000" w:themeColor="text1"/>
          <w:szCs w:val="24"/>
        </w:rPr>
        <w:t>shioned media as described in the main text</w:t>
      </w:r>
      <w:r w:rsidRPr="00BC51D9">
        <w:rPr>
          <w:rFonts w:cstheme="minorHAnsi"/>
          <w:color w:val="000000" w:themeColor="text1"/>
          <w:szCs w:val="24"/>
        </w:rPr>
        <w:t xml:space="preserve"> were fixed by adding a mixture of </w:t>
      </w:r>
      <w:r w:rsidR="002607A4">
        <w:rPr>
          <w:rFonts w:cstheme="minorHAnsi"/>
          <w:color w:val="000000" w:themeColor="text1"/>
          <w:szCs w:val="24"/>
        </w:rPr>
        <w:t>g</w:t>
      </w:r>
      <w:r w:rsidRPr="00BC51D9">
        <w:rPr>
          <w:rFonts w:cstheme="minorHAnsi"/>
          <w:color w:val="000000" w:themeColor="text1"/>
          <w:szCs w:val="24"/>
        </w:rPr>
        <w:t xml:space="preserve">lutaraldehyde and </w:t>
      </w:r>
      <w:r w:rsidR="002607A4">
        <w:rPr>
          <w:rFonts w:cstheme="minorHAnsi"/>
          <w:color w:val="000000" w:themeColor="text1"/>
          <w:szCs w:val="24"/>
        </w:rPr>
        <w:t>p</w:t>
      </w:r>
      <w:r w:rsidRPr="00BC51D9">
        <w:rPr>
          <w:rFonts w:cstheme="minorHAnsi"/>
          <w:color w:val="000000" w:themeColor="text1"/>
          <w:szCs w:val="24"/>
        </w:rPr>
        <w:t>araformaldehyde to final concentrations of 2% and 2%, respectively, and incubated overnight at 4</w:t>
      </w:r>
      <w:r w:rsidRPr="00BC51D9">
        <w:rPr>
          <w:rFonts w:ascii="Times New Roman" w:hAnsi="Times New Roman" w:cs="Times New Roman"/>
          <w:color w:val="000000" w:themeColor="text1"/>
          <w:szCs w:val="24"/>
        </w:rPr>
        <w:t>°</w:t>
      </w:r>
      <w:r w:rsidRPr="00BC51D9">
        <w:rPr>
          <w:rFonts w:cstheme="minorHAnsi"/>
          <w:color w:val="000000" w:themeColor="text1"/>
          <w:szCs w:val="24"/>
        </w:rPr>
        <w:t>C to preserve particle morphology. An aliquot of the fixed sample was then applied onto carbon-coated copper grids and allowed to adsorb for several minutes. Excess liquid was removed with filter paper, and the grids were negatively stained with 1–2% Uranyl acetate to enhance contrast. After air drying, the grids were examined using a transmission electron microscope (TEM) operated at an appropriate accelerating voltage. Micrographs of VLPs were acquired to assess the morphology and approximate size distribution.</w:t>
      </w:r>
    </w:p>
    <w:p w:rsidR="000D0DBC" w:rsidRPr="00BC51D9" w:rsidRDefault="000D0DBC" w:rsidP="000D0DBC">
      <w:pPr>
        <w:widowControl/>
        <w:spacing w:line="360" w:lineRule="auto"/>
        <w:jc w:val="both"/>
        <w:rPr>
          <w:rFonts w:cstheme="minorHAnsi"/>
          <w:b/>
          <w:color w:val="000000" w:themeColor="text1"/>
          <w:szCs w:val="24"/>
        </w:rPr>
      </w:pPr>
    </w:p>
    <w:p w:rsidR="000D0DBC" w:rsidRPr="00BC51D9" w:rsidRDefault="000D0DBC" w:rsidP="000D0DBC">
      <w:pPr>
        <w:widowControl/>
        <w:spacing w:line="360" w:lineRule="auto"/>
        <w:jc w:val="both"/>
        <w:rPr>
          <w:rFonts w:cstheme="minorHAnsi"/>
          <w:b/>
          <w:color w:val="000000" w:themeColor="text1"/>
          <w:szCs w:val="24"/>
        </w:rPr>
      </w:pPr>
      <w:r w:rsidRPr="00BC51D9">
        <w:rPr>
          <w:rFonts w:cstheme="minorHAnsi"/>
          <w:b/>
          <w:color w:val="000000" w:themeColor="text1"/>
          <w:szCs w:val="24"/>
        </w:rPr>
        <w:t>Immunofluorescence Staining</w:t>
      </w:r>
    </w:p>
    <w:p w:rsidR="001B1F09" w:rsidRPr="00BC51D9" w:rsidRDefault="001B1F09" w:rsidP="00F52FAC">
      <w:pPr>
        <w:widowControl/>
        <w:spacing w:line="360" w:lineRule="auto"/>
        <w:ind w:firstLineChars="200" w:firstLine="480"/>
        <w:jc w:val="both"/>
        <w:rPr>
          <w:rFonts w:cstheme="minorHAnsi"/>
          <w:color w:val="000000" w:themeColor="text1"/>
          <w:szCs w:val="24"/>
        </w:rPr>
      </w:pPr>
      <w:r w:rsidRPr="00BC51D9">
        <w:rPr>
          <w:rFonts w:cstheme="minorHAnsi"/>
          <w:color w:val="000000" w:themeColor="text1"/>
          <w:szCs w:val="24"/>
        </w:rPr>
        <w:t xml:space="preserve">For immunofluorescence (IF) staining, the </w:t>
      </w:r>
      <w:r w:rsidR="000D0DBC" w:rsidRPr="00BC51D9">
        <w:rPr>
          <w:rFonts w:cstheme="minorHAnsi"/>
          <w:color w:val="000000" w:themeColor="text1"/>
          <w:szCs w:val="24"/>
        </w:rPr>
        <w:t xml:space="preserve">Huh7 cells </w:t>
      </w:r>
      <w:r w:rsidRPr="00BC51D9">
        <w:rPr>
          <w:rFonts w:cstheme="minorHAnsi"/>
          <w:color w:val="000000" w:themeColor="text1"/>
          <w:szCs w:val="24"/>
        </w:rPr>
        <w:t>cultured on glass coverslips and transfected with plasmids encoding the viral</w:t>
      </w:r>
      <w:r w:rsidR="000D0DBC" w:rsidRPr="00BC51D9">
        <w:rPr>
          <w:rFonts w:cstheme="minorHAnsi"/>
          <w:color w:val="000000" w:themeColor="text1"/>
          <w:szCs w:val="24"/>
        </w:rPr>
        <w:t xml:space="preserve"> N/M proteins </w:t>
      </w:r>
      <w:r w:rsidR="00F52FAC" w:rsidRPr="00BC51D9">
        <w:rPr>
          <w:rFonts w:cstheme="minorHAnsi"/>
          <w:noProof/>
          <w:color w:val="000000" w:themeColor="text1"/>
          <w:szCs w:val="24"/>
        </w:rPr>
        <w:t xml:space="preserve">(a molar ratio of 1:3) </w:t>
      </w:r>
      <w:r w:rsidRPr="00BC51D9">
        <w:rPr>
          <w:rFonts w:cstheme="minorHAnsi"/>
          <w:color w:val="000000" w:themeColor="text1"/>
          <w:szCs w:val="24"/>
        </w:rPr>
        <w:t>a</w:t>
      </w:r>
      <w:r w:rsidR="000D0DBC" w:rsidRPr="00BC51D9">
        <w:rPr>
          <w:rFonts w:cstheme="minorHAnsi"/>
          <w:color w:val="000000" w:themeColor="text1"/>
          <w:szCs w:val="24"/>
        </w:rPr>
        <w:t xml:space="preserve">t </w:t>
      </w:r>
      <w:r w:rsidRPr="00BC51D9">
        <w:rPr>
          <w:rFonts w:cstheme="minorHAnsi"/>
          <w:color w:val="000000" w:themeColor="text1"/>
          <w:szCs w:val="24"/>
        </w:rPr>
        <w:t xml:space="preserve">30 or </w:t>
      </w:r>
      <w:r w:rsidR="000D0DBC" w:rsidRPr="00BC51D9">
        <w:rPr>
          <w:rFonts w:cstheme="minorHAnsi"/>
          <w:color w:val="000000" w:themeColor="text1"/>
          <w:szCs w:val="24"/>
        </w:rPr>
        <w:t xml:space="preserve">48 hrs post-transfection were washed with </w:t>
      </w:r>
      <w:r w:rsidR="00055BDB">
        <w:rPr>
          <w:rFonts w:cstheme="minorHAnsi"/>
          <w:color w:val="000000" w:themeColor="text1"/>
          <w:szCs w:val="24"/>
        </w:rPr>
        <w:t>p</w:t>
      </w:r>
      <w:r w:rsidR="00055BDB" w:rsidRPr="00055BDB">
        <w:rPr>
          <w:rFonts w:cstheme="minorHAnsi"/>
          <w:color w:val="000000" w:themeColor="text1"/>
          <w:szCs w:val="24"/>
        </w:rPr>
        <w:t xml:space="preserve">hosphate buffered saline </w:t>
      </w:r>
      <w:r w:rsidR="00055BDB">
        <w:rPr>
          <w:rFonts w:cstheme="minorHAnsi"/>
          <w:color w:val="000000" w:themeColor="text1"/>
          <w:szCs w:val="24"/>
        </w:rPr>
        <w:t>(</w:t>
      </w:r>
      <w:r w:rsidR="000D0DBC" w:rsidRPr="00BC51D9">
        <w:rPr>
          <w:rFonts w:cstheme="minorHAnsi"/>
          <w:color w:val="000000" w:themeColor="text1"/>
          <w:szCs w:val="24"/>
        </w:rPr>
        <w:t>PBS</w:t>
      </w:r>
      <w:r w:rsidR="00055BDB">
        <w:rPr>
          <w:rFonts w:cstheme="minorHAnsi"/>
          <w:color w:val="000000" w:themeColor="text1"/>
          <w:szCs w:val="24"/>
        </w:rPr>
        <w:t>)</w:t>
      </w:r>
      <w:r w:rsidR="000D0DBC" w:rsidRPr="00BC51D9">
        <w:rPr>
          <w:rFonts w:cstheme="minorHAnsi"/>
          <w:color w:val="000000" w:themeColor="text1"/>
          <w:szCs w:val="24"/>
        </w:rPr>
        <w:t xml:space="preserve"> and fixed with 4% </w:t>
      </w:r>
      <w:r w:rsidR="00055BDB">
        <w:rPr>
          <w:rFonts w:cstheme="minorHAnsi"/>
          <w:color w:val="000000" w:themeColor="text1"/>
          <w:szCs w:val="24"/>
        </w:rPr>
        <w:t>p</w:t>
      </w:r>
      <w:r w:rsidR="000D0DBC" w:rsidRPr="00BC51D9">
        <w:rPr>
          <w:rFonts w:cstheme="minorHAnsi"/>
          <w:color w:val="000000" w:themeColor="text1"/>
          <w:szCs w:val="24"/>
        </w:rPr>
        <w:t xml:space="preserve">araformaldehyde for 10 min at room temperature. After fixation, cells were permeabilized with 0.2% Triton X-100 in PBS for 15 min and subsequently blocked with 5% </w:t>
      </w:r>
      <w:r w:rsidR="00F0266D">
        <w:rPr>
          <w:rFonts w:cstheme="minorHAnsi"/>
          <w:color w:val="000000" w:themeColor="text1"/>
          <w:szCs w:val="24"/>
        </w:rPr>
        <w:t>f</w:t>
      </w:r>
      <w:r w:rsidR="00F0266D" w:rsidRPr="00F0266D">
        <w:rPr>
          <w:rFonts w:cstheme="minorHAnsi"/>
          <w:color w:val="000000" w:themeColor="text1"/>
          <w:szCs w:val="24"/>
        </w:rPr>
        <w:t xml:space="preserve">etal </w:t>
      </w:r>
      <w:r w:rsidR="00F0266D">
        <w:rPr>
          <w:rFonts w:cstheme="minorHAnsi"/>
          <w:color w:val="000000" w:themeColor="text1"/>
          <w:szCs w:val="24"/>
        </w:rPr>
        <w:t>b</w:t>
      </w:r>
      <w:r w:rsidR="00F0266D" w:rsidRPr="00F0266D">
        <w:rPr>
          <w:rFonts w:cstheme="minorHAnsi"/>
          <w:color w:val="000000" w:themeColor="text1"/>
          <w:szCs w:val="24"/>
        </w:rPr>
        <w:t xml:space="preserve">ovine </w:t>
      </w:r>
      <w:r w:rsidR="00F0266D">
        <w:rPr>
          <w:rFonts w:cstheme="minorHAnsi"/>
          <w:color w:val="000000" w:themeColor="text1"/>
          <w:szCs w:val="24"/>
        </w:rPr>
        <w:t>s</w:t>
      </w:r>
      <w:r w:rsidR="00F0266D" w:rsidRPr="00F0266D">
        <w:rPr>
          <w:rFonts w:cstheme="minorHAnsi"/>
          <w:color w:val="000000" w:themeColor="text1"/>
          <w:szCs w:val="24"/>
        </w:rPr>
        <w:t>erum</w:t>
      </w:r>
      <w:r w:rsidR="000D0DBC" w:rsidRPr="00BC51D9">
        <w:rPr>
          <w:rFonts w:cstheme="minorHAnsi"/>
          <w:color w:val="000000" w:themeColor="text1"/>
          <w:szCs w:val="24"/>
        </w:rPr>
        <w:t xml:space="preserve"> plus 3% </w:t>
      </w:r>
      <w:r w:rsidR="00055BDB">
        <w:rPr>
          <w:rFonts w:cstheme="minorHAnsi"/>
          <w:color w:val="000000" w:themeColor="text1"/>
          <w:szCs w:val="24"/>
        </w:rPr>
        <w:t>b</w:t>
      </w:r>
      <w:r w:rsidR="000D0DBC" w:rsidRPr="00BC51D9">
        <w:rPr>
          <w:rFonts w:cstheme="minorHAnsi"/>
          <w:color w:val="000000" w:themeColor="text1"/>
          <w:szCs w:val="24"/>
        </w:rPr>
        <w:t xml:space="preserve">ovine </w:t>
      </w:r>
      <w:r w:rsidR="00055BDB">
        <w:rPr>
          <w:rFonts w:cstheme="minorHAnsi"/>
          <w:color w:val="000000" w:themeColor="text1"/>
          <w:szCs w:val="24"/>
        </w:rPr>
        <w:t>s</w:t>
      </w:r>
      <w:r w:rsidR="000D0DBC" w:rsidRPr="00BC51D9">
        <w:rPr>
          <w:rFonts w:cstheme="minorHAnsi"/>
          <w:color w:val="000000" w:themeColor="text1"/>
          <w:szCs w:val="24"/>
        </w:rPr>
        <w:t xml:space="preserve">erum </w:t>
      </w:r>
      <w:r w:rsidR="00055BDB">
        <w:rPr>
          <w:rFonts w:cstheme="minorHAnsi"/>
          <w:color w:val="000000" w:themeColor="text1"/>
          <w:szCs w:val="24"/>
        </w:rPr>
        <w:t>a</w:t>
      </w:r>
      <w:r w:rsidR="000D0DBC" w:rsidRPr="00BC51D9">
        <w:rPr>
          <w:rFonts w:cstheme="minorHAnsi"/>
          <w:color w:val="000000" w:themeColor="text1"/>
          <w:szCs w:val="24"/>
        </w:rPr>
        <w:t>lbumin in PBS for 1 hr to reduce nonspecific binding. Thereafter, cells were then incubated with primary antibodies in blocking buffer for overnight at 4 °C. After washing with PBS, cells were incubated with fluorophore-conjugated secondary antibodies for 1 hr at room temperature in the dark, and nuclei were counterstained by 4’,6-</w:t>
      </w:r>
      <w:proofErr w:type="spellStart"/>
      <w:r w:rsidR="000D0DBC" w:rsidRPr="00BC51D9">
        <w:rPr>
          <w:rFonts w:cstheme="minorHAnsi"/>
          <w:color w:val="000000" w:themeColor="text1"/>
          <w:szCs w:val="24"/>
        </w:rPr>
        <w:t>diamidino</w:t>
      </w:r>
      <w:proofErr w:type="spellEnd"/>
      <w:r w:rsidR="000D0DBC" w:rsidRPr="00BC51D9">
        <w:rPr>
          <w:rFonts w:cstheme="minorHAnsi"/>
          <w:color w:val="000000" w:themeColor="text1"/>
          <w:szCs w:val="24"/>
        </w:rPr>
        <w:t>-2-</w:t>
      </w:r>
      <w:proofErr w:type="spellStart"/>
      <w:r w:rsidR="000D0DBC" w:rsidRPr="00BC51D9">
        <w:rPr>
          <w:rFonts w:cstheme="minorHAnsi"/>
          <w:color w:val="000000" w:themeColor="text1"/>
          <w:szCs w:val="24"/>
        </w:rPr>
        <w:t>phenylindole</w:t>
      </w:r>
      <w:proofErr w:type="spellEnd"/>
      <w:r w:rsidR="000D0DBC" w:rsidRPr="00BC51D9">
        <w:rPr>
          <w:rFonts w:cstheme="minorHAnsi"/>
          <w:color w:val="000000" w:themeColor="text1"/>
          <w:szCs w:val="24"/>
        </w:rPr>
        <w:t xml:space="preserve">. Finally, coverslips were mounted onto glass slides and images were </w:t>
      </w:r>
      <w:r w:rsidR="000D0DBC" w:rsidRPr="00BC51D9">
        <w:rPr>
          <w:rFonts w:cstheme="minorHAnsi"/>
          <w:color w:val="000000" w:themeColor="text1"/>
          <w:szCs w:val="24"/>
        </w:rPr>
        <w:lastRenderedPageBreak/>
        <w:t>acquired by confocal microscope</w:t>
      </w:r>
      <w:r w:rsidRPr="00BC51D9">
        <w:rPr>
          <w:rFonts w:cstheme="minorHAnsi"/>
          <w:color w:val="000000" w:themeColor="text1"/>
          <w:szCs w:val="24"/>
        </w:rPr>
        <w:t>.</w:t>
      </w:r>
      <w:r w:rsidR="00F52FAC" w:rsidRPr="00BC51D9">
        <w:rPr>
          <w:rFonts w:cstheme="minorHAnsi" w:hint="eastAsia"/>
          <w:color w:val="000000" w:themeColor="text1"/>
          <w:szCs w:val="24"/>
        </w:rPr>
        <w:t xml:space="preserve"> </w:t>
      </w:r>
      <w:r w:rsidR="00F52FAC" w:rsidRPr="00BC51D9">
        <w:rPr>
          <w:rFonts w:cstheme="minorHAnsi"/>
          <w:noProof/>
          <w:color w:val="000000" w:themeColor="text1"/>
          <w:szCs w:val="24"/>
        </w:rPr>
        <w:t xml:space="preserve">The percentage of cells showing yellow signals, which indicate the colocalization of N or </w:t>
      </w:r>
      <w:r w:rsidR="007050D2" w:rsidRPr="00BC51D9">
        <w:rPr>
          <w:rFonts w:cstheme="minorHAnsi"/>
          <w:noProof/>
          <w:color w:val="000000" w:themeColor="text1"/>
          <w:szCs w:val="24"/>
        </w:rPr>
        <w:t xml:space="preserve">the </w:t>
      </w:r>
      <w:r w:rsidR="00F52FAC" w:rsidRPr="00BC51D9">
        <w:rPr>
          <w:rFonts w:cstheme="minorHAnsi"/>
          <w:noProof/>
          <w:color w:val="000000" w:themeColor="text1"/>
          <w:szCs w:val="24"/>
        </w:rPr>
        <w:t>PP2A catalytic subunit (red fluorescence) with M (green fluorescence)</w:t>
      </w:r>
      <w:r w:rsidR="007050D2" w:rsidRPr="00BC51D9">
        <w:rPr>
          <w:rFonts w:cstheme="minorHAnsi"/>
          <w:noProof/>
          <w:color w:val="000000" w:themeColor="text1"/>
          <w:szCs w:val="24"/>
        </w:rPr>
        <w:t>,</w:t>
      </w:r>
      <w:r w:rsidR="00F52FAC" w:rsidRPr="00BC51D9">
        <w:rPr>
          <w:rFonts w:cstheme="minorHAnsi"/>
          <w:noProof/>
          <w:color w:val="000000" w:themeColor="text1"/>
          <w:szCs w:val="24"/>
        </w:rPr>
        <w:t xml:space="preserve"> was quantified (</w:t>
      </w:r>
      <w:r w:rsidR="007050D2" w:rsidRPr="00BC51D9">
        <w:rPr>
          <w:rFonts w:cstheme="minorHAnsi"/>
          <w:noProof/>
          <w:color w:val="000000" w:themeColor="text1"/>
          <w:szCs w:val="24"/>
        </w:rPr>
        <w:t xml:space="preserve">n &gt; 30 cells) and </w:t>
      </w:r>
      <w:r w:rsidR="00F52FAC" w:rsidRPr="00BC51D9">
        <w:rPr>
          <w:rFonts w:cstheme="minorHAnsi"/>
          <w:noProof/>
          <w:color w:val="000000" w:themeColor="text1"/>
          <w:szCs w:val="24"/>
        </w:rPr>
        <w:t xml:space="preserve">analyzed using the chi-square test. </w:t>
      </w:r>
      <w:r w:rsidRPr="00BC51D9">
        <w:rPr>
          <w:rFonts w:cstheme="minorHAnsi"/>
          <w:noProof/>
          <w:color w:val="000000" w:themeColor="text1"/>
          <w:szCs w:val="24"/>
        </w:rPr>
        <w:t xml:space="preserve">Cells displaying abnormal morphology, including shrunken or deformed nuclei compared </w:t>
      </w:r>
      <w:r w:rsidR="008606DF" w:rsidRPr="00BC51D9">
        <w:rPr>
          <w:rFonts w:cstheme="minorHAnsi"/>
          <w:noProof/>
          <w:color w:val="000000" w:themeColor="text1"/>
          <w:szCs w:val="24"/>
        </w:rPr>
        <w:t>with</w:t>
      </w:r>
      <w:r w:rsidRPr="00BC51D9">
        <w:rPr>
          <w:rFonts w:cstheme="minorHAnsi"/>
          <w:noProof/>
          <w:color w:val="000000" w:themeColor="text1"/>
          <w:szCs w:val="24"/>
        </w:rPr>
        <w:t xml:space="preserve"> mock controls, were excluded to ensure data quality.</w:t>
      </w:r>
    </w:p>
    <w:p w:rsidR="001B1F09" w:rsidRPr="00BC51D9" w:rsidRDefault="001B1F09" w:rsidP="00D61D5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D61D52" w:rsidRPr="00BC51D9" w:rsidRDefault="00D61D52" w:rsidP="00D61D52">
      <w:pPr>
        <w:spacing w:line="360" w:lineRule="auto"/>
        <w:jc w:val="both"/>
        <w:rPr>
          <w:rFonts w:cstheme="minorHAnsi"/>
          <w:b/>
          <w:i/>
          <w:noProof/>
          <w:color w:val="000000" w:themeColor="text1"/>
          <w:szCs w:val="24"/>
        </w:rPr>
      </w:pPr>
      <w:r w:rsidRPr="00BC51D9">
        <w:rPr>
          <w:rFonts w:cstheme="minorHAnsi"/>
          <w:b/>
          <w:i/>
          <w:noProof/>
          <w:color w:val="000000" w:themeColor="text1"/>
          <w:szCs w:val="24"/>
        </w:rPr>
        <w:t>Prediction of Protein Complex Model</w:t>
      </w:r>
    </w:p>
    <w:p w:rsidR="00D61D52" w:rsidRPr="00BC51D9" w:rsidRDefault="00D61D52" w:rsidP="00D61D52">
      <w:pPr>
        <w:spacing w:line="360" w:lineRule="auto"/>
        <w:ind w:firstLineChars="200" w:firstLine="480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noProof/>
          <w:color w:val="000000" w:themeColor="text1"/>
          <w:szCs w:val="24"/>
        </w:rPr>
        <w:t>To analyze the structural details in the M-N-PP2A complex, the amino acid sequences of SARS-CoV-2 M protein (#P0DTC5), N protein (#P0DTC9), PP2A catalytic (#B3KQ51) and scaffold subunits (#C9J9C1), all obtained from Uniprot, were used for prediction by Alphafold 3.0. In addition, the N-15SD, N-15SA, N-S188A/S206A or N-10SA mutant, which has aspartate</w:t>
      </w:r>
      <w:r w:rsidR="006E4F99">
        <w:rPr>
          <w:rFonts w:cstheme="minorHAnsi"/>
          <w:noProof/>
          <w:color w:val="000000" w:themeColor="text1"/>
          <w:szCs w:val="24"/>
        </w:rPr>
        <w:t>s</w:t>
      </w:r>
      <w:r w:rsidRPr="00BC51D9">
        <w:rPr>
          <w:rFonts w:cstheme="minorHAnsi"/>
          <w:noProof/>
          <w:color w:val="000000" w:themeColor="text1"/>
          <w:szCs w:val="24"/>
        </w:rPr>
        <w:t xml:space="preserve"> or alanine</w:t>
      </w:r>
      <w:r w:rsidR="006E4F99">
        <w:rPr>
          <w:rFonts w:cstheme="minorHAnsi"/>
          <w:noProof/>
          <w:color w:val="000000" w:themeColor="text1"/>
          <w:szCs w:val="24"/>
        </w:rPr>
        <w:t>s</w:t>
      </w:r>
      <w:r w:rsidRPr="00BC51D9">
        <w:rPr>
          <w:rFonts w:cstheme="minorHAnsi"/>
          <w:noProof/>
          <w:color w:val="000000" w:themeColor="text1"/>
          <w:szCs w:val="24"/>
        </w:rPr>
        <w:t xml:space="preserve"> substituted for the corresponding serine/threonine residues in the SR-rich region (amino acid 176–206) of N protein, were included for analysis. The SARS-CoV-1 M (#P59596) and N protein</w:t>
      </w:r>
      <w:r w:rsidR="006E4F99">
        <w:rPr>
          <w:rFonts w:cstheme="minorHAnsi"/>
          <w:noProof/>
          <w:color w:val="000000" w:themeColor="text1"/>
          <w:szCs w:val="24"/>
        </w:rPr>
        <w:t>s</w:t>
      </w:r>
      <w:r w:rsidRPr="00BC51D9">
        <w:rPr>
          <w:rFonts w:cstheme="minorHAnsi"/>
          <w:noProof/>
          <w:color w:val="000000" w:themeColor="text1"/>
          <w:szCs w:val="24"/>
        </w:rPr>
        <w:t xml:space="preserve"> (#P59595), the JHMV M (#P08549) and N protein</w:t>
      </w:r>
      <w:r w:rsidR="006E4F99">
        <w:rPr>
          <w:rFonts w:cstheme="minorHAnsi"/>
          <w:noProof/>
          <w:color w:val="000000" w:themeColor="text1"/>
          <w:szCs w:val="24"/>
        </w:rPr>
        <w:t>s</w:t>
      </w:r>
      <w:r w:rsidRPr="00BC51D9">
        <w:rPr>
          <w:rFonts w:cstheme="minorHAnsi"/>
          <w:noProof/>
          <w:color w:val="000000" w:themeColor="text1"/>
          <w:szCs w:val="24"/>
        </w:rPr>
        <w:t xml:space="preserve"> (#P03417), as well as the HCoV-229E M (#A0A1L7B920) and N protein</w:t>
      </w:r>
      <w:r w:rsidR="006E4F99">
        <w:rPr>
          <w:rFonts w:cstheme="minorHAnsi"/>
          <w:noProof/>
          <w:color w:val="000000" w:themeColor="text1"/>
          <w:szCs w:val="24"/>
        </w:rPr>
        <w:t>s</w:t>
      </w:r>
      <w:r w:rsidRPr="00BC51D9">
        <w:rPr>
          <w:rFonts w:cstheme="minorHAnsi"/>
          <w:noProof/>
          <w:color w:val="000000" w:themeColor="text1"/>
          <w:szCs w:val="24"/>
        </w:rPr>
        <w:t xml:space="preserve"> (#P15130), were also input to predict the virus-specific complex models. Similar to the N-15SD mutant of SARS-CoV-2, the phospho-mimetic ones of SARS-CoV-1 N [N-14SD, aspartate residues substituted for all 14 serine/threonine residues in the SR-rich region (amino acid 177–207)], JHMV-N [N-4SD, aspartate residues substituted for all 4 serine residues in the central IDR region (amino acid 197–209)] and HCoV-229E-N [N-4SD, aspartate residues substituted for all 4 serine residues in the central IDR region (amino acid 149–161)] were replaced for their </w:t>
      </w:r>
      <w:r w:rsidR="006E4F99">
        <w:rPr>
          <w:rFonts w:cstheme="minorHAnsi"/>
          <w:noProof/>
          <w:color w:val="000000" w:themeColor="text1"/>
          <w:szCs w:val="24"/>
        </w:rPr>
        <w:t>wild-type</w:t>
      </w:r>
      <w:r w:rsidRPr="00BC51D9">
        <w:rPr>
          <w:rFonts w:cstheme="minorHAnsi"/>
          <w:noProof/>
          <w:color w:val="000000" w:themeColor="text1"/>
          <w:szCs w:val="24"/>
        </w:rPr>
        <w:t xml:space="preserve"> forms, respectively. For JHMV-M/N protein docking, the mouse-originated PP2A scaffold (#Q76MZ3) and catalytic subunits (#P63330) were </w:t>
      </w:r>
      <w:r w:rsidR="006E4F99">
        <w:rPr>
          <w:rFonts w:cstheme="minorHAnsi"/>
          <w:noProof/>
          <w:color w:val="000000" w:themeColor="text1"/>
          <w:szCs w:val="24"/>
        </w:rPr>
        <w:t xml:space="preserve">also </w:t>
      </w:r>
      <w:r w:rsidRPr="00BC51D9">
        <w:rPr>
          <w:rFonts w:cstheme="minorHAnsi"/>
          <w:noProof/>
          <w:color w:val="000000" w:themeColor="text1"/>
          <w:szCs w:val="24"/>
        </w:rPr>
        <w:t xml:space="preserve">applied. The top ranked models of each cases obtained from the Alphafold-predicted pools were </w:t>
      </w:r>
      <w:r w:rsidRPr="00BC51D9">
        <w:rPr>
          <w:rFonts w:cstheme="minorHAnsi"/>
          <w:noProof/>
          <w:color w:val="000000" w:themeColor="text1"/>
          <w:szCs w:val="24"/>
        </w:rPr>
        <w:lastRenderedPageBreak/>
        <w:t>visually analyzed by ChimeraX (UCSF, version 1.8).</w:t>
      </w: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CF2B01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B01" w:rsidRPr="00BC51D9" w:rsidRDefault="00CF2B01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CF2B01" w:rsidRPr="00BC51D9" w:rsidRDefault="00CF2B01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CF2B01" w:rsidRPr="00BC51D9" w:rsidRDefault="00CF2B01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CF2B01" w:rsidRPr="00BC51D9" w:rsidRDefault="00CF2B01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CF2B01" w:rsidRPr="00BC51D9" w:rsidRDefault="00CF2B01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CF2B01" w:rsidRPr="00BC51D9" w:rsidRDefault="00CF2B01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 w:hint="eastAsia"/>
          <w:b/>
          <w:noProof/>
          <w:color w:val="000000" w:themeColor="text1"/>
          <w:szCs w:val="24"/>
        </w:rPr>
        <w:lastRenderedPageBreak/>
        <w:t>Supplementary Figures</w:t>
      </w:r>
    </w:p>
    <w:p w:rsidR="005A5618" w:rsidRPr="00BC51D9" w:rsidRDefault="006262DF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drawing>
          <wp:anchor distT="0" distB="0" distL="114300" distR="114300" simplePos="0" relativeHeight="251666432" behindDoc="0" locked="0" layoutInCell="1" allowOverlap="1" wp14:anchorId="2211E2B7" wp14:editId="23335BD3">
            <wp:simplePos x="0" y="0"/>
            <wp:positionH relativeFrom="margin">
              <wp:posOffset>-146050</wp:posOffset>
            </wp:positionH>
            <wp:positionV relativeFrom="paragraph">
              <wp:posOffset>304800</wp:posOffset>
            </wp:positionV>
            <wp:extent cx="5435600" cy="2265045"/>
            <wp:effectExtent l="0" t="0" r="0" b="190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4"/>
                    <a:stretch/>
                  </pic:blipFill>
                  <pic:spPr bwMode="auto">
                    <a:xfrm>
                      <a:off x="0" y="0"/>
                      <a:ext cx="543560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618" w:rsidRPr="00BC51D9">
        <w:rPr>
          <w:rFonts w:cstheme="minorHAnsi" w:hint="eastAsia"/>
          <w:b/>
          <w:noProof/>
          <w:color w:val="000000" w:themeColor="text1"/>
          <w:szCs w:val="24"/>
        </w:rPr>
        <w:t>Supplementary Figure 1</w:t>
      </w: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0701FB" w:rsidRPr="00BC51D9" w:rsidRDefault="000701FB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3D31AA" w:rsidRPr="00BC51D9" w:rsidRDefault="003D31AA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1. </w:t>
      </w:r>
      <w:r w:rsidR="00E35EF0" w:rsidRPr="00BC51D9">
        <w:rPr>
          <w:rFonts w:cstheme="minorHAnsi"/>
          <w:b/>
          <w:noProof/>
          <w:color w:val="000000" w:themeColor="text1"/>
          <w:szCs w:val="24"/>
        </w:rPr>
        <w:t>Morphological and Functional Evaluation of SARS-CoV-2 VLPs</w:t>
      </w:r>
      <w:r w:rsidR="000701FB" w:rsidRPr="00BC51D9">
        <w:rPr>
          <w:rFonts w:cstheme="minorHAnsi"/>
          <w:b/>
          <w:noProof/>
          <w:color w:val="000000" w:themeColor="text1"/>
          <w:szCs w:val="24"/>
        </w:rPr>
        <w:t>.</w:t>
      </w:r>
      <w:r w:rsidRPr="00BC51D9">
        <w:rPr>
          <w:rFonts w:cstheme="minorHAnsi" w:hint="eastAsia"/>
          <w:b/>
          <w:noProof/>
          <w:color w:val="000000" w:themeColor="text1"/>
          <w:szCs w:val="24"/>
        </w:rPr>
        <w:t xml:space="preserve"> </w:t>
      </w:r>
      <w:r w:rsidR="00E35EF0" w:rsidRPr="00BC51D9">
        <w:rPr>
          <w:rFonts w:cstheme="minorHAnsi"/>
          <w:b/>
          <w:noProof/>
          <w:color w:val="000000" w:themeColor="text1"/>
          <w:szCs w:val="24"/>
        </w:rPr>
        <w:t>(A)</w:t>
      </w:r>
      <w:r w:rsidR="00E35EF0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E46DE0" w:rsidRPr="00BC51D9">
        <w:rPr>
          <w:rFonts w:cstheme="minorHAnsi"/>
          <w:noProof/>
          <w:color w:val="000000" w:themeColor="text1"/>
          <w:szCs w:val="24"/>
        </w:rPr>
        <w:t>Representative transmission electron microscopy images of SARS-CoV-2 VLPs containing either wild-type (WT), phospho-deficient (S188A/S206A), or phospho-mimetic (S188D/S206D) N proteins.</w:t>
      </w:r>
      <w:r w:rsidR="00E35EF0" w:rsidRPr="00BC51D9">
        <w:rPr>
          <w:rFonts w:cstheme="minorHAnsi"/>
          <w:b/>
          <w:noProof/>
          <w:color w:val="000000" w:themeColor="text1"/>
          <w:szCs w:val="24"/>
        </w:rPr>
        <w:t xml:space="preserve"> (B)</w:t>
      </w:r>
      <w:r w:rsidR="00E35EF0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E46DE0" w:rsidRPr="00BC51D9">
        <w:rPr>
          <w:rFonts w:cstheme="minorHAnsi"/>
          <w:noProof/>
          <w:color w:val="000000" w:themeColor="text1"/>
          <w:szCs w:val="24"/>
        </w:rPr>
        <w:t>The diameters of these VLPs were quantified by measuring &gt;30 particles in each group. Scale bar, 100 nm.</w:t>
      </w:r>
      <w:r w:rsidR="00611F6D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245ECB" w:rsidRPr="00BC51D9">
        <w:rPr>
          <w:rFonts w:cstheme="minorHAnsi"/>
          <w:noProof/>
          <w:color w:val="000000" w:themeColor="text1"/>
          <w:szCs w:val="24"/>
        </w:rPr>
        <w:t>**</w:t>
      </w:r>
      <w:r w:rsidR="00E35EF0" w:rsidRPr="00BC51D9">
        <w:rPr>
          <w:rFonts w:cstheme="minorHAnsi"/>
          <w:noProof/>
          <w:color w:val="000000" w:themeColor="text1"/>
          <w:szCs w:val="24"/>
        </w:rPr>
        <w:t>p &lt;</w:t>
      </w:r>
      <w:r w:rsidR="00245ECB" w:rsidRPr="00BC51D9">
        <w:rPr>
          <w:rFonts w:cstheme="minorHAnsi"/>
          <w:noProof/>
          <w:color w:val="000000" w:themeColor="text1"/>
          <w:szCs w:val="24"/>
        </w:rPr>
        <w:t xml:space="preserve"> 0.01; ***</w:t>
      </w:r>
      <w:r w:rsidR="00E35EF0" w:rsidRPr="00BC51D9">
        <w:rPr>
          <w:rFonts w:cstheme="minorHAnsi"/>
          <w:noProof/>
          <w:color w:val="000000" w:themeColor="text1"/>
          <w:szCs w:val="24"/>
        </w:rPr>
        <w:t>p</w:t>
      </w:r>
      <w:r w:rsidR="00245ECB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E35EF0" w:rsidRPr="00BC51D9">
        <w:rPr>
          <w:rFonts w:cstheme="minorHAnsi"/>
          <w:noProof/>
          <w:color w:val="000000" w:themeColor="text1"/>
          <w:szCs w:val="24"/>
        </w:rPr>
        <w:t>&lt;</w:t>
      </w:r>
      <w:r w:rsidR="00245ECB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E35EF0" w:rsidRPr="00BC51D9">
        <w:rPr>
          <w:rFonts w:cstheme="minorHAnsi"/>
          <w:noProof/>
          <w:color w:val="000000" w:themeColor="text1"/>
          <w:szCs w:val="24"/>
        </w:rPr>
        <w:t>0001.</w:t>
      </w: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A5618" w:rsidRPr="00BC51D9" w:rsidRDefault="005A561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46DE0" w:rsidRPr="00BC51D9" w:rsidRDefault="00E46DE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 w:hint="eastAsia"/>
          <w:b/>
          <w:noProof/>
          <w:color w:val="000000" w:themeColor="text1"/>
          <w:szCs w:val="24"/>
        </w:rPr>
        <w:lastRenderedPageBreak/>
        <w:t xml:space="preserve">Supplementary Figure </w:t>
      </w:r>
      <w:r w:rsidRPr="00BC51D9">
        <w:rPr>
          <w:rFonts w:cstheme="minorHAnsi"/>
          <w:b/>
          <w:noProof/>
          <w:color w:val="000000" w:themeColor="text1"/>
          <w:szCs w:val="24"/>
        </w:rPr>
        <w:t>2</w:t>
      </w:r>
    </w:p>
    <w:p w:rsidR="00E35EF0" w:rsidRPr="00BC51D9" w:rsidRDefault="007F6185" w:rsidP="000D0DBC">
      <w:pPr>
        <w:spacing w:line="360" w:lineRule="auto"/>
        <w:jc w:val="center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drawing>
          <wp:inline distT="0" distB="0" distL="0" distR="0" wp14:anchorId="04568339" wp14:editId="05F4E5D2">
            <wp:extent cx="4987107" cy="6818358"/>
            <wp:effectExtent l="0" t="0" r="444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2" r="4639"/>
                    <a:stretch/>
                  </pic:blipFill>
                  <pic:spPr bwMode="auto">
                    <a:xfrm>
                      <a:off x="0" y="0"/>
                      <a:ext cx="4997206" cy="683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920E9E" w:rsidRPr="00BC51D9" w:rsidRDefault="00E35EF0" w:rsidP="00611F6D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2. Immunofluorescence </w:t>
      </w:r>
      <w:r w:rsidR="00A54B95" w:rsidRPr="00BC51D9">
        <w:rPr>
          <w:rFonts w:cstheme="minorHAnsi"/>
          <w:b/>
          <w:noProof/>
          <w:color w:val="000000" w:themeColor="text1"/>
          <w:szCs w:val="24"/>
        </w:rPr>
        <w:t xml:space="preserve">Staining of N and M </w:t>
      </w:r>
      <w:r w:rsidR="00BB468D">
        <w:rPr>
          <w:rFonts w:cstheme="minorHAnsi"/>
          <w:b/>
          <w:noProof/>
          <w:color w:val="000000" w:themeColor="text1"/>
          <w:szCs w:val="24"/>
        </w:rPr>
        <w:t>P</w:t>
      </w:r>
      <w:r w:rsidRPr="00BC51D9">
        <w:rPr>
          <w:rFonts w:cstheme="minorHAnsi"/>
          <w:b/>
          <w:noProof/>
          <w:color w:val="000000" w:themeColor="text1"/>
          <w:szCs w:val="24"/>
        </w:rPr>
        <w:t>roteins.</w:t>
      </w:r>
      <w:r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0D0DBC" w:rsidRPr="00205DB4">
        <w:rPr>
          <w:rFonts w:cstheme="minorHAnsi"/>
          <w:b/>
          <w:noProof/>
          <w:color w:val="000000" w:themeColor="text1"/>
          <w:szCs w:val="24"/>
        </w:rPr>
        <w:t>(A)</w:t>
      </w:r>
      <w:r w:rsidR="000D0DBC" w:rsidRPr="00BC51D9">
        <w:rPr>
          <w:rFonts w:cstheme="minorHAnsi"/>
          <w:noProof/>
          <w:color w:val="000000" w:themeColor="text1"/>
          <w:szCs w:val="24"/>
        </w:rPr>
        <w:t xml:space="preserve"> Huh7 cells expressing M protein alone were fixed at 30 h post-transfection and subjected to immunofluorescence staining for M and ERGIC-53. </w:t>
      </w:r>
      <w:r w:rsidR="000D0DBC" w:rsidRPr="00205DB4">
        <w:rPr>
          <w:rFonts w:cstheme="minorHAnsi"/>
          <w:b/>
          <w:noProof/>
          <w:color w:val="000000" w:themeColor="text1"/>
          <w:szCs w:val="24"/>
        </w:rPr>
        <w:t>(B)</w:t>
      </w:r>
      <w:r w:rsidR="000D0DBC" w:rsidRPr="00BC51D9">
        <w:rPr>
          <w:rFonts w:cstheme="minorHAnsi"/>
          <w:noProof/>
          <w:color w:val="000000" w:themeColor="text1"/>
          <w:szCs w:val="24"/>
        </w:rPr>
        <w:t xml:space="preserve"> Huh7 cells co-expressing N and M proteins (transfected at a molar ratio of 1:3) were fixed at 48 h post-transfection and stained for N and M. Yellow signals indicate </w:t>
      </w:r>
      <w:r w:rsidR="007A101C" w:rsidRPr="007A101C">
        <w:rPr>
          <w:rFonts w:cstheme="minorHAnsi"/>
          <w:noProof/>
          <w:color w:val="000000" w:themeColor="text1"/>
          <w:szCs w:val="24"/>
        </w:rPr>
        <w:t>colocalization of the N and M proteins.</w:t>
      </w:r>
      <w:r w:rsidR="000D0DBC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0D0DBC" w:rsidRPr="00205DB4">
        <w:rPr>
          <w:rFonts w:cstheme="minorHAnsi"/>
          <w:b/>
          <w:noProof/>
          <w:color w:val="000000" w:themeColor="text1"/>
          <w:szCs w:val="24"/>
        </w:rPr>
        <w:t>(C)</w:t>
      </w:r>
      <w:r w:rsidR="000D0DBC" w:rsidRPr="00BC51D9">
        <w:rPr>
          <w:rFonts w:cstheme="minorHAnsi"/>
          <w:noProof/>
          <w:color w:val="000000" w:themeColor="text1"/>
          <w:szCs w:val="24"/>
        </w:rPr>
        <w:t xml:space="preserve"> The percentage of cells showing colocalization of N </w:t>
      </w:r>
      <w:r w:rsidR="00CD000F" w:rsidRPr="00BC51D9">
        <w:rPr>
          <w:rFonts w:cstheme="minorHAnsi"/>
          <w:noProof/>
          <w:color w:val="000000" w:themeColor="text1"/>
          <w:szCs w:val="24"/>
        </w:rPr>
        <w:t>(red) and M (green)</w:t>
      </w:r>
      <w:r w:rsidR="000D0DBC" w:rsidRPr="00BC51D9">
        <w:rPr>
          <w:rFonts w:cstheme="minorHAnsi"/>
          <w:noProof/>
          <w:color w:val="000000" w:themeColor="text1"/>
          <w:szCs w:val="24"/>
        </w:rPr>
        <w:t xml:space="preserve"> was quantified (n &gt; 30 cells) and statistically analyzed using the chi-square test. Scale bar, 10 μm. ***p &lt; 0.001.</w:t>
      </w:r>
    </w:p>
    <w:p w:rsidR="00E35EF0" w:rsidRPr="00BC51D9" w:rsidRDefault="00E35EF0" w:rsidP="00E35EF0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2F5BB7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1F21610A" wp14:editId="5E947580">
            <wp:simplePos x="0" y="0"/>
            <wp:positionH relativeFrom="column">
              <wp:posOffset>-315801</wp:posOffset>
            </wp:positionH>
            <wp:positionV relativeFrom="paragraph">
              <wp:posOffset>321945</wp:posOffset>
            </wp:positionV>
            <wp:extent cx="5937885" cy="5695950"/>
            <wp:effectExtent l="0" t="0" r="0" b="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69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EF0" w:rsidRPr="00BC51D9">
        <w:rPr>
          <w:rFonts w:cstheme="minorHAnsi" w:hint="eastAsia"/>
          <w:b/>
          <w:noProof/>
          <w:color w:val="000000" w:themeColor="text1"/>
          <w:szCs w:val="24"/>
        </w:rPr>
        <w:t xml:space="preserve">Supplementary Figure </w:t>
      </w:r>
      <w:r w:rsidR="00E35EF0" w:rsidRPr="00BC51D9">
        <w:rPr>
          <w:rFonts w:cstheme="minorHAnsi"/>
          <w:b/>
          <w:noProof/>
          <w:color w:val="000000" w:themeColor="text1"/>
          <w:szCs w:val="24"/>
        </w:rPr>
        <w:t>3</w:t>
      </w: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E35EF0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766DF" w:rsidRPr="00BC51D9" w:rsidRDefault="00F766DF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2F5BB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>Supplementary Figure 3</w:t>
      </w:r>
      <w:r w:rsidR="000701FB" w:rsidRPr="00BC51D9">
        <w:rPr>
          <w:rFonts w:cstheme="minorHAnsi"/>
          <w:b/>
          <w:noProof/>
          <w:color w:val="000000" w:themeColor="text1"/>
          <w:szCs w:val="24"/>
        </w:rPr>
        <w:t xml:space="preserve">. Evaluation of </w:t>
      </w:r>
      <w:r w:rsidR="00E46DE0" w:rsidRPr="00BC51D9">
        <w:rPr>
          <w:rFonts w:cstheme="minorHAnsi"/>
          <w:b/>
          <w:noProof/>
          <w:color w:val="000000" w:themeColor="text1"/>
          <w:szCs w:val="24"/>
        </w:rPr>
        <w:t xml:space="preserve">the </w:t>
      </w:r>
      <w:r w:rsidRPr="00BC51D9">
        <w:rPr>
          <w:rFonts w:cstheme="minorHAnsi"/>
          <w:b/>
          <w:noProof/>
          <w:color w:val="000000" w:themeColor="text1"/>
          <w:szCs w:val="24"/>
        </w:rPr>
        <w:t>Expression Level and Half-Life of M Protein.</w:t>
      </w:r>
      <w:r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Pr="00BC51D9">
        <w:rPr>
          <w:rFonts w:cstheme="minorHAnsi"/>
          <w:b/>
          <w:noProof/>
          <w:color w:val="000000" w:themeColor="text1"/>
          <w:szCs w:val="24"/>
        </w:rPr>
        <w:t>(A)</w:t>
      </w:r>
      <w:r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E46DE0" w:rsidRPr="00BC51D9">
        <w:rPr>
          <w:rFonts w:cstheme="minorHAnsi"/>
          <w:noProof/>
          <w:color w:val="000000" w:themeColor="text1"/>
          <w:szCs w:val="24"/>
        </w:rPr>
        <w:t>Schematic illustration of HA-tagged constructs expressing M proteins with serial C-terminal truncations or internal deletions. The numbers above the diagrams indicate the amino acid residues of the M protein.</w:t>
      </w:r>
      <w:r w:rsidRPr="00BC51D9">
        <w:rPr>
          <w:rFonts w:cstheme="minorHAnsi"/>
          <w:b/>
          <w:noProof/>
          <w:color w:val="000000" w:themeColor="text1"/>
          <w:szCs w:val="24"/>
        </w:rPr>
        <w:t xml:space="preserve"> (B) </w:t>
      </w:r>
      <w:r w:rsidR="00E46DE0" w:rsidRPr="00BC51D9">
        <w:rPr>
          <w:rFonts w:cstheme="minorHAnsi"/>
          <w:noProof/>
          <w:color w:val="000000" w:themeColor="text1"/>
          <w:szCs w:val="24"/>
        </w:rPr>
        <w:t>Cell lysates prepared from 293T cells transfected with M-expressing constructs (at equal molar ratios) were analyzed by western blotting to evaluate protein expression levels.</w:t>
      </w:r>
      <w:r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Pr="00BC51D9">
        <w:rPr>
          <w:rFonts w:cstheme="minorHAnsi"/>
          <w:b/>
          <w:noProof/>
          <w:color w:val="000000" w:themeColor="text1"/>
          <w:szCs w:val="24"/>
        </w:rPr>
        <w:t>(</w:t>
      </w:r>
      <w:r w:rsidR="00F06CDC" w:rsidRPr="00BC51D9">
        <w:rPr>
          <w:rFonts w:cstheme="minorHAnsi"/>
          <w:b/>
          <w:noProof/>
          <w:color w:val="000000" w:themeColor="text1"/>
          <w:szCs w:val="24"/>
        </w:rPr>
        <w:t>C–E</w:t>
      </w:r>
      <w:r w:rsidRPr="00BC51D9">
        <w:rPr>
          <w:rFonts w:cstheme="minorHAnsi"/>
          <w:b/>
          <w:noProof/>
          <w:color w:val="000000" w:themeColor="text1"/>
          <w:szCs w:val="24"/>
        </w:rPr>
        <w:t>)</w:t>
      </w:r>
      <w:r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E46DE0" w:rsidRPr="00BC51D9">
        <w:rPr>
          <w:rFonts w:cstheme="minorHAnsi"/>
          <w:noProof/>
          <w:color w:val="000000" w:themeColor="text1"/>
          <w:szCs w:val="24"/>
        </w:rPr>
        <w:t>As described in (B), transfected cells were treated with cycloheximide (CHX) at 48 h post-transfection, lysed at the indicated time points, and analyzed by western blotting.</w:t>
      </w:r>
      <w:r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Pr="00BC51D9">
        <w:rPr>
          <w:rFonts w:cstheme="minorHAnsi"/>
          <w:b/>
          <w:noProof/>
          <w:color w:val="000000" w:themeColor="text1"/>
          <w:szCs w:val="24"/>
        </w:rPr>
        <w:t>(</w:t>
      </w:r>
      <w:r w:rsidR="00E46DE0" w:rsidRPr="00BC51D9">
        <w:rPr>
          <w:rFonts w:cstheme="minorHAnsi"/>
          <w:b/>
          <w:noProof/>
          <w:color w:val="000000" w:themeColor="text1"/>
          <w:szCs w:val="24"/>
        </w:rPr>
        <w:t>F</w:t>
      </w:r>
      <w:r w:rsidRPr="00BC51D9">
        <w:rPr>
          <w:rFonts w:cstheme="minorHAnsi"/>
          <w:b/>
          <w:noProof/>
          <w:color w:val="000000" w:themeColor="text1"/>
          <w:szCs w:val="24"/>
        </w:rPr>
        <w:t>)</w:t>
      </w:r>
      <w:r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215419" w:rsidRPr="00BC51D9">
        <w:rPr>
          <w:rFonts w:cstheme="minorHAnsi"/>
          <w:noProof/>
          <w:color w:val="000000" w:themeColor="text1"/>
          <w:szCs w:val="24"/>
        </w:rPr>
        <w:t>Based on these results, decay curves for the M protein and its deletion mutants were generated to determine their respective half-lives. Data are representative of two independent experiments.</w:t>
      </w: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E35EF0" w:rsidRPr="00BC51D9" w:rsidRDefault="00E35EF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>Supplementary Figure 4</w:t>
      </w:r>
    </w:p>
    <w:p w:rsidR="00F410C5" w:rsidRPr="00BC51D9" w:rsidRDefault="00F410C5" w:rsidP="00F410C5">
      <w:pPr>
        <w:spacing w:line="360" w:lineRule="auto"/>
        <w:jc w:val="center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drawing>
          <wp:inline distT="0" distB="0" distL="0" distR="0" wp14:anchorId="006CAA89" wp14:editId="63D706FC">
            <wp:extent cx="4064977" cy="3232150"/>
            <wp:effectExtent l="0" t="0" r="0" b="0"/>
            <wp:docPr id="61" name="圖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633" cy="3240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56FD8" w:rsidRPr="00BC51D9" w:rsidRDefault="00556FD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D522A0" w:rsidRPr="00BC51D9" w:rsidRDefault="00F410C5" w:rsidP="00D522A0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4. Inhibition of PP2A </w:t>
      </w:r>
      <w:r w:rsidR="00850AB9" w:rsidRPr="00BC51D9">
        <w:rPr>
          <w:rFonts w:cstheme="minorHAnsi"/>
          <w:b/>
          <w:noProof/>
          <w:color w:val="000000" w:themeColor="text1"/>
          <w:szCs w:val="24"/>
        </w:rPr>
        <w:t>D</w:t>
      </w:r>
      <w:r w:rsidRPr="00BC51D9">
        <w:rPr>
          <w:rFonts w:cstheme="minorHAnsi"/>
          <w:b/>
          <w:noProof/>
          <w:color w:val="000000" w:themeColor="text1"/>
          <w:szCs w:val="24"/>
        </w:rPr>
        <w:t xml:space="preserve">oes Not Influence N Phosphorylation  </w:t>
      </w:r>
      <w:r w:rsidR="00850AB9" w:rsidRPr="00BC51D9">
        <w:rPr>
          <w:rFonts w:cstheme="minorHAnsi"/>
          <w:b/>
          <w:noProof/>
          <w:color w:val="000000" w:themeColor="text1"/>
          <w:szCs w:val="24"/>
        </w:rPr>
        <w:t>or</w:t>
      </w:r>
      <w:r w:rsidRPr="00BC51D9">
        <w:rPr>
          <w:rFonts w:cstheme="minorHAnsi"/>
          <w:b/>
          <w:noProof/>
          <w:color w:val="000000" w:themeColor="text1"/>
          <w:szCs w:val="24"/>
        </w:rPr>
        <w:t xml:space="preserve"> the Akt-GSK-3 Pathway in 293T Cells.</w:t>
      </w:r>
      <w:r w:rsidRPr="00BC51D9">
        <w:rPr>
          <w:rFonts w:cstheme="minorHAnsi" w:hint="eastAsia"/>
          <w:b/>
          <w:noProof/>
          <w:color w:val="000000" w:themeColor="text1"/>
          <w:szCs w:val="24"/>
        </w:rPr>
        <w:t xml:space="preserve"> </w:t>
      </w:r>
      <w:r w:rsidR="00850AB9" w:rsidRPr="00BC51D9">
        <w:rPr>
          <w:rFonts w:cstheme="minorHAnsi"/>
          <w:noProof/>
          <w:color w:val="000000" w:themeColor="text1"/>
          <w:szCs w:val="24"/>
        </w:rPr>
        <w:t xml:space="preserve">293T cells transfected with </w:t>
      </w:r>
      <w:r w:rsidR="00EC157C">
        <w:rPr>
          <w:rFonts w:cstheme="minorHAnsi"/>
          <w:noProof/>
          <w:color w:val="000000" w:themeColor="text1"/>
          <w:szCs w:val="24"/>
        </w:rPr>
        <w:t xml:space="preserve">the </w:t>
      </w:r>
      <w:r w:rsidR="00850AB9" w:rsidRPr="00BC51D9">
        <w:rPr>
          <w:rFonts w:cstheme="minorHAnsi"/>
          <w:noProof/>
          <w:color w:val="000000" w:themeColor="text1"/>
          <w:szCs w:val="24"/>
        </w:rPr>
        <w:t>N-expressing plasmids were treated with PP2A-specific inhibitors (Fos, fostriecin; LB, LB-100) for 24 h and then lysed to examine N phosphorylation levels and Akt–GSK-3 pathway activity by western blotting. Data are representative of two independent experiments.</w:t>
      </w:r>
    </w:p>
    <w:p w:rsidR="00F410C5" w:rsidRPr="00BC51D9" w:rsidRDefault="00F410C5" w:rsidP="00F410C5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850AB9" w:rsidRPr="00BC51D9" w:rsidRDefault="00850AB9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A036CC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Pr="00BC51D9">
        <w:rPr>
          <w:rFonts w:cstheme="minorHAnsi" w:hint="eastAsia"/>
          <w:b/>
          <w:noProof/>
          <w:color w:val="000000" w:themeColor="text1"/>
          <w:szCs w:val="24"/>
        </w:rPr>
        <w:t>5</w:t>
      </w:r>
    </w:p>
    <w:p w:rsidR="00F410C5" w:rsidRPr="00BC51D9" w:rsidRDefault="00A036CC" w:rsidP="00A036CC">
      <w:pPr>
        <w:spacing w:line="360" w:lineRule="auto"/>
        <w:jc w:val="center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drawing>
          <wp:inline distT="0" distB="0" distL="0" distR="0" wp14:anchorId="4B33DABF" wp14:editId="1F5BB797">
            <wp:extent cx="3265400" cy="3048000"/>
            <wp:effectExtent l="0" t="0" r="0" b="0"/>
            <wp:docPr id="62" name="圖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246" cy="3068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D522A0" w:rsidRPr="00BC51D9" w:rsidRDefault="00D522A0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56FD8" w:rsidRPr="00BC51D9" w:rsidRDefault="00556FD8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56FD8" w:rsidRPr="00BC51D9" w:rsidRDefault="00556FD8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D522A0" w:rsidRPr="00BC51D9" w:rsidRDefault="00A036CC" w:rsidP="00D522A0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Pr="00BC51D9">
        <w:rPr>
          <w:rFonts w:cstheme="minorHAnsi" w:hint="eastAsia"/>
          <w:b/>
          <w:noProof/>
          <w:color w:val="000000" w:themeColor="text1"/>
          <w:szCs w:val="24"/>
        </w:rPr>
        <w:t>5</w:t>
      </w:r>
      <w:r w:rsidRPr="00BC51D9">
        <w:rPr>
          <w:rFonts w:cstheme="minorHAnsi"/>
          <w:b/>
          <w:noProof/>
          <w:color w:val="000000" w:themeColor="text1"/>
          <w:szCs w:val="24"/>
        </w:rPr>
        <w:t xml:space="preserve">. </w:t>
      </w:r>
      <w:r w:rsidR="00F06CDC" w:rsidRPr="00BC51D9">
        <w:rPr>
          <w:rFonts w:cstheme="minorHAnsi"/>
          <w:b/>
          <w:noProof/>
          <w:color w:val="000000" w:themeColor="text1"/>
          <w:szCs w:val="24"/>
        </w:rPr>
        <w:t xml:space="preserve">The </w:t>
      </w:r>
      <w:r w:rsidRPr="00BC51D9">
        <w:rPr>
          <w:rFonts w:cstheme="minorHAnsi"/>
          <w:b/>
          <w:noProof/>
          <w:color w:val="000000" w:themeColor="text1"/>
          <w:szCs w:val="24"/>
        </w:rPr>
        <w:t>PP2A Scaffo</w:t>
      </w:r>
      <w:r w:rsidR="00F06CDC" w:rsidRPr="00BC51D9">
        <w:rPr>
          <w:rFonts w:cstheme="minorHAnsi"/>
          <w:b/>
          <w:noProof/>
          <w:color w:val="000000" w:themeColor="text1"/>
          <w:szCs w:val="24"/>
        </w:rPr>
        <w:t xml:space="preserve">ld Subunit is Important for </w:t>
      </w:r>
      <w:r w:rsidRPr="00BC51D9">
        <w:rPr>
          <w:rFonts w:cstheme="minorHAnsi"/>
          <w:b/>
          <w:noProof/>
          <w:color w:val="000000" w:themeColor="text1"/>
          <w:szCs w:val="24"/>
        </w:rPr>
        <w:t>M-Induced N Dephosphorylation.</w:t>
      </w:r>
      <w:r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F06CDC" w:rsidRPr="00BC51D9">
        <w:rPr>
          <w:rFonts w:cstheme="minorHAnsi"/>
          <w:noProof/>
          <w:color w:val="000000" w:themeColor="text1"/>
          <w:szCs w:val="24"/>
        </w:rPr>
        <w:t>Cell lysates from 293T cells co-expressing N and M, with or without knockdown of the PP2A scaffold subunit α (shPPP2R1A; shLuc as control), were analyzed by western blotting to evaluate the ability of the M protein to induce N dephosphorylation. Data are representative of two independent experiments.</w:t>
      </w:r>
    </w:p>
    <w:p w:rsidR="00A036CC" w:rsidRPr="00BC51D9" w:rsidRDefault="00A036CC" w:rsidP="00A036CC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8F45B4" w:rsidRPr="00BC51D9" w:rsidRDefault="008F45B4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7F6185" w:rsidP="00A036CC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1C9EEC68" wp14:editId="17E00F60">
            <wp:simplePos x="0" y="0"/>
            <wp:positionH relativeFrom="margin">
              <wp:align>center</wp:align>
            </wp:positionH>
            <wp:positionV relativeFrom="paragraph">
              <wp:posOffset>300597</wp:posOffset>
            </wp:positionV>
            <wp:extent cx="6645275" cy="3620135"/>
            <wp:effectExtent l="0" t="0" r="3175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2" r="788"/>
                    <a:stretch/>
                  </pic:blipFill>
                  <pic:spPr bwMode="auto">
                    <a:xfrm>
                      <a:off x="0" y="0"/>
                      <a:ext cx="6645275" cy="362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36CC" w:rsidRPr="00BC51D9">
        <w:rPr>
          <w:rFonts w:cstheme="minorHAnsi"/>
          <w:b/>
          <w:noProof/>
          <w:color w:val="000000" w:themeColor="text1"/>
          <w:szCs w:val="24"/>
        </w:rPr>
        <w:t xml:space="preserve">Supplementary Figure 6 </w:t>
      </w:r>
    </w:p>
    <w:p w:rsidR="00F410C5" w:rsidRPr="00BC51D9" w:rsidRDefault="00F410C5" w:rsidP="00BA414B">
      <w:pPr>
        <w:spacing w:line="360" w:lineRule="auto"/>
        <w:jc w:val="center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8F45B4" w:rsidRPr="00BC51D9" w:rsidRDefault="008F45B4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611F6D" w:rsidRPr="00BC51D9" w:rsidRDefault="00A036CC" w:rsidP="00611F6D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6. </w:t>
      </w:r>
      <w:r w:rsidR="00B656F3" w:rsidRPr="00BC51D9">
        <w:rPr>
          <w:rFonts w:cstheme="minorHAnsi"/>
          <w:b/>
          <w:noProof/>
          <w:color w:val="000000" w:themeColor="text1"/>
          <w:szCs w:val="24"/>
        </w:rPr>
        <w:t xml:space="preserve">Immunofluorescence </w:t>
      </w:r>
      <w:r w:rsidR="00F63C04" w:rsidRPr="00BC51D9">
        <w:rPr>
          <w:rFonts w:cstheme="minorHAnsi"/>
          <w:b/>
          <w:noProof/>
          <w:color w:val="000000" w:themeColor="text1"/>
          <w:szCs w:val="24"/>
        </w:rPr>
        <w:t>Staining</w:t>
      </w:r>
      <w:r w:rsidR="00B656F3" w:rsidRPr="00BC51D9">
        <w:rPr>
          <w:rFonts w:cstheme="minorHAnsi"/>
          <w:b/>
          <w:noProof/>
          <w:color w:val="000000" w:themeColor="text1"/>
          <w:szCs w:val="24"/>
        </w:rPr>
        <w:t xml:space="preserve"> of PP2A </w:t>
      </w:r>
      <w:r w:rsidR="00F63C04" w:rsidRPr="00BC51D9">
        <w:rPr>
          <w:rFonts w:cstheme="minorHAnsi"/>
          <w:b/>
          <w:noProof/>
          <w:color w:val="000000" w:themeColor="text1"/>
          <w:szCs w:val="24"/>
        </w:rPr>
        <w:t>C</w:t>
      </w:r>
      <w:r w:rsidR="00B656F3" w:rsidRPr="00BC51D9">
        <w:rPr>
          <w:rFonts w:cstheme="minorHAnsi"/>
          <w:b/>
          <w:noProof/>
          <w:color w:val="000000" w:themeColor="text1"/>
          <w:szCs w:val="24"/>
        </w:rPr>
        <w:t xml:space="preserve">atalytic </w:t>
      </w:r>
      <w:r w:rsidR="00F63C04" w:rsidRPr="00BC51D9">
        <w:rPr>
          <w:rFonts w:cstheme="minorHAnsi"/>
          <w:b/>
          <w:noProof/>
          <w:color w:val="000000" w:themeColor="text1"/>
          <w:szCs w:val="24"/>
        </w:rPr>
        <w:t>S</w:t>
      </w:r>
      <w:r w:rsidR="00B656F3" w:rsidRPr="00BC51D9">
        <w:rPr>
          <w:rFonts w:cstheme="minorHAnsi"/>
          <w:b/>
          <w:noProof/>
          <w:color w:val="000000" w:themeColor="text1"/>
          <w:szCs w:val="24"/>
        </w:rPr>
        <w:t>ubunit</w:t>
      </w:r>
      <w:r w:rsidR="00F63C04" w:rsidRPr="00BC51D9">
        <w:rPr>
          <w:rFonts w:cstheme="minorHAnsi"/>
          <w:b/>
          <w:noProof/>
          <w:color w:val="000000" w:themeColor="text1"/>
          <w:szCs w:val="24"/>
        </w:rPr>
        <w:t xml:space="preserve"> and M Protein</w:t>
      </w:r>
      <w:r w:rsidR="00B656F3" w:rsidRPr="00BC51D9">
        <w:rPr>
          <w:rFonts w:cstheme="minorHAnsi"/>
          <w:b/>
          <w:noProof/>
          <w:color w:val="000000" w:themeColor="text1"/>
          <w:szCs w:val="24"/>
        </w:rPr>
        <w:t>.</w:t>
      </w:r>
      <w:r w:rsidR="00B656F3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CD000F" w:rsidRPr="00BB468D">
        <w:rPr>
          <w:rFonts w:cstheme="minorHAnsi"/>
          <w:b/>
          <w:noProof/>
          <w:color w:val="000000" w:themeColor="text1"/>
          <w:szCs w:val="24"/>
        </w:rPr>
        <w:t>(A)</w:t>
      </w:r>
      <w:r w:rsidR="00CD000F" w:rsidRPr="00BC51D9">
        <w:rPr>
          <w:rFonts w:cstheme="minorHAnsi"/>
          <w:noProof/>
          <w:color w:val="000000" w:themeColor="text1"/>
          <w:szCs w:val="24"/>
        </w:rPr>
        <w:t xml:space="preserve"> Huh7 cells co-expressing N and M proteins (transfected at a molar ratio of 1:3) were fixed at 48 h post-transfection and subjected to immunofluorescence staining for PP2A catalytic subunit and M protein. Yellow signals indicate </w:t>
      </w:r>
      <w:r w:rsidR="00BB468D" w:rsidRPr="007A101C">
        <w:rPr>
          <w:rFonts w:cstheme="minorHAnsi"/>
          <w:noProof/>
          <w:color w:val="000000" w:themeColor="text1"/>
          <w:szCs w:val="24"/>
        </w:rPr>
        <w:t>colocalization of</w:t>
      </w:r>
      <w:r w:rsidR="00CD000F" w:rsidRPr="00BC51D9">
        <w:rPr>
          <w:rFonts w:cstheme="minorHAnsi"/>
          <w:noProof/>
          <w:color w:val="000000" w:themeColor="text1"/>
          <w:szCs w:val="24"/>
        </w:rPr>
        <w:t xml:space="preserve"> PP2A and M protein. </w:t>
      </w:r>
      <w:r w:rsidR="00CD000F" w:rsidRPr="00BB468D">
        <w:rPr>
          <w:rFonts w:cstheme="minorHAnsi"/>
          <w:b/>
          <w:noProof/>
          <w:color w:val="000000" w:themeColor="text1"/>
          <w:szCs w:val="24"/>
        </w:rPr>
        <w:t>(B)</w:t>
      </w:r>
      <w:r w:rsidR="00CD000F" w:rsidRPr="00BC51D9">
        <w:rPr>
          <w:rFonts w:cstheme="minorHAnsi"/>
          <w:noProof/>
          <w:color w:val="000000" w:themeColor="text1"/>
          <w:szCs w:val="24"/>
        </w:rPr>
        <w:t xml:space="preserve"> The percentage of cells showing colocalization of PP2A catalytic subunit (red) with M protein (green) was quantified (n &gt; 30 cells) and statistically analyzed using the chi-square test. Scale bar, 10 μm. ***p &lt; 0.001.</w:t>
      </w:r>
    </w:p>
    <w:p w:rsidR="00F410C5" w:rsidRPr="00BC51D9" w:rsidRDefault="00F410C5" w:rsidP="00920E9E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Pr="00BC51D9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F410C5" w:rsidRDefault="00F410C5" w:rsidP="00F410C5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E581B" w:rsidRPr="00BC51D9" w:rsidRDefault="005E581B" w:rsidP="00F410C5">
      <w:pPr>
        <w:spacing w:line="360" w:lineRule="auto"/>
        <w:jc w:val="both"/>
        <w:rPr>
          <w:rFonts w:cstheme="minorHAnsi" w:hint="eastAsia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="00975B90" w:rsidRPr="00BC51D9">
        <w:rPr>
          <w:rFonts w:cstheme="minorHAnsi"/>
          <w:b/>
          <w:noProof/>
          <w:color w:val="000000" w:themeColor="text1"/>
          <w:szCs w:val="24"/>
        </w:rPr>
        <w:t>7</w:t>
      </w:r>
    </w:p>
    <w:p w:rsidR="00B825C3" w:rsidRPr="00BC51D9" w:rsidRDefault="00D522A0" w:rsidP="00A21A43">
      <w:pPr>
        <w:spacing w:line="360" w:lineRule="auto"/>
        <w:jc w:val="center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drawing>
          <wp:inline distT="0" distB="0" distL="0" distR="0" wp14:anchorId="09BA9531" wp14:editId="55FA3EEF">
            <wp:extent cx="3757760" cy="3117850"/>
            <wp:effectExtent l="0" t="0" r="0" b="0"/>
            <wp:docPr id="1650459456" name="圖片 1650459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119" cy="3123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6E87" w:rsidRPr="00BC51D9" w:rsidRDefault="004E6E8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D522A0" w:rsidRPr="00BC51D9" w:rsidRDefault="00D522A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56FD8" w:rsidRPr="00BC51D9" w:rsidRDefault="00556FD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56FD8" w:rsidRPr="00BC51D9" w:rsidRDefault="00556FD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56FD8" w:rsidRPr="00BC51D9" w:rsidRDefault="00556FD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556FD8" w:rsidRPr="00BC51D9" w:rsidRDefault="00556FD8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941D92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 xml:space="preserve">Figure </w:t>
      </w:r>
      <w:r w:rsidR="00975B90" w:rsidRPr="00BC51D9">
        <w:rPr>
          <w:rFonts w:cstheme="minorHAnsi"/>
          <w:b/>
          <w:noProof/>
          <w:color w:val="000000" w:themeColor="text1"/>
          <w:szCs w:val="24"/>
        </w:rPr>
        <w:t>7</w:t>
      </w:r>
      <w:r w:rsidR="00F06CDC" w:rsidRPr="00BC51D9">
        <w:rPr>
          <w:rFonts w:cstheme="minorHAnsi"/>
          <w:b/>
          <w:noProof/>
          <w:color w:val="000000" w:themeColor="text1"/>
          <w:szCs w:val="24"/>
        </w:rPr>
        <w:t xml:space="preserve">. Packaged T20-Luc RNA Enhanced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M-Induced N Dephosphorylation.</w:t>
      </w:r>
      <w:r w:rsidR="00941D92" w:rsidRPr="00BC51D9">
        <w:rPr>
          <w:rFonts w:cstheme="minorHAnsi" w:hint="eastAsia"/>
          <w:b/>
          <w:noProof/>
          <w:color w:val="000000" w:themeColor="text1"/>
          <w:szCs w:val="24"/>
        </w:rPr>
        <w:t xml:space="preserve"> </w:t>
      </w:r>
      <w:r w:rsidR="00F06CDC" w:rsidRPr="00BC51D9">
        <w:rPr>
          <w:rFonts w:cstheme="minorHAnsi"/>
          <w:noProof/>
          <w:color w:val="000000" w:themeColor="text1"/>
          <w:szCs w:val="24"/>
        </w:rPr>
        <w:t xml:space="preserve">293T cells cotransfected with N- and M-expressing </w:t>
      </w:r>
      <w:r w:rsidR="008E2E9E">
        <w:rPr>
          <w:rFonts w:cstheme="minorHAnsi"/>
          <w:noProof/>
          <w:color w:val="000000" w:themeColor="text1"/>
          <w:szCs w:val="24"/>
        </w:rPr>
        <w:t>plasmid</w:t>
      </w:r>
      <w:r w:rsidR="00F06CDC" w:rsidRPr="00BC51D9">
        <w:rPr>
          <w:rFonts w:cstheme="minorHAnsi"/>
          <w:noProof/>
          <w:color w:val="000000" w:themeColor="text1"/>
          <w:szCs w:val="24"/>
        </w:rPr>
        <w:t>s, along with the T20-Luc construct, were lysed at 48 h post-transfection to obtain crude cell lysates (A) or cytosolic and membrane fractions (B). The samples were then subjected to electrophoresis and western blotting to evaluate N</w:t>
      </w:r>
      <w:r w:rsidR="008E2E9E">
        <w:rPr>
          <w:rFonts w:cstheme="minorHAnsi"/>
          <w:noProof/>
          <w:color w:val="000000" w:themeColor="text1"/>
          <w:szCs w:val="24"/>
        </w:rPr>
        <w:t xml:space="preserve"> phosphorylation and </w:t>
      </w:r>
      <w:r w:rsidR="000F45DE">
        <w:rPr>
          <w:rFonts w:cstheme="minorHAnsi"/>
          <w:noProof/>
          <w:color w:val="000000" w:themeColor="text1"/>
          <w:szCs w:val="24"/>
        </w:rPr>
        <w:t xml:space="preserve">PP2A </w:t>
      </w:r>
      <w:r w:rsidR="00F06CDC" w:rsidRPr="00BC51D9">
        <w:rPr>
          <w:rFonts w:cstheme="minorHAnsi"/>
          <w:noProof/>
          <w:color w:val="000000" w:themeColor="text1"/>
          <w:szCs w:val="24"/>
        </w:rPr>
        <w:t xml:space="preserve">recruitment. </w:t>
      </w:r>
      <w:r w:rsidR="000F45DE" w:rsidRPr="00AE5B9E">
        <w:rPr>
          <w:rFonts w:cstheme="minorHAnsi"/>
          <w:noProof/>
          <w:color w:val="000000" w:themeColor="text1"/>
          <w:szCs w:val="24"/>
        </w:rPr>
        <w:t>The relative amount</w:t>
      </w:r>
      <w:r w:rsidR="000F45DE">
        <w:rPr>
          <w:rFonts w:cstheme="minorHAnsi"/>
          <w:noProof/>
          <w:color w:val="000000" w:themeColor="text1"/>
          <w:szCs w:val="24"/>
        </w:rPr>
        <w:t>s</w:t>
      </w:r>
      <w:r w:rsidR="000F45DE" w:rsidRPr="00AE5B9E">
        <w:rPr>
          <w:rFonts w:cstheme="minorHAnsi"/>
          <w:noProof/>
          <w:color w:val="000000" w:themeColor="text1"/>
          <w:szCs w:val="24"/>
        </w:rPr>
        <w:t xml:space="preserve"> of </w:t>
      </w:r>
      <w:r w:rsidR="000F45DE">
        <w:rPr>
          <w:rFonts w:cstheme="minorHAnsi"/>
          <w:noProof/>
          <w:color w:val="000000" w:themeColor="text1"/>
          <w:szCs w:val="24"/>
        </w:rPr>
        <w:t>PP2A catalytic and scaffold subunits</w:t>
      </w:r>
      <w:r w:rsidR="000F45DE" w:rsidRPr="00AE5B9E">
        <w:rPr>
          <w:rFonts w:cstheme="minorHAnsi"/>
          <w:noProof/>
          <w:color w:val="000000" w:themeColor="text1"/>
          <w:szCs w:val="24"/>
        </w:rPr>
        <w:t xml:space="preserve"> in the </w:t>
      </w:r>
      <w:r w:rsidR="000F45DE">
        <w:rPr>
          <w:rFonts w:cstheme="minorHAnsi"/>
          <w:noProof/>
          <w:color w:val="000000" w:themeColor="text1"/>
          <w:szCs w:val="24"/>
        </w:rPr>
        <w:t xml:space="preserve">membrane-fractionated lysates were compared and </w:t>
      </w:r>
      <w:r w:rsidR="000F45DE">
        <w:t>normalized to</w:t>
      </w:r>
      <w:r w:rsidR="000F45DE">
        <w:rPr>
          <w:rFonts w:cstheme="minorHAnsi"/>
          <w:noProof/>
          <w:color w:val="000000" w:themeColor="text1"/>
          <w:szCs w:val="24"/>
        </w:rPr>
        <w:t xml:space="preserve"> </w:t>
      </w:r>
      <w:r w:rsidR="000F45DE" w:rsidRPr="000F45DE">
        <w:rPr>
          <w:rFonts w:cstheme="minorHAnsi"/>
          <w:noProof/>
          <w:color w:val="000000" w:themeColor="text1"/>
          <w:szCs w:val="24"/>
        </w:rPr>
        <w:t>the respective</w:t>
      </w:r>
      <w:r w:rsidR="000F45DE">
        <w:rPr>
          <w:rFonts w:cstheme="minorHAnsi"/>
          <w:noProof/>
          <w:color w:val="000000" w:themeColor="text1"/>
          <w:szCs w:val="24"/>
        </w:rPr>
        <w:t xml:space="preserve"> ERGIC-53 levels, with the mock control set to 1.0. </w:t>
      </w:r>
      <w:r w:rsidR="00F06CDC" w:rsidRPr="00BC51D9">
        <w:rPr>
          <w:rFonts w:cstheme="minorHAnsi"/>
          <w:noProof/>
          <w:color w:val="000000" w:themeColor="text1"/>
          <w:szCs w:val="24"/>
        </w:rPr>
        <w:t>Data are representative of three independent experiments.</w:t>
      </w:r>
    </w:p>
    <w:p w:rsidR="00941D92" w:rsidRPr="00BC51D9" w:rsidRDefault="00941D92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AE5B9E" w:rsidRDefault="00AE5B9E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AE5B9E" w:rsidRDefault="00AE5B9E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AE5B9E" w:rsidRDefault="00AE5B9E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AE5B9E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D522A0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7C4D3142" wp14:editId="3867BA65">
            <wp:simplePos x="0" y="0"/>
            <wp:positionH relativeFrom="column">
              <wp:posOffset>-1098550</wp:posOffset>
            </wp:positionH>
            <wp:positionV relativeFrom="paragraph">
              <wp:posOffset>317500</wp:posOffset>
            </wp:positionV>
            <wp:extent cx="7460615" cy="6267450"/>
            <wp:effectExtent l="0" t="0" r="0" b="0"/>
            <wp:wrapSquare wrapText="bothSides"/>
            <wp:docPr id="1650459457" name="圖片 1650459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" t="2180"/>
                    <a:stretch/>
                  </pic:blipFill>
                  <pic:spPr bwMode="auto">
                    <a:xfrm>
                      <a:off x="0" y="0"/>
                      <a:ext cx="7460615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747" w:rsidRPr="00BC51D9">
        <w:rPr>
          <w:rFonts w:cstheme="minorHAnsi"/>
          <w:b/>
          <w:noProof/>
          <w:color w:val="000000" w:themeColor="text1"/>
          <w:szCs w:val="24"/>
        </w:rPr>
        <w:t xml:space="preserve">Supplementary Figure </w:t>
      </w:r>
      <w:r w:rsidRPr="00BC51D9">
        <w:rPr>
          <w:rFonts w:cstheme="minorHAnsi"/>
          <w:b/>
          <w:noProof/>
          <w:color w:val="000000" w:themeColor="text1"/>
          <w:szCs w:val="24"/>
        </w:rPr>
        <w:t>8</w:t>
      </w:r>
    </w:p>
    <w:p w:rsidR="00B825C3" w:rsidRPr="00BC51D9" w:rsidRDefault="00B825C3" w:rsidP="003D76D7">
      <w:pPr>
        <w:spacing w:line="360" w:lineRule="auto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8F45B4" w:rsidRPr="00BC51D9" w:rsidRDefault="008F45B4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3B4CD8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="00D522A0" w:rsidRPr="00BC51D9">
        <w:rPr>
          <w:rFonts w:cstheme="minorHAnsi"/>
          <w:b/>
          <w:noProof/>
          <w:color w:val="000000" w:themeColor="text1"/>
          <w:szCs w:val="24"/>
        </w:rPr>
        <w:t>8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. Structural Comparison of Coronavirus N Protein</w:t>
      </w:r>
      <w:r w:rsidR="00F06CDC" w:rsidRPr="00BC51D9">
        <w:rPr>
          <w:rFonts w:cstheme="minorHAnsi"/>
          <w:b/>
          <w:noProof/>
          <w:color w:val="000000" w:themeColor="text1"/>
          <w:szCs w:val="24"/>
        </w:rPr>
        <w:t>s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 xml:space="preserve"> with Distinct Phospho-Mimetic States </w:t>
      </w:r>
      <w:r w:rsidR="00F06CDC" w:rsidRPr="00BC51D9">
        <w:rPr>
          <w:rFonts w:cstheme="minorHAnsi"/>
          <w:b/>
          <w:noProof/>
          <w:color w:val="000000" w:themeColor="text1"/>
          <w:szCs w:val="24"/>
        </w:rPr>
        <w:t xml:space="preserve">in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Viral M-N Complexex with Host PP2A</w:t>
      </w:r>
      <w:r w:rsidR="003824FF" w:rsidRPr="00BC51D9">
        <w:rPr>
          <w:rFonts w:cstheme="minorHAnsi"/>
          <w:b/>
          <w:noProof/>
          <w:color w:val="000000" w:themeColor="text1"/>
          <w:szCs w:val="24"/>
        </w:rPr>
        <w:t xml:space="preserve">.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 xml:space="preserve">(A) </w:t>
      </w:r>
      <w:r w:rsidR="00F06CDC" w:rsidRPr="00BC51D9">
        <w:rPr>
          <w:rFonts w:cstheme="minorHAnsi"/>
          <w:noProof/>
          <w:color w:val="000000" w:themeColor="text1"/>
          <w:szCs w:val="24"/>
        </w:rPr>
        <w:t>Schematic illustration of the functional domains of the SARS-CoV-2 N protein. The corresponding amino acid positions and key arginine residues (shown in red) responsible for viral RNA binding are indicated (left</w:t>
      </w:r>
      <w:r w:rsidR="00964DD7">
        <w:rPr>
          <w:rFonts w:cstheme="minorHAnsi"/>
          <w:noProof/>
          <w:color w:val="000000" w:themeColor="text1"/>
          <w:szCs w:val="24"/>
        </w:rPr>
        <w:t xml:space="preserve"> diagram</w:t>
      </w:r>
      <w:r w:rsidR="00F06CDC" w:rsidRPr="00BC51D9">
        <w:rPr>
          <w:rFonts w:cstheme="minorHAnsi"/>
          <w:noProof/>
          <w:color w:val="000000" w:themeColor="text1"/>
          <w:szCs w:val="24"/>
        </w:rPr>
        <w:t>). The 15 serine/threonine residues within the SR-rich region of the N protein were substituted with either aspartate</w:t>
      </w:r>
      <w:r w:rsidR="00964DD7">
        <w:rPr>
          <w:rFonts w:cstheme="minorHAnsi"/>
          <w:noProof/>
          <w:color w:val="000000" w:themeColor="text1"/>
          <w:szCs w:val="24"/>
        </w:rPr>
        <w:t>s</w:t>
      </w:r>
      <w:r w:rsidR="00F06CDC" w:rsidRPr="00BC51D9">
        <w:rPr>
          <w:rFonts w:cstheme="minorHAnsi"/>
          <w:noProof/>
          <w:color w:val="000000" w:themeColor="text1"/>
          <w:szCs w:val="24"/>
        </w:rPr>
        <w:t xml:space="preserve"> or alanine</w:t>
      </w:r>
      <w:r w:rsidR="00964DD7">
        <w:rPr>
          <w:rFonts w:cstheme="minorHAnsi"/>
          <w:noProof/>
          <w:color w:val="000000" w:themeColor="text1"/>
          <w:szCs w:val="24"/>
        </w:rPr>
        <w:t>s</w:t>
      </w:r>
      <w:r w:rsidR="00F06CDC" w:rsidRPr="00BC51D9">
        <w:rPr>
          <w:rFonts w:cstheme="minorHAnsi"/>
          <w:noProof/>
          <w:color w:val="000000" w:themeColor="text1"/>
          <w:szCs w:val="24"/>
        </w:rPr>
        <w:t xml:space="preserve"> to generate phospho-mimetic (N-15SD) or phospho-deficient (N-15SA) mutants, respectively. In addition, a priming-defective mutant with S-to-A substitutions at Ser188 and Ser206 (N-S188A/S206A), and a downstream phosphorylation-deficient mutant (N-10SA), were </w:t>
      </w:r>
      <w:r w:rsidR="00964DD7">
        <w:rPr>
          <w:rFonts w:cstheme="minorHAnsi"/>
          <w:noProof/>
          <w:color w:val="000000" w:themeColor="text1"/>
          <w:szCs w:val="24"/>
        </w:rPr>
        <w:t xml:space="preserve">also </w:t>
      </w:r>
      <w:r w:rsidR="00F06CDC" w:rsidRPr="00BC51D9">
        <w:rPr>
          <w:rFonts w:cstheme="minorHAnsi"/>
          <w:noProof/>
          <w:color w:val="000000" w:themeColor="text1"/>
          <w:szCs w:val="24"/>
        </w:rPr>
        <w:t>included. These mutants, along with wild-type N (N-WT), were subjected to structural comparison using AlphaFold 3.0 (right</w:t>
      </w:r>
      <w:r w:rsidR="00964DD7">
        <w:rPr>
          <w:rFonts w:cstheme="minorHAnsi"/>
          <w:noProof/>
          <w:color w:val="000000" w:themeColor="text1"/>
          <w:szCs w:val="24"/>
        </w:rPr>
        <w:t xml:space="preserve"> panels</w:t>
      </w:r>
      <w:r w:rsidR="00F06CDC" w:rsidRPr="00BC51D9">
        <w:rPr>
          <w:rFonts w:cstheme="minorHAnsi"/>
          <w:noProof/>
          <w:color w:val="000000" w:themeColor="text1"/>
          <w:szCs w:val="24"/>
        </w:rPr>
        <w:t>). N-IDR, N-terminal intrinsically disordered region; RBD, RNA-binding domain; DD, dimerization domain; C-IDR, C-terminal intrinsically disordered region.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(B)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F06CDC" w:rsidRPr="00BC51D9">
        <w:rPr>
          <w:rFonts w:cstheme="minorHAnsi"/>
          <w:noProof/>
          <w:color w:val="000000" w:themeColor="text1"/>
          <w:szCs w:val="24"/>
        </w:rPr>
        <w:t>As in described in (A), structural differences among SARS-CoV-2 complexes containing the M dimer and N protein (WT, N-15SD, or N-15SA) were evaluated.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(C)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F06CDC" w:rsidRPr="00BC51D9">
        <w:rPr>
          <w:rFonts w:cstheme="minorHAnsi"/>
          <w:noProof/>
          <w:color w:val="000000" w:themeColor="text1"/>
          <w:szCs w:val="24"/>
        </w:rPr>
        <w:t>The docking model of the SARS-CoV-2 M–N(15SD)–PP2A complex predicted by AlphaFold 3.0 is shown (left</w:t>
      </w:r>
      <w:r w:rsidR="00964DD7">
        <w:rPr>
          <w:rFonts w:cstheme="minorHAnsi"/>
          <w:noProof/>
          <w:color w:val="000000" w:themeColor="text1"/>
          <w:szCs w:val="24"/>
        </w:rPr>
        <w:t xml:space="preserve"> panel</w:t>
      </w:r>
      <w:r w:rsidR="00F06CDC" w:rsidRPr="00BC51D9">
        <w:rPr>
          <w:rFonts w:cstheme="minorHAnsi"/>
          <w:noProof/>
          <w:color w:val="000000" w:themeColor="text1"/>
          <w:szCs w:val="24"/>
        </w:rPr>
        <w:t>). The PP2A catalytic subunit (shown in forest green) is highlighted by its molecular surface, with residues in the active-site pocket marked in red. The inset (lower right</w:t>
      </w:r>
      <w:r w:rsidR="00964DD7">
        <w:rPr>
          <w:rFonts w:cstheme="minorHAnsi"/>
          <w:noProof/>
          <w:color w:val="000000" w:themeColor="text1"/>
          <w:szCs w:val="24"/>
        </w:rPr>
        <w:t xml:space="preserve"> panel</w:t>
      </w:r>
      <w:r w:rsidR="00F06CDC" w:rsidRPr="00BC51D9">
        <w:rPr>
          <w:rFonts w:cstheme="minorHAnsi"/>
          <w:noProof/>
          <w:color w:val="000000" w:themeColor="text1"/>
          <w:szCs w:val="24"/>
        </w:rPr>
        <w:t xml:space="preserve">) shows a simplified contact model between the PP2A catalytic subunit and the N protein with a concealed C-IDR. An enlarged view with an adjusted perspective is </w:t>
      </w:r>
      <w:r w:rsidR="00964DD7">
        <w:rPr>
          <w:rFonts w:cstheme="minorHAnsi"/>
          <w:noProof/>
          <w:color w:val="000000" w:themeColor="text1"/>
          <w:szCs w:val="24"/>
        </w:rPr>
        <w:t xml:space="preserve">also </w:t>
      </w:r>
      <w:r w:rsidR="00F06CDC" w:rsidRPr="00BC51D9">
        <w:rPr>
          <w:rFonts w:cstheme="minorHAnsi"/>
          <w:noProof/>
          <w:color w:val="000000" w:themeColor="text1"/>
          <w:szCs w:val="24"/>
        </w:rPr>
        <w:t>shown (right</w:t>
      </w:r>
      <w:r w:rsidR="00964DD7">
        <w:rPr>
          <w:rFonts w:cstheme="minorHAnsi"/>
          <w:noProof/>
          <w:color w:val="000000" w:themeColor="text1"/>
          <w:szCs w:val="24"/>
        </w:rPr>
        <w:t xml:space="preserve"> panel</w:t>
      </w:r>
      <w:r w:rsidR="00F06CDC" w:rsidRPr="00BC51D9">
        <w:rPr>
          <w:rFonts w:cstheme="minorHAnsi"/>
          <w:noProof/>
          <w:color w:val="000000" w:themeColor="text1"/>
          <w:szCs w:val="24"/>
        </w:rPr>
        <w:t>) to h</w:t>
      </w:r>
      <w:r w:rsidR="00964DD7">
        <w:rPr>
          <w:rFonts w:cstheme="minorHAnsi"/>
          <w:noProof/>
          <w:color w:val="000000" w:themeColor="text1"/>
          <w:szCs w:val="24"/>
        </w:rPr>
        <w:t>ighlight the proximity of the S</w:t>
      </w:r>
      <w:r w:rsidR="00F06CDC" w:rsidRPr="00BC51D9">
        <w:rPr>
          <w:rFonts w:cstheme="minorHAnsi"/>
          <w:noProof/>
          <w:color w:val="000000" w:themeColor="text1"/>
          <w:szCs w:val="24"/>
        </w:rPr>
        <w:t>R-rich region (orange) of the N protein to the active-site pocket of the PP2A catalytic subunit (red).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(</w:t>
      </w:r>
      <w:r w:rsidR="00F06CDC" w:rsidRPr="00BC51D9">
        <w:rPr>
          <w:rFonts w:cstheme="minorHAnsi"/>
          <w:b/>
          <w:noProof/>
          <w:color w:val="000000" w:themeColor="text1"/>
          <w:szCs w:val="24"/>
        </w:rPr>
        <w:t>D–F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)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0F4C0D" w:rsidRPr="00BC51D9">
        <w:rPr>
          <w:rFonts w:cstheme="minorHAnsi"/>
          <w:noProof/>
          <w:color w:val="000000" w:themeColor="text1"/>
          <w:szCs w:val="24"/>
        </w:rPr>
        <w:t>As described in (C), M–N(SD)–PP2A complex models from SARS-CoV-1 (D), JHMV (</w:t>
      </w:r>
      <w:r w:rsidR="00964DD7">
        <w:rPr>
          <w:rFonts w:cstheme="minorHAnsi"/>
          <w:noProof/>
          <w:color w:val="000000" w:themeColor="text1"/>
          <w:szCs w:val="24"/>
        </w:rPr>
        <w:t xml:space="preserve">E), and HCoV-229E (F) were </w:t>
      </w:r>
      <w:r w:rsidR="000F4C0D" w:rsidRPr="00BC51D9">
        <w:rPr>
          <w:rFonts w:cstheme="minorHAnsi"/>
          <w:noProof/>
          <w:color w:val="000000" w:themeColor="text1"/>
          <w:szCs w:val="24"/>
        </w:rPr>
        <w:t>predicted using AlphaFold 3.0 for comparison</w:t>
      </w:r>
      <w:r w:rsidR="00964DD7">
        <w:rPr>
          <w:rFonts w:cstheme="minorHAnsi"/>
          <w:noProof/>
          <w:color w:val="000000" w:themeColor="text1"/>
          <w:szCs w:val="24"/>
        </w:rPr>
        <w:t xml:space="preserve"> as well</w:t>
      </w:r>
      <w:r w:rsidR="000F4C0D" w:rsidRPr="00BC51D9">
        <w:rPr>
          <w:rFonts w:cstheme="minorHAnsi"/>
          <w:noProof/>
          <w:color w:val="000000" w:themeColor="text1"/>
          <w:szCs w:val="24"/>
        </w:rPr>
        <w:t>.</w:t>
      </w:r>
    </w:p>
    <w:p w:rsidR="000F4C0D" w:rsidRPr="00BC51D9" w:rsidRDefault="000F4C0D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E6E8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="00D522A0" w:rsidRPr="00BC51D9">
        <w:rPr>
          <w:rFonts w:cstheme="minorHAnsi"/>
          <w:b/>
          <w:noProof/>
          <w:color w:val="000000" w:themeColor="text1"/>
          <w:szCs w:val="24"/>
        </w:rPr>
        <w:t>9</w:t>
      </w:r>
    </w:p>
    <w:p w:rsidR="00B825C3" w:rsidRPr="00BC51D9" w:rsidRDefault="004E6E87" w:rsidP="004E6E87">
      <w:pPr>
        <w:spacing w:line="360" w:lineRule="auto"/>
        <w:jc w:val="center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noProof/>
          <w:color w:val="000000" w:themeColor="text1"/>
          <w:szCs w:val="24"/>
        </w:rPr>
        <w:drawing>
          <wp:inline distT="0" distB="0" distL="0" distR="0" wp14:anchorId="7E66939F" wp14:editId="403A4049">
            <wp:extent cx="4820855" cy="2447982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00" cy="2465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941D92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="00D522A0" w:rsidRPr="00BC51D9">
        <w:rPr>
          <w:rFonts w:cstheme="minorHAnsi"/>
          <w:b/>
          <w:noProof/>
          <w:color w:val="000000" w:themeColor="text1"/>
          <w:szCs w:val="24"/>
        </w:rPr>
        <w:t>9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. Inhibition of PP2A Activity Reduces the Viral Load of the Omicron XBB Subvariant.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0F4C0D" w:rsidRPr="00BC51D9">
        <w:rPr>
          <w:rFonts w:cstheme="minorHAnsi"/>
          <w:noProof/>
          <w:color w:val="000000" w:themeColor="text1"/>
          <w:szCs w:val="24"/>
        </w:rPr>
        <w:t>The experimental workflow for evaluating the antiviral effect of fostriecin (Fos) against the Omicron XBB subvariant of SARS-CoV-2 in infected Calu-3 cells is schematically illustrated (left</w:t>
      </w:r>
      <w:r w:rsidR="00534B3F">
        <w:rPr>
          <w:rFonts w:cstheme="minorHAnsi"/>
          <w:noProof/>
          <w:color w:val="000000" w:themeColor="text1"/>
          <w:szCs w:val="24"/>
        </w:rPr>
        <w:t xml:space="preserve"> diagram</w:t>
      </w:r>
      <w:r w:rsidR="000F4C0D" w:rsidRPr="00BC51D9">
        <w:rPr>
          <w:rFonts w:cstheme="minorHAnsi"/>
          <w:noProof/>
          <w:color w:val="000000" w:themeColor="text1"/>
          <w:szCs w:val="24"/>
        </w:rPr>
        <w:t>). Culture supernatants were collected and analyzed by plaque assay to determine viral load. Viral titers from two independent experiments are presented as log values (mean ± SD) of plaque-forming units (PFU) per mL, along with relative percentages compared with the ddH₂O control group (set to 100%) (right</w:t>
      </w:r>
      <w:r w:rsidR="00534B3F">
        <w:rPr>
          <w:rFonts w:cstheme="minorHAnsi"/>
          <w:noProof/>
          <w:color w:val="000000" w:themeColor="text1"/>
          <w:szCs w:val="24"/>
        </w:rPr>
        <w:t xml:space="preserve"> bar graph</w:t>
      </w:r>
      <w:r w:rsidR="000F4C0D" w:rsidRPr="00BC51D9">
        <w:rPr>
          <w:rFonts w:cstheme="minorHAnsi"/>
          <w:noProof/>
          <w:color w:val="000000" w:themeColor="text1"/>
          <w:szCs w:val="24"/>
        </w:rPr>
        <w:t>). *p &lt; 0.05.</w:t>
      </w: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CF3C75" w:rsidRPr="00BC51D9" w:rsidRDefault="00CF3C75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1602D2" w:rsidRPr="00BC51D9" w:rsidRDefault="001602D2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="00D522A0" w:rsidRPr="00BC51D9">
        <w:rPr>
          <w:rFonts w:cstheme="minorHAnsi"/>
          <w:b/>
          <w:noProof/>
          <w:color w:val="000000" w:themeColor="text1"/>
          <w:szCs w:val="24"/>
        </w:rPr>
        <w:t>10</w:t>
      </w:r>
    </w:p>
    <w:p w:rsidR="00B825C3" w:rsidRPr="00BC51D9" w:rsidRDefault="004E6E87" w:rsidP="004E6E87">
      <w:pPr>
        <w:spacing w:line="360" w:lineRule="auto"/>
        <w:jc w:val="center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drawing>
          <wp:inline distT="0" distB="0" distL="0" distR="0" wp14:anchorId="15C0FE5F" wp14:editId="27EB51CA">
            <wp:extent cx="5355273" cy="3727048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826" cy="3734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25C3" w:rsidRPr="00BC51D9" w:rsidRDefault="00B825C3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8F45B4" w:rsidRPr="00BC51D9" w:rsidRDefault="008F45B4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941D92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="00D522A0" w:rsidRPr="00BC51D9">
        <w:rPr>
          <w:rFonts w:cstheme="minorHAnsi"/>
          <w:b/>
          <w:noProof/>
          <w:color w:val="000000" w:themeColor="text1"/>
          <w:szCs w:val="24"/>
        </w:rPr>
        <w:t>10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 xml:space="preserve">. Combined Treatment of </w:t>
      </w:r>
      <w:r w:rsidR="001602D2" w:rsidRPr="00BC51D9">
        <w:rPr>
          <w:rFonts w:cstheme="minorHAnsi" w:hint="eastAsia"/>
          <w:b/>
          <w:noProof/>
          <w:color w:val="000000" w:themeColor="text1"/>
          <w:szCs w:val="24"/>
        </w:rPr>
        <w:t>a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 xml:space="preserve"> PP2A Inhibitor </w:t>
      </w:r>
      <w:r w:rsidR="001602D2" w:rsidRPr="00BC51D9">
        <w:rPr>
          <w:rFonts w:cstheme="minorHAnsi"/>
          <w:b/>
          <w:noProof/>
          <w:color w:val="000000" w:themeColor="text1"/>
          <w:szCs w:val="24"/>
        </w:rPr>
        <w:t>and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 xml:space="preserve"> Camostat Displays Additive Anti-SARS-CoV-2 Effects.</w:t>
      </w:r>
      <w:r w:rsidR="003824FF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1602D2" w:rsidRPr="00BC51D9">
        <w:rPr>
          <w:rFonts w:cstheme="minorHAnsi"/>
          <w:noProof/>
          <w:color w:val="000000" w:themeColor="text1"/>
          <w:szCs w:val="24"/>
        </w:rPr>
        <w:t>The experimental workflow for determining the antiviral effect of LB-100 (LB) in combination with camostat (Camo) against SARS-CoV-2 in infected Calu-3 cells is shown (left</w:t>
      </w:r>
      <w:r w:rsidR="00465CCB">
        <w:rPr>
          <w:rFonts w:cstheme="minorHAnsi"/>
          <w:noProof/>
          <w:color w:val="000000" w:themeColor="text1"/>
          <w:szCs w:val="24"/>
        </w:rPr>
        <w:t xml:space="preserve"> diagram</w:t>
      </w:r>
      <w:r w:rsidR="001602D2" w:rsidRPr="00BC51D9">
        <w:rPr>
          <w:rFonts w:cstheme="minorHAnsi"/>
          <w:noProof/>
          <w:color w:val="000000" w:themeColor="text1"/>
          <w:szCs w:val="24"/>
        </w:rPr>
        <w:t>). Culture supernatants collected at 24–48 h post-infection were analyzed by plaque assay to determine viral load. Viral titers from two independent experiments are presented as log values (mean ± SD) of plaque-forming units (PFU) per mL, along with relative percentages compared with the ddH₂O control g</w:t>
      </w:r>
      <w:r w:rsidR="00465CCB">
        <w:rPr>
          <w:rFonts w:cstheme="minorHAnsi"/>
          <w:noProof/>
          <w:color w:val="000000" w:themeColor="text1"/>
          <w:szCs w:val="24"/>
        </w:rPr>
        <w:t>roup (set to 100%) (right bar graph</w:t>
      </w:r>
      <w:r w:rsidR="001602D2" w:rsidRPr="00BC51D9">
        <w:rPr>
          <w:rFonts w:cstheme="minorHAnsi"/>
          <w:noProof/>
          <w:color w:val="000000" w:themeColor="text1"/>
          <w:szCs w:val="24"/>
        </w:rPr>
        <w:t>). The corresponding supernatants were also analyzed by western blotting to assess N and M protein levels in secreted virions; representative data from two independent experiments are shown (right panels). *p &lt; 0.05; **p &lt; 0.01.</w:t>
      </w:r>
    </w:p>
    <w:p w:rsidR="00B825C3" w:rsidRPr="00BC51D9" w:rsidRDefault="00B825C3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8F45B4" w:rsidRPr="00BC51D9" w:rsidRDefault="008F45B4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CF2D21" w:rsidRPr="00BC51D9" w:rsidRDefault="00CF2D21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="00D522A0" w:rsidRPr="00BC51D9">
        <w:rPr>
          <w:rFonts w:cstheme="minorHAnsi"/>
          <w:b/>
          <w:noProof/>
          <w:color w:val="000000" w:themeColor="text1"/>
          <w:szCs w:val="24"/>
        </w:rPr>
        <w:t>11</w:t>
      </w:r>
    </w:p>
    <w:p w:rsidR="00B825C3" w:rsidRPr="00BC51D9" w:rsidRDefault="004E6E87" w:rsidP="00197A1C">
      <w:pPr>
        <w:spacing w:line="360" w:lineRule="auto"/>
        <w:jc w:val="center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drawing>
          <wp:inline distT="0" distB="0" distL="0" distR="0" wp14:anchorId="09AD6C9B" wp14:editId="5D2C2EF4">
            <wp:extent cx="5003800" cy="4171209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274" cy="4184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8F45B4" w:rsidRPr="00BC51D9" w:rsidRDefault="008F45B4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</w:p>
    <w:p w:rsidR="00941D92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Figure </w:t>
      </w:r>
      <w:r w:rsidR="00D522A0" w:rsidRPr="00BC51D9">
        <w:rPr>
          <w:rFonts w:cstheme="minorHAnsi"/>
          <w:b/>
          <w:noProof/>
          <w:color w:val="000000" w:themeColor="text1"/>
          <w:szCs w:val="24"/>
        </w:rPr>
        <w:t>11</w:t>
      </w:r>
      <w:r w:rsidR="00CF2D21" w:rsidRPr="00BC51D9">
        <w:rPr>
          <w:rFonts w:cstheme="minorHAnsi"/>
          <w:b/>
          <w:noProof/>
          <w:color w:val="000000" w:themeColor="text1"/>
          <w:szCs w:val="24"/>
        </w:rPr>
        <w:t xml:space="preserve">.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PP2A Inhibitors Displa</w:t>
      </w:r>
      <w:r w:rsidR="00CF2D21" w:rsidRPr="00BC51D9">
        <w:rPr>
          <w:rFonts w:cstheme="minorHAnsi"/>
          <w:b/>
          <w:noProof/>
          <w:color w:val="000000" w:themeColor="text1"/>
          <w:szCs w:val="24"/>
        </w:rPr>
        <w:t>y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 xml:space="preserve"> Antiviral Effect</w:t>
      </w:r>
      <w:r w:rsidR="00CF2D21" w:rsidRPr="00BC51D9">
        <w:rPr>
          <w:rFonts w:cstheme="minorHAnsi"/>
          <w:b/>
          <w:noProof/>
          <w:color w:val="000000" w:themeColor="text1"/>
          <w:szCs w:val="24"/>
        </w:rPr>
        <w:t>s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 xml:space="preserve"> against JHMV and HCoV-229E.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(A)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CF2D21" w:rsidRPr="00BC51D9">
        <w:rPr>
          <w:rFonts w:cstheme="minorHAnsi"/>
          <w:noProof/>
          <w:color w:val="000000" w:themeColor="text1"/>
          <w:szCs w:val="24"/>
        </w:rPr>
        <w:t>The experimental workflow for evaluating the antiviral effects of fostriecin (Fos) and LB-100 (LB) against JHMV and HCoV-229E is schematically illustrated.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(B</w:t>
      </w:r>
      <w:r w:rsidR="00CF2D21" w:rsidRPr="00BC51D9">
        <w:rPr>
          <w:rFonts w:cstheme="minorHAnsi"/>
          <w:noProof/>
          <w:color w:val="000000" w:themeColor="text1"/>
          <w:szCs w:val="24"/>
        </w:rPr>
        <w:t xml:space="preserve">, </w:t>
      </w:r>
      <w:r w:rsidR="00941D92" w:rsidRPr="00BC51D9">
        <w:rPr>
          <w:rFonts w:cstheme="minorHAnsi"/>
          <w:b/>
          <w:noProof/>
          <w:color w:val="000000" w:themeColor="text1"/>
          <w:szCs w:val="24"/>
        </w:rPr>
        <w:t>C)</w:t>
      </w:r>
      <w:r w:rsidR="00941D92" w:rsidRPr="00BC51D9">
        <w:rPr>
          <w:rFonts w:cstheme="minorHAnsi"/>
          <w:noProof/>
          <w:color w:val="000000" w:themeColor="text1"/>
          <w:szCs w:val="24"/>
        </w:rPr>
        <w:t xml:space="preserve"> </w:t>
      </w:r>
      <w:r w:rsidR="00CF2D21" w:rsidRPr="00BC51D9">
        <w:rPr>
          <w:rFonts w:cstheme="minorHAnsi"/>
          <w:noProof/>
          <w:color w:val="000000" w:themeColor="text1"/>
          <w:szCs w:val="24"/>
        </w:rPr>
        <w:t>Culture supernatants collected at 16.5 h post-infection were analyzed by RT–qPCR to determine viral load. Data from two independent experiments are presented as relative percentages, with the ddH₂O control group set to 100%. *p &lt; 0.05.</w:t>
      </w: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434747" w:rsidRPr="00BC51D9" w:rsidRDefault="0043474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985692" w:rsidRPr="00BC51D9" w:rsidRDefault="00985692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985692" w:rsidRPr="00BC51D9" w:rsidRDefault="00985692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985692" w:rsidRPr="00BC51D9" w:rsidRDefault="00985692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2F7107" w:rsidRPr="00BC51D9" w:rsidRDefault="002F710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2F7107" w:rsidRPr="00BC51D9" w:rsidRDefault="002F710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2F7107" w:rsidRPr="00BC51D9" w:rsidRDefault="002F7107" w:rsidP="00941D92">
      <w:pPr>
        <w:spacing w:line="360" w:lineRule="auto"/>
        <w:jc w:val="both"/>
        <w:rPr>
          <w:rFonts w:cstheme="minorHAnsi"/>
          <w:noProof/>
          <w:color w:val="000000" w:themeColor="text1"/>
          <w:szCs w:val="24"/>
        </w:rPr>
      </w:pPr>
    </w:p>
    <w:p w:rsidR="00B825C3" w:rsidRPr="00BC51D9" w:rsidRDefault="00434747" w:rsidP="00941D92">
      <w:pPr>
        <w:spacing w:line="360" w:lineRule="auto"/>
        <w:jc w:val="both"/>
        <w:rPr>
          <w:rFonts w:cstheme="minorHAnsi"/>
          <w:b/>
          <w:noProof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</w:t>
      </w:r>
      <w:r w:rsidR="002B6B1E" w:rsidRPr="00BC51D9">
        <w:rPr>
          <w:rFonts w:cstheme="minorHAnsi"/>
          <w:b/>
          <w:noProof/>
          <w:color w:val="000000" w:themeColor="text1"/>
          <w:szCs w:val="24"/>
        </w:rPr>
        <w:t>Table 1: List of Applied Primer Sets</w:t>
      </w:r>
      <w:r w:rsidR="00AC27D4" w:rsidRPr="00BC51D9">
        <w:rPr>
          <w:rFonts w:cstheme="minorHAnsi" w:hint="eastAsia"/>
          <w:b/>
          <w:noProof/>
          <w:color w:val="000000" w:themeColor="text1"/>
          <w:szCs w:val="24"/>
        </w:rPr>
        <w:t>.</w:t>
      </w:r>
    </w:p>
    <w:tbl>
      <w:tblPr>
        <w:tblW w:w="835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8"/>
        <w:gridCol w:w="6521"/>
      </w:tblGrid>
      <w:tr w:rsidR="00BC51D9" w:rsidRPr="00BC51D9" w:rsidTr="006775BC">
        <w:trPr>
          <w:trHeight w:val="51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b/>
                <w:bCs/>
                <w:color w:val="000000" w:themeColor="text1"/>
                <w:kern w:val="0"/>
                <w:szCs w:val="24"/>
              </w:rPr>
              <w:t>Primer Name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b/>
                <w:bCs/>
                <w:color w:val="000000" w:themeColor="text1"/>
                <w:kern w:val="0"/>
                <w:szCs w:val="24"/>
              </w:rPr>
              <w:t>Primer Sequence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N-S188A-F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5’-CTCTTCTCGTTCCTCAGCACGTAGTCGCAACAG-3’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N-S188A-R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5’-CTGTTGCGACTACGTGCTGAGGAACGAGAAGAG-3’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N-S206A-F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5’-CAGCAGTAGGGGAACTGCTCCTGCTAGAATGGC-3’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N-S206A-R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5’-GCCATTCTAGCAGGAGCAGTTCCCCTACTGCTG-3’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N-S188D-F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5’- GCCTCTTCTCGTTCCTCAGATCGTAGTCGCAACAGTTCAAG-3'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N-S188D-R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5’- CTTGAACTGTTGCGACTACGATCTGAGGAACGAGAAGAGGC-3'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N-S206D-F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GCAGCAGTAGGGGAACTGATCCTGCTAGAATGGCTGG-3'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N-S206D-R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CCAGCCATTCTAGCAGGATCAGTTCCCCTACTGCTGC 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E-</w:t>
            </w: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Sarbeco</w:t>
            </w:r>
            <w:proofErr w:type="spellEnd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ACAGGTACGTTAATAGTTAATAGCGT 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E-</w:t>
            </w: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Sarbeco</w:t>
            </w:r>
            <w:proofErr w:type="spellEnd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-R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ATATTGCAGCAGTACGCACACA 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20914-F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AGACAGTGGTTGCCTACGGG 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21223-R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ATGCGAAGTGTCCCATGAGC 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JHMV-F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ATGTCTTTTGTTCCTGGGCAA 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JHMV-R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CCGGAATTGGGTTGAGTAGT 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229E-</w:t>
            </w: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1ab</w:t>
            </w:r>
            <w:proofErr w:type="spellEnd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GCATATGGCTGTTCTACTATTGCGC -3'</w:t>
            </w:r>
          </w:p>
        </w:tc>
      </w:tr>
      <w:tr w:rsidR="00BC51D9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229E-</w:t>
            </w: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1ab</w:t>
            </w:r>
            <w:proofErr w:type="spellEnd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-R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BC2" w:rsidRPr="00BC51D9" w:rsidRDefault="009C6BC2" w:rsidP="009C6BC2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CCAACCACCCATGAAGCATAAAAGG -3'</w:t>
            </w:r>
          </w:p>
        </w:tc>
      </w:tr>
      <w:tr w:rsidR="00450A06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proofErr w:type="spellStart"/>
            <w:r w:rsidRPr="00BC51D9">
              <w:rPr>
                <w:color w:val="000000" w:themeColor="text1"/>
                <w:szCs w:val="24"/>
              </w:rPr>
              <w:t>PBGD-1070F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 w:hint="eastAsia"/>
                <w:color w:val="000000" w:themeColor="text1"/>
                <w:kern w:val="0"/>
                <w:szCs w:val="24"/>
              </w:rPr>
              <w:t>5</w:t>
            </w: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 xml:space="preserve">’- </w:t>
            </w: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CATGAAGATGGCCCTGAGGAT</w:t>
            </w:r>
            <w:proofErr w:type="spellEnd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 xml:space="preserve"> -3’</w:t>
            </w:r>
          </w:p>
        </w:tc>
      </w:tr>
      <w:tr w:rsidR="00450A06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proofErr w:type="spellStart"/>
            <w:r w:rsidRPr="00BC51D9">
              <w:rPr>
                <w:color w:val="000000" w:themeColor="text1"/>
                <w:szCs w:val="24"/>
              </w:rPr>
              <w:t>PBGD-1266R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 w:hint="eastAsia"/>
                <w:color w:val="000000" w:themeColor="text1"/>
                <w:kern w:val="0"/>
                <w:szCs w:val="24"/>
              </w:rPr>
              <w:t>5</w:t>
            </w: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 xml:space="preserve">’- </w:t>
            </w: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CTGGTTTGTGGGGCACAGATGCC</w:t>
            </w:r>
            <w:proofErr w:type="spellEnd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 xml:space="preserve"> -3’</w:t>
            </w:r>
          </w:p>
        </w:tc>
      </w:tr>
      <w:tr w:rsidR="00450A06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CoV-N-1F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AAGCTGGACTTCCCTATGGTGC -3'</w:t>
            </w:r>
          </w:p>
        </w:tc>
      </w:tr>
      <w:tr w:rsidR="00450A06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CoV-N-</w:t>
            </w: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1R</w:t>
            </w:r>
            <w:proofErr w:type="spellEnd"/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CCTTGGGTTTGTTCTGGACCACG -3'</w:t>
            </w:r>
          </w:p>
        </w:tc>
      </w:tr>
      <w:tr w:rsidR="00450A06" w:rsidRPr="00BC51D9" w:rsidTr="006775BC">
        <w:trPr>
          <w:trHeight w:val="3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PBGD</w:t>
            </w:r>
            <w:proofErr w:type="spellEnd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-F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GGTGACCAGCACACTTTGGG -3'</w:t>
            </w:r>
          </w:p>
        </w:tc>
      </w:tr>
      <w:tr w:rsidR="00450A06" w:rsidRPr="00BC51D9" w:rsidTr="006775BC">
        <w:trPr>
          <w:trHeight w:val="3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proofErr w:type="spellStart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PBGD</w:t>
            </w:r>
            <w:proofErr w:type="spellEnd"/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-R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A06" w:rsidRPr="00BC51D9" w:rsidRDefault="00450A06" w:rsidP="00450A06">
            <w:pPr>
              <w:widowControl/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</w:pPr>
            <w:r w:rsidRPr="00BC51D9">
              <w:rPr>
                <w:rFonts w:ascii="Calibri" w:eastAsia="新細明體" w:hAnsi="Calibri" w:cs="Calibri"/>
                <w:color w:val="000000" w:themeColor="text1"/>
                <w:kern w:val="0"/>
                <w:szCs w:val="24"/>
              </w:rPr>
              <w:t>5'- AGCCGGGTGTTGAGGTTTCC -3'</w:t>
            </w:r>
          </w:p>
        </w:tc>
      </w:tr>
    </w:tbl>
    <w:p w:rsidR="002F5BB7" w:rsidRPr="00BC51D9" w:rsidRDefault="002F5BB7">
      <w:pPr>
        <w:rPr>
          <w:color w:val="000000" w:themeColor="text1"/>
        </w:rPr>
      </w:pPr>
    </w:p>
    <w:p w:rsidR="009B1240" w:rsidRPr="00BC51D9" w:rsidRDefault="009B1240">
      <w:pPr>
        <w:rPr>
          <w:color w:val="000000" w:themeColor="text1"/>
        </w:rPr>
      </w:pPr>
    </w:p>
    <w:p w:rsidR="009B1240" w:rsidRPr="00BC51D9" w:rsidRDefault="009B1240">
      <w:pPr>
        <w:rPr>
          <w:color w:val="000000" w:themeColor="text1"/>
        </w:rPr>
      </w:pPr>
    </w:p>
    <w:p w:rsidR="009B1240" w:rsidRPr="00BC51D9" w:rsidRDefault="009B1240">
      <w:pPr>
        <w:rPr>
          <w:color w:val="000000" w:themeColor="text1"/>
        </w:rPr>
      </w:pPr>
    </w:p>
    <w:p w:rsidR="009B1240" w:rsidRPr="00BC51D9" w:rsidRDefault="009B1240">
      <w:pPr>
        <w:rPr>
          <w:color w:val="000000" w:themeColor="text1"/>
        </w:rPr>
      </w:pPr>
    </w:p>
    <w:p w:rsidR="002F7107" w:rsidRPr="00BC51D9" w:rsidRDefault="002F7107">
      <w:pPr>
        <w:rPr>
          <w:color w:val="000000" w:themeColor="text1"/>
        </w:rPr>
      </w:pPr>
    </w:p>
    <w:p w:rsidR="002F7107" w:rsidRPr="00BC51D9" w:rsidRDefault="002F7107">
      <w:pPr>
        <w:rPr>
          <w:color w:val="000000" w:themeColor="text1"/>
        </w:rPr>
      </w:pPr>
    </w:p>
    <w:p w:rsidR="002F7107" w:rsidRPr="00BC51D9" w:rsidRDefault="002F7107">
      <w:pPr>
        <w:rPr>
          <w:color w:val="000000" w:themeColor="text1"/>
        </w:rPr>
      </w:pPr>
    </w:p>
    <w:p w:rsidR="002F7107" w:rsidRPr="00BC51D9" w:rsidRDefault="002F7107">
      <w:pPr>
        <w:rPr>
          <w:color w:val="000000" w:themeColor="text1"/>
        </w:rPr>
      </w:pPr>
    </w:p>
    <w:p w:rsidR="002F7107" w:rsidRPr="00BC51D9" w:rsidRDefault="002F7107">
      <w:pPr>
        <w:rPr>
          <w:color w:val="000000" w:themeColor="text1"/>
        </w:rPr>
      </w:pPr>
    </w:p>
    <w:p w:rsidR="002F7107" w:rsidRPr="00BC51D9" w:rsidRDefault="002F7107">
      <w:pPr>
        <w:rPr>
          <w:color w:val="000000" w:themeColor="text1"/>
        </w:rPr>
      </w:pPr>
    </w:p>
    <w:p w:rsidR="009B1240" w:rsidRPr="00BC51D9" w:rsidRDefault="009B1240" w:rsidP="009B1240">
      <w:pPr>
        <w:spacing w:line="360" w:lineRule="auto"/>
        <w:jc w:val="both"/>
        <w:rPr>
          <w:rFonts w:cstheme="minorHAnsi"/>
          <w:b/>
          <w:i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 xml:space="preserve">Supplementary Table 2: </w:t>
      </w:r>
      <w:r w:rsidR="00A51DAD" w:rsidRPr="00A51DAD">
        <w:rPr>
          <w:rFonts w:cstheme="minorHAnsi"/>
          <w:b/>
          <w:noProof/>
          <w:color w:val="000000" w:themeColor="text1"/>
          <w:szCs w:val="24"/>
        </w:rPr>
        <w:t>List of Information for Key Resources Used</w:t>
      </w:r>
    </w:p>
    <w:tbl>
      <w:tblPr>
        <w:tblStyle w:val="1"/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2552"/>
        <w:gridCol w:w="2268"/>
      </w:tblGrid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Reagent or Resource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Source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Identifier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/>
                <w:b/>
                <w:i/>
                <w:color w:val="000000" w:themeColor="text1"/>
                <w:szCs w:val="24"/>
              </w:rPr>
              <w:t>Antibodies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anti-SCoV-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N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Wu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6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-phospho-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SCoV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 xml:space="preserve">-N 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(S177)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Wu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6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anti-SARS-CoV-2 Spike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Genetex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GTX632604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anti-SARS-CoV-2 E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Genetex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GTX136046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anti-SARS-CoV-2 Nsp3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Genetex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GTX135589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FASN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Genetex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GTX109833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anti-PPP2R1A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Genetex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GTX102206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PPP1C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Genetex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GTX105295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PK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Genetex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GTX107546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S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ARS-CoV-2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M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Novus Biologicals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NBP3-05698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Mouse anti-PPP2C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Sigma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-Aldrich</w:t>
            </w:r>
          </w:p>
        </w:tc>
        <w:tc>
          <w:tcPr>
            <w:tcW w:w="2268" w:type="dxa"/>
          </w:tcPr>
          <w:p w:rsidR="009B1240" w:rsidRPr="00BC51D9" w:rsidRDefault="00C94322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SAB1411750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Mouse anti-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β-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Actin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Sigma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-Aldrich</w:t>
            </w:r>
          </w:p>
        </w:tc>
        <w:tc>
          <w:tcPr>
            <w:tcW w:w="2268" w:type="dxa"/>
          </w:tcPr>
          <w:p w:rsidR="009B1240" w:rsidRPr="00BC51D9" w:rsidRDefault="00C94322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A5441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anti-phospho-Akt (T308)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Cell Signaling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# 4056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anti-pan Akt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Cell Signaling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# 4691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anti-phospho-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GSK-3β 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(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S9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Cell Signaling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# 9336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GSK-3β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Cell Signaling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# 9315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Rabbit anti-HA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(F-7)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Santa Cruz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sc-7392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Mouse anti-RTN3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(F-6)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Santa Cruz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sc-374599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Mouse anti-ERGIC-53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(F-3)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Santa Cruz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sc-398777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Mouse anti-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β-Catenin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BD Biosciences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# 610154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Mouse anti-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active-β-Catenin (8E7)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Merck Millipore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05-665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t>Virus Strain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NTU03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/2020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 (Accession</w:t>
            </w:r>
          </w:p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ID:EPI_ISL_413592)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NTU17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/2020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 (Accession</w:t>
            </w:r>
          </w:p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ID:EPI_ISL_422419)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NTU37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/2020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 (Accession</w:t>
            </w:r>
          </w:p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ID:EPI_ISL_740547)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NTU52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/2021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 (Accession</w:t>
            </w:r>
          </w:p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ID:EPI_ISL_1041958)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NTU54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/2021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 (Accession</w:t>
            </w:r>
          </w:p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ID:EPI_ISL_1039160)</w:t>
            </w:r>
          </w:p>
        </w:tc>
      </w:tr>
      <w:tr w:rsidR="00BC51D9" w:rsidRPr="00BC51D9" w:rsidTr="002F5BB7">
        <w:tc>
          <w:tcPr>
            <w:tcW w:w="3544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NTU61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/2021</w:t>
            </w:r>
          </w:p>
        </w:tc>
        <w:tc>
          <w:tcPr>
            <w:tcW w:w="2552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 (Accession</w:t>
            </w:r>
          </w:p>
          <w:p w:rsidR="009B1240" w:rsidRPr="00BC51D9" w:rsidRDefault="009B1240" w:rsidP="002F5BB7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ID:EPI_ISL_1667474)</w:t>
            </w:r>
          </w:p>
        </w:tc>
      </w:tr>
      <w:tr w:rsidR="00BC51D9" w:rsidRPr="00BC51D9" w:rsidTr="008213F0">
        <w:trPr>
          <w:trHeight w:val="841"/>
        </w:trPr>
        <w:tc>
          <w:tcPr>
            <w:tcW w:w="3544" w:type="dxa"/>
          </w:tcPr>
          <w:p w:rsidR="009B1240" w:rsidRPr="00BC51D9" w:rsidRDefault="009B1240" w:rsidP="009B124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NTU62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/2021</w:t>
            </w:r>
          </w:p>
        </w:tc>
        <w:tc>
          <w:tcPr>
            <w:tcW w:w="2552" w:type="dxa"/>
          </w:tcPr>
          <w:p w:rsidR="009B1240" w:rsidRPr="00BC51D9" w:rsidRDefault="009B1240" w:rsidP="009B124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9B1240" w:rsidRPr="00BC51D9" w:rsidRDefault="009B1240" w:rsidP="009B124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 (Accession</w:t>
            </w:r>
          </w:p>
          <w:p w:rsidR="009B1240" w:rsidRPr="00BC51D9" w:rsidRDefault="009B1240" w:rsidP="009B124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ID:EPI_ISL_1667475)</w:t>
            </w:r>
          </w:p>
        </w:tc>
      </w:tr>
      <w:tr w:rsidR="00BC51D9" w:rsidRPr="00BC51D9" w:rsidTr="008213F0">
        <w:trPr>
          <w:trHeight w:val="274"/>
        </w:trPr>
        <w:tc>
          <w:tcPr>
            <w:tcW w:w="8364" w:type="dxa"/>
            <w:gridSpan w:val="3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lastRenderedPageBreak/>
              <w:t>Continued</w:t>
            </w:r>
          </w:p>
        </w:tc>
      </w:tr>
      <w:tr w:rsidR="00BC51D9" w:rsidRPr="00BC51D9" w:rsidTr="008213F0">
        <w:trPr>
          <w:trHeight w:val="222"/>
        </w:trPr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Reagent or Resource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Source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Identifier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NTU96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/2021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NTU110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/2021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 (Accession</w:t>
            </w:r>
          </w:p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ID:EPI_ISL_11362243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)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NTU119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/2021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NTU121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/2021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NTU128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 xml:space="preserve">/2021 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GISAID: (Accession ID:EPI_ISL_11050301)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NTU142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 xml:space="preserve">/2022 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GISAID: (Accession ID:EPI_ISL_13105945)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hCoV-19/Taiwan/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NTU293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 xml:space="preserve">/2023 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GISAID: (Accession ID:EPI_ISL_18278880)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JHMV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Michael M. C.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Lai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HCoV-229E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Sui-Yuan Chang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t>Chemicals</w:t>
            </w:r>
            <w:r w:rsidRPr="00BC51D9">
              <w:rPr>
                <w:rFonts w:cstheme="minorHAnsi"/>
                <w:b/>
                <w:i/>
                <w:color w:val="000000" w:themeColor="text1"/>
                <w:szCs w:val="24"/>
              </w:rPr>
              <w:t xml:space="preserve"> and Reagents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6-bromoindirubin-30-oxime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MedChemExpress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HY-10580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LY2090314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MedChemExpress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HY-16294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Kenpaullone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MedChemExpress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HY-12302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LB-100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MedChemExpress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HY-18597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Tautomycin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MedChemExpress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HY</w:t>
            </w:r>
            <w:r w:rsidR="007D28AE" w:rsidRPr="00BC51D9">
              <w:rPr>
                <w:rFonts w:cstheme="minorHAnsi"/>
                <w:color w:val="000000" w:themeColor="text1"/>
                <w:szCs w:val="24"/>
              </w:rPr>
              <w:t>-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12728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Okadaic acid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Tocris Bioscience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1136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Fostriecin sodium salt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Tocris Bioscience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1840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Lipofectamine 2000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Thermo Fisher Scientific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11668019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Alkaline Phosphatase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Thermo Fisher Scientific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EF0651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proofErr w:type="spellStart"/>
            <w:r w:rsidRPr="00BC51D9">
              <w:rPr>
                <w:rFonts w:cstheme="minorHAnsi" w:hint="eastAsia"/>
                <w:color w:val="000000" w:themeColor="text1"/>
                <w:szCs w:val="24"/>
              </w:rPr>
              <w:t>Bis</w:t>
            </w:r>
            <w:proofErr w:type="spellEnd"/>
            <w:r w:rsidRPr="00BC51D9">
              <w:rPr>
                <w:rFonts w:cstheme="minorHAnsi" w:hint="eastAsia"/>
                <w:color w:val="000000" w:themeColor="text1"/>
                <w:szCs w:val="24"/>
              </w:rPr>
              <w:t>-Tris NuPAGE (10%, 1.0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-mm)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Thermo Fisher Scientific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NP0301BOX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RIPA Lysis Buffer (</w:t>
            </w:r>
            <w:proofErr w:type="spellStart"/>
            <w:r w:rsidRPr="00BC51D9">
              <w:rPr>
                <w:rFonts w:cstheme="minorHAnsi" w:hint="eastAsia"/>
                <w:color w:val="000000" w:themeColor="text1"/>
                <w:szCs w:val="24"/>
              </w:rPr>
              <w:t>10x</w:t>
            </w:r>
            <w:proofErr w:type="spellEnd"/>
            <w:r w:rsidRPr="00BC51D9">
              <w:rPr>
                <w:rFonts w:cstheme="minorHAnsi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Merck Millipore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20-188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Phosphatase Inhibitor Cocktail II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Merck Millipore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524625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Micrococcal Nuclease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New England Biolab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M0247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Lambda DNA HindIII Digest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New England Biolab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N3012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lastRenderedPageBreak/>
              <w:t>Continued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Reagent or Resource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Source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Identifier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Protease Inhibitor Cocktail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Roche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Diagnostics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04693132001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Passive Lysis Buffer (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5x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)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Promega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E1941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t>Critical Commercial Assays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QuikChange II XL Site-Directed Mutagenesis Kit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Agilent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# 200521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Dual-Luciferase Reporter Assay System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Promega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E1910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Subcellular Protein Fractionation Kit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Thermo Fisher Scientific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78840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SuperScript™ III First-Strand Synthesis System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Thermo Fisher Scientific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#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18080051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BCA Protein Assay Kit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Thermo Fisher Scientific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# 23225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NucleoSpin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 xml:space="preserve"> RNA, Mini kit for RNA purification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Macherey-Nagel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#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740955.50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Nylon membrane, positively charged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ascii="Calibri" w:hAnsi="Calibri" w:cs="Calibri"/>
                <w:color w:val="000000" w:themeColor="text1"/>
                <w:szCs w:val="24"/>
              </w:rPr>
              <w:t>Roche Diagnostics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#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11209299001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DIG Wash and Block Buffer set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ascii="Calibri" w:hAnsi="Calibri" w:cs="Calibri"/>
                <w:color w:val="000000" w:themeColor="text1"/>
                <w:szCs w:val="24"/>
              </w:rPr>
              <w:t>Roche Diagnostics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#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11585762001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Anti-Digoxigenin-AP Fab Fragments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ascii="Calibri" w:hAnsi="Calibri" w:cs="Calibri"/>
                <w:color w:val="000000" w:themeColor="text1"/>
                <w:szCs w:val="24"/>
              </w:rPr>
              <w:t>Roche Diagnostics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#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11093274910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CDP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-Star, Ready-to-Use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ascii="Calibri" w:hAnsi="Calibri" w:cs="Calibri"/>
                <w:color w:val="000000" w:themeColor="text1"/>
                <w:szCs w:val="24"/>
              </w:rPr>
              <w:t>Roche Diagnostics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#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12041677001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PCR DIG probe synthesis kit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ascii="Calibri" w:hAnsi="Calibri" w:cs="Calibri"/>
                <w:color w:val="000000" w:themeColor="text1"/>
                <w:szCs w:val="24"/>
              </w:rPr>
              <w:t>Roche Diagnostics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#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11636090910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t>Experimental Models: Cell Lines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Vero E6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ATCC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CRL-1586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293T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ATCC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CRL-3216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293T/hACE2 stable cell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Mi-Hao Tao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DBT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Wu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6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Huh7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Yang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50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t>Oligonucleotides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N-S188A-F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N-S188A-R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N-S206A-F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N-S206A-R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N-S188D-F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N-S188D-R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N-S206D-F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N-S206D-R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E-</w:t>
            </w:r>
            <w:proofErr w:type="spellStart"/>
            <w:r w:rsidRPr="00BC51D9">
              <w:rPr>
                <w:color w:val="000000" w:themeColor="text1"/>
                <w:szCs w:val="24"/>
              </w:rPr>
              <w:t>Sarbeco</w:t>
            </w:r>
            <w:proofErr w:type="spellEnd"/>
            <w:r w:rsidRPr="00BC51D9">
              <w:rPr>
                <w:color w:val="000000" w:themeColor="text1"/>
                <w:szCs w:val="24"/>
              </w:rPr>
              <w:t>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Corman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51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E-</w:t>
            </w:r>
            <w:proofErr w:type="spellStart"/>
            <w:r w:rsidRPr="00BC51D9">
              <w:rPr>
                <w:color w:val="000000" w:themeColor="text1"/>
                <w:szCs w:val="24"/>
              </w:rPr>
              <w:t>Sarbeco</w:t>
            </w:r>
            <w:proofErr w:type="spellEnd"/>
            <w:r w:rsidRPr="00BC51D9">
              <w:rPr>
                <w:color w:val="000000" w:themeColor="text1"/>
                <w:szCs w:val="24"/>
              </w:rPr>
              <w:t>-R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Corman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51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lastRenderedPageBreak/>
              <w:t>Continued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Reagent or Resource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Source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Identifier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20914-F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21223-R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JHMV-F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JHMV-R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229E-</w:t>
            </w:r>
            <w:proofErr w:type="spellStart"/>
            <w:r w:rsidRPr="00BC51D9">
              <w:rPr>
                <w:color w:val="000000" w:themeColor="text1"/>
                <w:szCs w:val="24"/>
              </w:rPr>
              <w:t>1ab</w:t>
            </w:r>
            <w:proofErr w:type="spellEnd"/>
            <w:r w:rsidRPr="00BC51D9">
              <w:rPr>
                <w:color w:val="000000" w:themeColor="text1"/>
                <w:szCs w:val="24"/>
              </w:rPr>
              <w:t>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229E-</w:t>
            </w:r>
            <w:proofErr w:type="spellStart"/>
            <w:r w:rsidRPr="00BC51D9">
              <w:rPr>
                <w:color w:val="000000" w:themeColor="text1"/>
                <w:szCs w:val="24"/>
              </w:rPr>
              <w:t>1ab</w:t>
            </w:r>
            <w:proofErr w:type="spellEnd"/>
            <w:r w:rsidRPr="00BC51D9">
              <w:rPr>
                <w:color w:val="000000" w:themeColor="text1"/>
                <w:szCs w:val="24"/>
              </w:rPr>
              <w:t>-R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CoV-N-1F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Cheng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52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color w:val="000000" w:themeColor="text1"/>
                <w:szCs w:val="24"/>
              </w:rPr>
            </w:pPr>
            <w:r w:rsidRPr="00BC51D9">
              <w:rPr>
                <w:color w:val="000000" w:themeColor="text1"/>
                <w:szCs w:val="24"/>
              </w:rPr>
              <w:t>CoV-N-</w:t>
            </w:r>
            <w:proofErr w:type="spellStart"/>
            <w:r w:rsidRPr="00BC51D9">
              <w:rPr>
                <w:color w:val="000000" w:themeColor="text1"/>
                <w:szCs w:val="24"/>
              </w:rPr>
              <w:t>1R</w:t>
            </w:r>
            <w:proofErr w:type="spellEnd"/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Cheng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52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color w:val="000000" w:themeColor="text1"/>
                <w:szCs w:val="24"/>
              </w:rPr>
            </w:pPr>
            <w:proofErr w:type="spellStart"/>
            <w:r w:rsidRPr="00BC51D9">
              <w:rPr>
                <w:color w:val="000000" w:themeColor="text1"/>
                <w:szCs w:val="24"/>
              </w:rPr>
              <w:t>PBGD</w:t>
            </w:r>
            <w:proofErr w:type="spellEnd"/>
            <w:r w:rsidRPr="00BC51D9">
              <w:rPr>
                <w:color w:val="000000" w:themeColor="text1"/>
                <w:szCs w:val="24"/>
              </w:rPr>
              <w:t>-F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Cheng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52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color w:val="000000" w:themeColor="text1"/>
                <w:szCs w:val="24"/>
              </w:rPr>
            </w:pPr>
            <w:proofErr w:type="spellStart"/>
            <w:r w:rsidRPr="00BC51D9">
              <w:rPr>
                <w:color w:val="000000" w:themeColor="text1"/>
                <w:szCs w:val="24"/>
              </w:rPr>
              <w:t>PBGD</w:t>
            </w:r>
            <w:proofErr w:type="spellEnd"/>
            <w:r w:rsidRPr="00BC51D9">
              <w:rPr>
                <w:color w:val="000000" w:themeColor="text1"/>
                <w:szCs w:val="24"/>
              </w:rPr>
              <w:t>-</w:t>
            </w:r>
            <w:r w:rsidRPr="00BC51D9">
              <w:rPr>
                <w:rFonts w:hint="eastAsia"/>
                <w:color w:val="000000" w:themeColor="text1"/>
                <w:szCs w:val="24"/>
              </w:rPr>
              <w:t>R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Cheng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52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287F48" w:rsidRPr="00BC51D9" w:rsidRDefault="00287F48" w:rsidP="00287F48">
            <w:pPr>
              <w:spacing w:line="320" w:lineRule="exact"/>
              <w:rPr>
                <w:color w:val="000000" w:themeColor="text1"/>
                <w:szCs w:val="24"/>
              </w:rPr>
            </w:pPr>
            <w:proofErr w:type="spellStart"/>
            <w:r w:rsidRPr="00BC51D9">
              <w:rPr>
                <w:color w:val="000000" w:themeColor="text1"/>
                <w:szCs w:val="24"/>
              </w:rPr>
              <w:t>PBGD-1070F</w:t>
            </w:r>
            <w:proofErr w:type="spellEnd"/>
          </w:p>
        </w:tc>
        <w:tc>
          <w:tcPr>
            <w:tcW w:w="2552" w:type="dxa"/>
          </w:tcPr>
          <w:p w:rsidR="00287F48" w:rsidRPr="00BC51D9" w:rsidRDefault="00287F48" w:rsidP="00287F48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287F48" w:rsidRPr="00BC51D9" w:rsidRDefault="00287F48" w:rsidP="00287F48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287F48" w:rsidRPr="00BC51D9" w:rsidRDefault="00287F48" w:rsidP="00287F48">
            <w:pPr>
              <w:spacing w:line="320" w:lineRule="exact"/>
              <w:rPr>
                <w:color w:val="000000" w:themeColor="text1"/>
                <w:szCs w:val="24"/>
              </w:rPr>
            </w:pPr>
            <w:proofErr w:type="spellStart"/>
            <w:r w:rsidRPr="00BC51D9">
              <w:rPr>
                <w:color w:val="000000" w:themeColor="text1"/>
                <w:szCs w:val="24"/>
              </w:rPr>
              <w:t>PBGD-1266R</w:t>
            </w:r>
            <w:proofErr w:type="spellEnd"/>
          </w:p>
        </w:tc>
        <w:tc>
          <w:tcPr>
            <w:tcW w:w="2552" w:type="dxa"/>
          </w:tcPr>
          <w:p w:rsidR="00287F48" w:rsidRPr="00BC51D9" w:rsidRDefault="00287F48" w:rsidP="00287F48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287F48" w:rsidRPr="00BC51D9" w:rsidRDefault="00287F48" w:rsidP="00287F48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t>Recombinant DNA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pCMV-</w:t>
            </w:r>
            <w:proofErr w:type="spellStart"/>
            <w:r w:rsidRPr="00BC51D9">
              <w:rPr>
                <w:rFonts w:cstheme="minorHAnsi" w:hint="eastAsia"/>
                <w:color w:val="000000" w:themeColor="text1"/>
                <w:szCs w:val="24"/>
              </w:rPr>
              <w:t>Tag2B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-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SCoV</w:t>
            </w:r>
            <w:proofErr w:type="spellEnd"/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N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Wu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6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pcD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NA3.1(+)-SARS-CoV-2 N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pcD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NA3.1(+)-SARS-CoV-2 N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-S188D/S206D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pcD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NA3.1(+)-SARS-CoV-2 N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-S188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A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/S206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A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pLVX-EF1alpha-SARS-CoV-2-M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Che Ma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pLVX-EF1alpha-SARS-CoV-2-E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Laboratory of Che Ma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pcDNA-3xHA-CoV2-M-WT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pcDNA-3xHA-CoV2-M-∆195-222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pcDNA-3xHA-CoV2-M-∆159-222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8213F0" w:rsidRPr="00BC51D9" w:rsidRDefault="008213F0" w:rsidP="008213F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pcDNA-3xHA-CoV2-M-∆119-222</w:t>
            </w:r>
          </w:p>
        </w:tc>
        <w:tc>
          <w:tcPr>
            <w:tcW w:w="2552" w:type="dxa"/>
          </w:tcPr>
          <w:p w:rsidR="008213F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D522A0" w:rsidRPr="00BC51D9" w:rsidRDefault="008213F0" w:rsidP="008213F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D522A0" w:rsidRPr="00BC51D9" w:rsidRDefault="00D522A0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pcDNA-3xHA-CoV2-M-∆119-158</w:t>
            </w:r>
          </w:p>
        </w:tc>
        <w:tc>
          <w:tcPr>
            <w:tcW w:w="2552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D522A0" w:rsidRPr="00BC51D9" w:rsidRDefault="00D522A0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CoV2-M-IRES-E</w:t>
            </w:r>
          </w:p>
        </w:tc>
        <w:tc>
          <w:tcPr>
            <w:tcW w:w="2552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Addgene</w:t>
            </w:r>
          </w:p>
        </w:tc>
        <w:tc>
          <w:tcPr>
            <w:tcW w:w="2268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# 177938</w:t>
            </w:r>
          </w:p>
        </w:tc>
      </w:tr>
      <w:tr w:rsidR="00BC51D9" w:rsidRPr="00BC51D9" w:rsidTr="002F5BB7">
        <w:tc>
          <w:tcPr>
            <w:tcW w:w="3544" w:type="dxa"/>
          </w:tcPr>
          <w:p w:rsidR="00D522A0" w:rsidRPr="00BC51D9" w:rsidRDefault="00D522A0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pUC57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-2019-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nCoV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-S-D614G (humanized)</w:t>
            </w:r>
          </w:p>
        </w:tc>
        <w:tc>
          <w:tcPr>
            <w:tcW w:w="2552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Cheng et al.</w:t>
            </w:r>
            <w:r w:rsidRPr="00BC51D9">
              <w:rPr>
                <w:rFonts w:cstheme="minorHAnsi"/>
                <w:noProof/>
                <w:color w:val="000000" w:themeColor="text1"/>
                <w:szCs w:val="24"/>
                <w:vertAlign w:val="superscript"/>
              </w:rPr>
              <w:t xml:space="preserve"> 52</w:t>
            </w:r>
          </w:p>
        </w:tc>
        <w:tc>
          <w:tcPr>
            <w:tcW w:w="2268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D522A0" w:rsidRPr="00BC51D9" w:rsidRDefault="00D522A0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pUC57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-2019-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nCoV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>-S-D614G (humanized, w/o HA-tag)</w:t>
            </w:r>
          </w:p>
        </w:tc>
        <w:tc>
          <w:tcPr>
            <w:tcW w:w="2552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This paper</w:t>
            </w:r>
          </w:p>
        </w:tc>
        <w:tc>
          <w:tcPr>
            <w:tcW w:w="2268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D522A0" w:rsidRPr="00BC51D9" w:rsidRDefault="00D522A0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Luc-T20</w:t>
            </w:r>
          </w:p>
        </w:tc>
        <w:tc>
          <w:tcPr>
            <w:tcW w:w="2552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Addgene</w:t>
            </w:r>
          </w:p>
        </w:tc>
        <w:tc>
          <w:tcPr>
            <w:tcW w:w="2268" w:type="dxa"/>
          </w:tcPr>
          <w:p w:rsidR="00D522A0" w:rsidRPr="00BC51D9" w:rsidRDefault="00D522A0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# 177941</w:t>
            </w:r>
          </w:p>
        </w:tc>
      </w:tr>
      <w:tr w:rsidR="00BC51D9" w:rsidRPr="00BC51D9" w:rsidTr="002F5BB7">
        <w:tc>
          <w:tcPr>
            <w:tcW w:w="3544" w:type="dxa"/>
          </w:tcPr>
          <w:p w:rsidR="001F17C9" w:rsidRPr="00BC51D9" w:rsidRDefault="001F17C9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pLKO.1-shLuc</w:t>
            </w:r>
          </w:p>
        </w:tc>
        <w:tc>
          <w:tcPr>
            <w:tcW w:w="2552" w:type="dxa"/>
          </w:tcPr>
          <w:p w:rsidR="001F17C9" w:rsidRPr="00BC51D9" w:rsidRDefault="001F17C9" w:rsidP="001F17C9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National RNAi Core Facility</w:t>
            </w:r>
          </w:p>
        </w:tc>
        <w:tc>
          <w:tcPr>
            <w:tcW w:w="2268" w:type="dxa"/>
          </w:tcPr>
          <w:p w:rsidR="001F17C9" w:rsidRPr="00BC51D9" w:rsidRDefault="001F17C9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TRCN0000072246</w:t>
            </w:r>
          </w:p>
        </w:tc>
      </w:tr>
      <w:tr w:rsidR="00BC51D9" w:rsidRPr="00BC51D9" w:rsidTr="002F5BB7">
        <w:tc>
          <w:tcPr>
            <w:tcW w:w="3544" w:type="dxa"/>
          </w:tcPr>
          <w:p w:rsidR="001F17C9" w:rsidRPr="00BC51D9" w:rsidRDefault="001F17C9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pLKO.1-PPP2C</w:t>
            </w:r>
          </w:p>
        </w:tc>
        <w:tc>
          <w:tcPr>
            <w:tcW w:w="2552" w:type="dxa"/>
          </w:tcPr>
          <w:p w:rsidR="001F17C9" w:rsidRPr="00BC51D9" w:rsidRDefault="001F17C9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National RNAi Core Facility</w:t>
            </w:r>
          </w:p>
        </w:tc>
        <w:tc>
          <w:tcPr>
            <w:tcW w:w="2268" w:type="dxa"/>
          </w:tcPr>
          <w:p w:rsidR="001F17C9" w:rsidRPr="00BC51D9" w:rsidRDefault="001F17C9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TRCN0000002483</w:t>
            </w:r>
          </w:p>
        </w:tc>
      </w:tr>
      <w:tr w:rsidR="00BC51D9" w:rsidRPr="00BC51D9" w:rsidTr="002F5BB7">
        <w:tc>
          <w:tcPr>
            <w:tcW w:w="3544" w:type="dxa"/>
          </w:tcPr>
          <w:p w:rsidR="001F17C9" w:rsidRPr="00BC51D9" w:rsidRDefault="001F17C9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pLKO.1-PPP1C</w:t>
            </w:r>
          </w:p>
        </w:tc>
        <w:tc>
          <w:tcPr>
            <w:tcW w:w="2552" w:type="dxa"/>
          </w:tcPr>
          <w:p w:rsidR="001F17C9" w:rsidRPr="00BC51D9" w:rsidRDefault="001F17C9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National RNAi Core Facility</w:t>
            </w:r>
          </w:p>
        </w:tc>
        <w:tc>
          <w:tcPr>
            <w:tcW w:w="2268" w:type="dxa"/>
          </w:tcPr>
          <w:p w:rsidR="001F17C9" w:rsidRPr="00BC51D9" w:rsidRDefault="001F17C9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TRCN0000002455</w:t>
            </w:r>
          </w:p>
        </w:tc>
      </w:tr>
      <w:tr w:rsidR="00BC51D9" w:rsidRPr="00BC51D9" w:rsidTr="002F5BB7">
        <w:tc>
          <w:tcPr>
            <w:tcW w:w="3544" w:type="dxa"/>
          </w:tcPr>
          <w:p w:rsidR="001F17C9" w:rsidRPr="00BC51D9" w:rsidRDefault="001F17C9" w:rsidP="00D522A0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pLKO.1-PPP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2R1A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-clone 1</w:t>
            </w:r>
          </w:p>
        </w:tc>
        <w:tc>
          <w:tcPr>
            <w:tcW w:w="2552" w:type="dxa"/>
          </w:tcPr>
          <w:p w:rsidR="001F17C9" w:rsidRPr="00BC51D9" w:rsidRDefault="001F17C9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National RNAi Core Facility</w:t>
            </w:r>
          </w:p>
        </w:tc>
        <w:tc>
          <w:tcPr>
            <w:tcW w:w="2268" w:type="dxa"/>
          </w:tcPr>
          <w:p w:rsidR="001F17C9" w:rsidRPr="00BC51D9" w:rsidRDefault="001F17C9" w:rsidP="00D522A0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TRCN0000231600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lastRenderedPageBreak/>
              <w:t>Continued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Reagent or Resource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Source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i/>
                <w:color w:val="000000" w:themeColor="text1"/>
                <w:szCs w:val="24"/>
              </w:rPr>
              <w:t>Identifier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pLKO.1-PPP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2R1A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-clone 2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rPr>
                <w:color w:val="000000" w:themeColor="text1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National RNAi Core Facility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TRCN0000231508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pLKO.1-PPP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>2R1A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-clone 3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rPr>
                <w:color w:val="000000" w:themeColor="text1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National RNAi Core Facility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TRCN0000231509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pCMV-</w:t>
            </w:r>
            <w:proofErr w:type="spellStart"/>
            <w:r w:rsidRPr="00BC51D9">
              <w:rPr>
                <w:rFonts w:cstheme="minorHAnsi"/>
                <w:color w:val="000000" w:themeColor="text1"/>
                <w:szCs w:val="24"/>
              </w:rPr>
              <w:t>dR8.91</w:t>
            </w:r>
            <w:proofErr w:type="spellEnd"/>
          </w:p>
        </w:tc>
        <w:tc>
          <w:tcPr>
            <w:tcW w:w="2552" w:type="dxa"/>
          </w:tcPr>
          <w:p w:rsidR="00DD5D3C" w:rsidRPr="00BC51D9" w:rsidRDefault="00DD5D3C" w:rsidP="00DD5D3C">
            <w:pPr>
              <w:rPr>
                <w:color w:val="000000" w:themeColor="text1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National RNAi Core Facility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rPr>
                <w:color w:val="000000" w:themeColor="text1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pMD.G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rPr>
                <w:color w:val="000000" w:themeColor="text1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National RNAi Core Facility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rPr>
                <w:color w:val="000000" w:themeColor="text1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N/A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b/>
                <w:i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t>Protein Sequence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SARS-CoV-2 M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P0DTC5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SARS-CoV-2</w:t>
            </w:r>
            <w:r w:rsidRPr="00BC51D9">
              <w:rPr>
                <w:rFonts w:cstheme="minorHAnsi"/>
                <w:color w:val="000000" w:themeColor="text1"/>
                <w:szCs w:val="24"/>
              </w:rPr>
              <w:t xml:space="preserve"> N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P0DTC9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PP2A catalytic subunit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#3KQ51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PP2A scaffold subunit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C9J9C1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SARS-CoV-1 M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P59596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SARS-CoV-1 N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P59595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JHMV M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P08549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JHMV N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P03417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HCoV-229E M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A0A1L7B920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HCoV-229E N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P15130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Mouse PP2A catalytic subunit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P63330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Mouse PP2A </w:t>
            </w:r>
            <w:r w:rsidRPr="00BC51D9">
              <w:rPr>
                <w:rFonts w:cstheme="minorHAnsi"/>
                <w:color w:val="000000" w:themeColor="text1"/>
                <w:szCs w:val="24"/>
              </w:rPr>
              <w:t>scaffold</w:t>
            </w:r>
            <w:r w:rsidRPr="00BC51D9">
              <w:rPr>
                <w:rFonts w:cstheme="minorHAnsi" w:hint="eastAsia"/>
                <w:color w:val="000000" w:themeColor="text1"/>
                <w:szCs w:val="24"/>
              </w:rPr>
              <w:t xml:space="preserve"> subunit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Uniprot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noProof/>
                <w:color w:val="000000" w:themeColor="text1"/>
                <w:szCs w:val="24"/>
              </w:rPr>
              <w:t>Q76MZ3</w:t>
            </w:r>
          </w:p>
        </w:tc>
      </w:tr>
      <w:tr w:rsidR="00BC51D9" w:rsidRPr="00BC51D9" w:rsidTr="002F5BB7">
        <w:tc>
          <w:tcPr>
            <w:tcW w:w="8364" w:type="dxa"/>
            <w:gridSpan w:val="3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b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b/>
                <w:i/>
                <w:color w:val="000000" w:themeColor="text1"/>
                <w:szCs w:val="24"/>
              </w:rPr>
              <w:t>Software and Algorithm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proofErr w:type="spellStart"/>
            <w:r w:rsidRPr="00BC51D9">
              <w:rPr>
                <w:rFonts w:cstheme="minorHAnsi" w:hint="eastAsia"/>
                <w:color w:val="000000" w:themeColor="text1"/>
                <w:szCs w:val="24"/>
              </w:rPr>
              <w:t>ImageJ</w:t>
            </w:r>
            <w:proofErr w:type="spellEnd"/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Java source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https://imagej.net/ij/download.html</w:t>
            </w:r>
          </w:p>
        </w:tc>
      </w:tr>
      <w:tr w:rsidR="00BC51D9" w:rsidRPr="00BC51D9" w:rsidTr="002F5BB7">
        <w:tc>
          <w:tcPr>
            <w:tcW w:w="3544" w:type="dxa"/>
          </w:tcPr>
          <w:p w:rsidR="00DD5D3C" w:rsidRPr="00BC51D9" w:rsidRDefault="00DD5D3C" w:rsidP="00DD5D3C">
            <w:pPr>
              <w:spacing w:line="320" w:lineRule="exact"/>
              <w:rPr>
                <w:rFonts w:cstheme="minorHAnsi"/>
                <w:color w:val="000000" w:themeColor="text1"/>
                <w:szCs w:val="24"/>
              </w:rPr>
            </w:pPr>
            <w:proofErr w:type="spellStart"/>
            <w:r w:rsidRPr="00BC51D9">
              <w:rPr>
                <w:rFonts w:cstheme="minorHAnsi" w:hint="eastAsia"/>
                <w:color w:val="000000" w:themeColor="text1"/>
                <w:szCs w:val="24"/>
              </w:rPr>
              <w:t>ChimearaX</w:t>
            </w:r>
            <w:proofErr w:type="spellEnd"/>
            <w:r w:rsidRPr="00BC51D9">
              <w:rPr>
                <w:rFonts w:cstheme="minorHAnsi"/>
                <w:color w:val="000000" w:themeColor="text1"/>
                <w:szCs w:val="24"/>
              </w:rPr>
              <w:t xml:space="preserve"> (version 1.8)</w:t>
            </w:r>
          </w:p>
        </w:tc>
        <w:tc>
          <w:tcPr>
            <w:tcW w:w="2552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 w:hint="eastAsia"/>
                <w:color w:val="000000" w:themeColor="text1"/>
                <w:szCs w:val="24"/>
              </w:rPr>
              <w:t>UCSF</w:t>
            </w:r>
          </w:p>
        </w:tc>
        <w:tc>
          <w:tcPr>
            <w:tcW w:w="2268" w:type="dxa"/>
          </w:tcPr>
          <w:p w:rsidR="00DD5D3C" w:rsidRPr="00BC51D9" w:rsidRDefault="00DD5D3C" w:rsidP="00DD5D3C">
            <w:pPr>
              <w:spacing w:line="320" w:lineRule="exact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BC51D9">
              <w:rPr>
                <w:rFonts w:cstheme="minorHAnsi"/>
                <w:color w:val="000000" w:themeColor="text1"/>
                <w:szCs w:val="24"/>
              </w:rPr>
              <w:t>https://www.rbvi.ucsf.edu/chimerax</w:t>
            </w:r>
          </w:p>
        </w:tc>
      </w:tr>
    </w:tbl>
    <w:p w:rsidR="009B1240" w:rsidRPr="00BC51D9" w:rsidRDefault="009B1240" w:rsidP="009B1240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</w:p>
    <w:p w:rsidR="0044647E" w:rsidRPr="00BC51D9" w:rsidRDefault="0044647E" w:rsidP="009B1240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</w:p>
    <w:p w:rsidR="002F7107" w:rsidRPr="00BC51D9" w:rsidRDefault="002F7107" w:rsidP="009B1240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</w:p>
    <w:p w:rsidR="002F7107" w:rsidRPr="00BC51D9" w:rsidRDefault="002F7107" w:rsidP="009B1240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</w:p>
    <w:p w:rsidR="002F7107" w:rsidRPr="00BC51D9" w:rsidRDefault="002F7107" w:rsidP="009B1240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</w:p>
    <w:p w:rsidR="002F7107" w:rsidRPr="00BC51D9" w:rsidRDefault="002F7107" w:rsidP="009B1240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</w:p>
    <w:p w:rsidR="002F7107" w:rsidRPr="00BC51D9" w:rsidRDefault="002F7107" w:rsidP="009B1240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</w:p>
    <w:p w:rsidR="002F7107" w:rsidRPr="00BC51D9" w:rsidRDefault="002F7107" w:rsidP="009B1240">
      <w:pPr>
        <w:spacing w:line="360" w:lineRule="auto"/>
        <w:jc w:val="both"/>
        <w:rPr>
          <w:rFonts w:cstheme="minorHAnsi"/>
          <w:color w:val="000000" w:themeColor="text1"/>
          <w:szCs w:val="24"/>
        </w:rPr>
      </w:pPr>
    </w:p>
    <w:p w:rsidR="0044647E" w:rsidRPr="00BC51D9" w:rsidRDefault="0044647E" w:rsidP="009B1240">
      <w:pPr>
        <w:spacing w:line="360" w:lineRule="auto"/>
        <w:jc w:val="both"/>
        <w:rPr>
          <w:rFonts w:cstheme="minorHAnsi"/>
          <w:b/>
          <w:i/>
          <w:color w:val="000000" w:themeColor="text1"/>
          <w:szCs w:val="24"/>
        </w:rPr>
      </w:pPr>
      <w:r w:rsidRPr="00BC51D9">
        <w:rPr>
          <w:rFonts w:cstheme="minorHAnsi"/>
          <w:b/>
          <w:noProof/>
          <w:color w:val="000000" w:themeColor="text1"/>
          <w:szCs w:val="24"/>
        </w:rPr>
        <w:lastRenderedPageBreak/>
        <w:t>Supplementary Table 3: Summary of Applied Dosages</w:t>
      </w:r>
      <w:r w:rsidR="008A7F51" w:rsidRPr="00BC51D9">
        <w:rPr>
          <w:rFonts w:cstheme="minorHAnsi"/>
          <w:b/>
          <w:noProof/>
          <w:color w:val="000000" w:themeColor="text1"/>
          <w:szCs w:val="24"/>
        </w:rPr>
        <w:t xml:space="preserve"> and Reported Cytotoxicity of </w:t>
      </w:r>
      <w:r w:rsidRPr="00BC51D9">
        <w:rPr>
          <w:rFonts w:cstheme="minorHAnsi"/>
          <w:b/>
          <w:noProof/>
          <w:color w:val="000000" w:themeColor="text1"/>
          <w:szCs w:val="24"/>
        </w:rPr>
        <w:t>Inhibitors</w:t>
      </w:r>
      <w:bookmarkStart w:id="0" w:name="_GoBack"/>
      <w:bookmarkEnd w:id="0"/>
    </w:p>
    <w:p w:rsidR="009B1240" w:rsidRPr="00BC51D9" w:rsidRDefault="0044647E">
      <w:pPr>
        <w:rPr>
          <w:color w:val="000000" w:themeColor="text1"/>
        </w:rPr>
      </w:pPr>
      <w:r w:rsidRPr="00BC51D9">
        <w:rPr>
          <w:rFonts w:ascii="Times New Roman" w:eastAsia="新細明體" w:hAnsi="Times New Roman" w:cs="Times New Roman"/>
          <w:noProof/>
          <w:color w:val="000000" w:themeColor="text1"/>
          <w:szCs w:val="24"/>
          <w:shd w:val="clear" w:color="auto" w:fill="FFFFFF"/>
        </w:rPr>
        <w:drawing>
          <wp:inline distT="0" distB="0" distL="0" distR="0" wp14:anchorId="03122CC6" wp14:editId="6B4C4B25">
            <wp:extent cx="5274310" cy="2974736"/>
            <wp:effectExtent l="0" t="0" r="2540" b="0"/>
            <wp:docPr id="165045948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7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1240" w:rsidRPr="00BC51D9">
      <w:footerReference w:type="default" r:id="rId1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6AF" w:rsidRDefault="002916AF" w:rsidP="00B825C3">
      <w:r>
        <w:separator/>
      </w:r>
    </w:p>
  </w:endnote>
  <w:endnote w:type="continuationSeparator" w:id="0">
    <w:p w:rsidR="002916AF" w:rsidRDefault="002916AF" w:rsidP="00B82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9188935"/>
      <w:docPartObj>
        <w:docPartGallery w:val="Page Numbers (Bottom of Page)"/>
        <w:docPartUnique/>
      </w:docPartObj>
    </w:sdtPr>
    <w:sdtEndPr>
      <w:rPr>
        <w:b/>
        <w:color w:val="000000" w:themeColor="text1"/>
        <w:sz w:val="24"/>
      </w:rPr>
    </w:sdtEndPr>
    <w:sdtContent>
      <w:p w:rsidR="002607A4" w:rsidRPr="00F55D1B" w:rsidRDefault="002607A4">
        <w:pPr>
          <w:pStyle w:val="a5"/>
          <w:jc w:val="right"/>
          <w:rPr>
            <w:b/>
            <w:color w:val="000000" w:themeColor="text1"/>
            <w:sz w:val="24"/>
          </w:rPr>
        </w:pPr>
        <w:r w:rsidRPr="00F55D1B">
          <w:rPr>
            <w:b/>
            <w:color w:val="000000" w:themeColor="text1"/>
            <w:sz w:val="24"/>
          </w:rPr>
          <w:fldChar w:fldCharType="begin"/>
        </w:r>
        <w:r w:rsidRPr="00F55D1B">
          <w:rPr>
            <w:b/>
            <w:color w:val="000000" w:themeColor="text1"/>
            <w:sz w:val="24"/>
          </w:rPr>
          <w:instrText>PAGE   \* MERGEFORMAT</w:instrText>
        </w:r>
        <w:r w:rsidRPr="00F55D1B">
          <w:rPr>
            <w:b/>
            <w:color w:val="000000" w:themeColor="text1"/>
            <w:sz w:val="24"/>
          </w:rPr>
          <w:fldChar w:fldCharType="separate"/>
        </w:r>
        <w:r w:rsidR="00A51DAD" w:rsidRPr="00A51DAD">
          <w:rPr>
            <w:b/>
            <w:noProof/>
            <w:color w:val="000000" w:themeColor="text1"/>
            <w:sz w:val="24"/>
            <w:lang w:val="zh-TW"/>
          </w:rPr>
          <w:t>33</w:t>
        </w:r>
        <w:r w:rsidRPr="00F55D1B">
          <w:rPr>
            <w:b/>
            <w:color w:val="000000" w:themeColor="text1"/>
            <w:sz w:val="24"/>
          </w:rPr>
          <w:fldChar w:fldCharType="end"/>
        </w:r>
      </w:p>
    </w:sdtContent>
  </w:sdt>
  <w:p w:rsidR="002607A4" w:rsidRDefault="002607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6AF" w:rsidRDefault="002916AF" w:rsidP="00B825C3">
      <w:r>
        <w:separator/>
      </w:r>
    </w:p>
  </w:footnote>
  <w:footnote w:type="continuationSeparator" w:id="0">
    <w:p w:rsidR="002916AF" w:rsidRDefault="002916AF" w:rsidP="00B82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92"/>
    <w:rsid w:val="00025511"/>
    <w:rsid w:val="0004055B"/>
    <w:rsid w:val="00055BDB"/>
    <w:rsid w:val="000701FB"/>
    <w:rsid w:val="000B3470"/>
    <w:rsid w:val="000C4441"/>
    <w:rsid w:val="000D0DBC"/>
    <w:rsid w:val="000D193A"/>
    <w:rsid w:val="000F45DE"/>
    <w:rsid w:val="000F4C0D"/>
    <w:rsid w:val="0012092B"/>
    <w:rsid w:val="001602D2"/>
    <w:rsid w:val="00185673"/>
    <w:rsid w:val="0019735A"/>
    <w:rsid w:val="00197A1C"/>
    <w:rsid w:val="001B1F09"/>
    <w:rsid w:val="001C2F87"/>
    <w:rsid w:val="001E2B74"/>
    <w:rsid w:val="001F17C9"/>
    <w:rsid w:val="001F226E"/>
    <w:rsid w:val="00205DAA"/>
    <w:rsid w:val="00205DB4"/>
    <w:rsid w:val="00215419"/>
    <w:rsid w:val="00224E24"/>
    <w:rsid w:val="00227A16"/>
    <w:rsid w:val="00227EF1"/>
    <w:rsid w:val="00245ECB"/>
    <w:rsid w:val="002475B6"/>
    <w:rsid w:val="002607A4"/>
    <w:rsid w:val="00287F48"/>
    <w:rsid w:val="002916AF"/>
    <w:rsid w:val="002A73D2"/>
    <w:rsid w:val="002B6B1E"/>
    <w:rsid w:val="002C24B5"/>
    <w:rsid w:val="002F5BB7"/>
    <w:rsid w:val="002F7107"/>
    <w:rsid w:val="003253FB"/>
    <w:rsid w:val="003824FF"/>
    <w:rsid w:val="00393EDD"/>
    <w:rsid w:val="003B4CD8"/>
    <w:rsid w:val="003D31AA"/>
    <w:rsid w:val="003D76D7"/>
    <w:rsid w:val="004028ED"/>
    <w:rsid w:val="00422A10"/>
    <w:rsid w:val="004260EB"/>
    <w:rsid w:val="00434747"/>
    <w:rsid w:val="0044647E"/>
    <w:rsid w:val="00450A06"/>
    <w:rsid w:val="00465CCB"/>
    <w:rsid w:val="00496931"/>
    <w:rsid w:val="00496C46"/>
    <w:rsid w:val="004C7D5B"/>
    <w:rsid w:val="004E6E87"/>
    <w:rsid w:val="00534B3F"/>
    <w:rsid w:val="00556FD8"/>
    <w:rsid w:val="005900DF"/>
    <w:rsid w:val="005A5618"/>
    <w:rsid w:val="005A61A8"/>
    <w:rsid w:val="005E581B"/>
    <w:rsid w:val="00611F6D"/>
    <w:rsid w:val="00612372"/>
    <w:rsid w:val="006262DF"/>
    <w:rsid w:val="006610B0"/>
    <w:rsid w:val="0066395E"/>
    <w:rsid w:val="0067473D"/>
    <w:rsid w:val="006775BC"/>
    <w:rsid w:val="006E4F99"/>
    <w:rsid w:val="006F7A52"/>
    <w:rsid w:val="00700D64"/>
    <w:rsid w:val="00702C49"/>
    <w:rsid w:val="007050D2"/>
    <w:rsid w:val="00714C95"/>
    <w:rsid w:val="00733E6F"/>
    <w:rsid w:val="00735D6A"/>
    <w:rsid w:val="00737292"/>
    <w:rsid w:val="007523B0"/>
    <w:rsid w:val="007A101C"/>
    <w:rsid w:val="007C03BD"/>
    <w:rsid w:val="007D28AE"/>
    <w:rsid w:val="007F6185"/>
    <w:rsid w:val="00805E30"/>
    <w:rsid w:val="00815556"/>
    <w:rsid w:val="008213F0"/>
    <w:rsid w:val="0082266C"/>
    <w:rsid w:val="00836913"/>
    <w:rsid w:val="00850AB9"/>
    <w:rsid w:val="008606DF"/>
    <w:rsid w:val="00882763"/>
    <w:rsid w:val="00883B5D"/>
    <w:rsid w:val="00892E9F"/>
    <w:rsid w:val="008A66FB"/>
    <w:rsid w:val="008A7F51"/>
    <w:rsid w:val="008E2E9E"/>
    <w:rsid w:val="008F45B4"/>
    <w:rsid w:val="00920E9E"/>
    <w:rsid w:val="00941D92"/>
    <w:rsid w:val="0095591B"/>
    <w:rsid w:val="00964DD7"/>
    <w:rsid w:val="00975B90"/>
    <w:rsid w:val="00980924"/>
    <w:rsid w:val="00985692"/>
    <w:rsid w:val="009B1240"/>
    <w:rsid w:val="009C6BC2"/>
    <w:rsid w:val="00A036CC"/>
    <w:rsid w:val="00A051C8"/>
    <w:rsid w:val="00A21A43"/>
    <w:rsid w:val="00A51DAD"/>
    <w:rsid w:val="00A54B95"/>
    <w:rsid w:val="00A97991"/>
    <w:rsid w:val="00AB4840"/>
    <w:rsid w:val="00AC27D4"/>
    <w:rsid w:val="00AD3B1F"/>
    <w:rsid w:val="00AE5B9E"/>
    <w:rsid w:val="00B437FB"/>
    <w:rsid w:val="00B656F3"/>
    <w:rsid w:val="00B74775"/>
    <w:rsid w:val="00B76368"/>
    <w:rsid w:val="00B825C3"/>
    <w:rsid w:val="00BA414B"/>
    <w:rsid w:val="00BB468D"/>
    <w:rsid w:val="00BC51D9"/>
    <w:rsid w:val="00C33462"/>
    <w:rsid w:val="00C62426"/>
    <w:rsid w:val="00C65A18"/>
    <w:rsid w:val="00C94322"/>
    <w:rsid w:val="00CA6D77"/>
    <w:rsid w:val="00CD000F"/>
    <w:rsid w:val="00CF2B01"/>
    <w:rsid w:val="00CF2D21"/>
    <w:rsid w:val="00CF3C75"/>
    <w:rsid w:val="00D00CAE"/>
    <w:rsid w:val="00D22778"/>
    <w:rsid w:val="00D34962"/>
    <w:rsid w:val="00D44917"/>
    <w:rsid w:val="00D4567D"/>
    <w:rsid w:val="00D522A0"/>
    <w:rsid w:val="00D61D52"/>
    <w:rsid w:val="00D74A7C"/>
    <w:rsid w:val="00D86AB4"/>
    <w:rsid w:val="00DA5EE9"/>
    <w:rsid w:val="00DB2C0D"/>
    <w:rsid w:val="00DC7F50"/>
    <w:rsid w:val="00DD5D3C"/>
    <w:rsid w:val="00DF778C"/>
    <w:rsid w:val="00E04C4B"/>
    <w:rsid w:val="00E108F0"/>
    <w:rsid w:val="00E35EF0"/>
    <w:rsid w:val="00E43D3A"/>
    <w:rsid w:val="00E46DE0"/>
    <w:rsid w:val="00E56948"/>
    <w:rsid w:val="00E65800"/>
    <w:rsid w:val="00EB6CB8"/>
    <w:rsid w:val="00EC04D5"/>
    <w:rsid w:val="00EC1529"/>
    <w:rsid w:val="00EC157C"/>
    <w:rsid w:val="00F0266D"/>
    <w:rsid w:val="00F06CDC"/>
    <w:rsid w:val="00F11B09"/>
    <w:rsid w:val="00F410C5"/>
    <w:rsid w:val="00F52FAC"/>
    <w:rsid w:val="00F55D1B"/>
    <w:rsid w:val="00F60D0E"/>
    <w:rsid w:val="00F63C04"/>
    <w:rsid w:val="00F7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5131F0"/>
  <w15:chartTrackingRefBased/>
  <w15:docId w15:val="{8CEFFA02-FF7D-4D9C-BDE3-2A7F48EB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D9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5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5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5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5C3"/>
    <w:rPr>
      <w:sz w:val="20"/>
      <w:szCs w:val="20"/>
    </w:rPr>
  </w:style>
  <w:style w:type="table" w:customStyle="1" w:styleId="1">
    <w:name w:val="表格格線 (淺色)1"/>
    <w:basedOn w:val="a1"/>
    <w:uiPriority w:val="40"/>
    <w:rsid w:val="009B12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B20B2-2163-400F-BBB8-46294666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33</Pages>
  <Words>3037</Words>
  <Characters>17313</Characters>
  <Application>Microsoft Office Word</Application>
  <DocSecurity>0</DocSecurity>
  <Lines>144</Lines>
  <Paragraphs>40</Paragraphs>
  <ScaleCrop>false</ScaleCrop>
  <Company/>
  <LinksUpToDate>false</LinksUpToDate>
  <CharactersWithSpaces>20310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王聖涵</dc:creator>
  <cp:keywords/>
  <dc:description/>
  <cp:lastModifiedBy>王聖涵</cp:lastModifiedBy>
  <cp:revision>118</cp:revision>
  <dcterms:created xsi:type="dcterms:W3CDTF">2025-10-16T00:42:00Z</dcterms:created>
  <dcterms:modified xsi:type="dcterms:W3CDTF">2026-05-11T20:45:00Z</dcterms:modified>
</cp:coreProperties>
</file>