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B99ED" w14:textId="77777777" w:rsidR="00CD6CB8" w:rsidRPr="000B202B" w:rsidRDefault="00E55DA1" w:rsidP="00CD6C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02B">
        <w:rPr>
          <w:rStyle w:val="Strong"/>
          <w:rFonts w:ascii="Times New Roman" w:hAnsi="Times New Roman" w:cs="Times New Roman"/>
          <w:sz w:val="24"/>
          <w:szCs w:val="24"/>
        </w:rPr>
        <w:t>Supplementary Table S1. Evidence-stratified summary of primary cilia–disease relationships across organ systems.</w:t>
      </w:r>
      <w:r w:rsidRPr="000B202B">
        <w:rPr>
          <w:rFonts w:ascii="Times New Roman" w:hAnsi="Times New Roman" w:cs="Times New Roman"/>
          <w:sz w:val="24"/>
          <w:szCs w:val="24"/>
        </w:rPr>
        <w:t xml:space="preserve"> Primary cilia–disease relationships are grouped according to the type and strength of supporting evidence.</w:t>
      </w:r>
    </w:p>
    <w:tbl>
      <w:tblPr>
        <w:tblStyle w:val="TableGrid"/>
        <w:tblW w:w="13654" w:type="dxa"/>
        <w:tblLayout w:type="fixed"/>
        <w:tblLook w:val="04A0" w:firstRow="1" w:lastRow="0" w:firstColumn="1" w:lastColumn="0" w:noHBand="0" w:noVBand="1"/>
      </w:tblPr>
      <w:tblGrid>
        <w:gridCol w:w="2339"/>
        <w:gridCol w:w="1347"/>
        <w:gridCol w:w="5948"/>
        <w:gridCol w:w="2010"/>
        <w:gridCol w:w="2010"/>
      </w:tblGrid>
      <w:tr w:rsidR="000B202B" w:rsidRPr="000B202B" w14:paraId="75192BFC" w14:textId="77777777" w:rsidTr="000E3E3D">
        <w:trPr>
          <w:cantSplit/>
        </w:trPr>
        <w:tc>
          <w:tcPr>
            <w:tcW w:w="13654" w:type="dxa"/>
            <w:gridSpan w:val="5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4B8424" w14:textId="7C71FFAB" w:rsidR="00E46F24" w:rsidRPr="000B202B" w:rsidRDefault="00E46F24" w:rsidP="00E46F24">
            <w:pPr>
              <w:pStyle w:val="ListParagraph"/>
              <w:numPr>
                <w:ilvl w:val="0"/>
                <w:numId w:val="2"/>
              </w:numPr>
              <w:ind w:leftChars="0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0B202B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G</w:t>
            </w:r>
            <w:r w:rsidRPr="000B20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enetic ciliopathies or cilia-first disorders</w:t>
            </w:r>
          </w:p>
        </w:tc>
      </w:tr>
      <w:tr w:rsidR="000B202B" w:rsidRPr="000B202B" w14:paraId="221AC137" w14:textId="3528D38E" w:rsidTr="00E46F24">
        <w:trPr>
          <w:cantSplit/>
        </w:trPr>
        <w:tc>
          <w:tcPr>
            <w:tcW w:w="2339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84F679" w14:textId="676716DC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Disease or biological context</w:t>
            </w:r>
          </w:p>
        </w:tc>
        <w:tc>
          <w:tcPr>
            <w:tcW w:w="1347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04138" w14:textId="78E4E7CF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Evidence layer</w:t>
            </w:r>
          </w:p>
        </w:tc>
        <w:tc>
          <w:tcPr>
            <w:tcW w:w="5948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D2FDE9" w14:textId="46A66AF5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Mechanistic relationship</w:t>
            </w:r>
          </w:p>
        </w:tc>
        <w:tc>
          <w:tcPr>
            <w:tcW w:w="2010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639A13" w14:textId="7962135E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Experimental system</w:t>
            </w:r>
          </w:p>
        </w:tc>
        <w:tc>
          <w:tcPr>
            <w:tcW w:w="2010" w:type="dxa"/>
            <w:shd w:val="clear" w:color="auto" w:fill="D5DCE4" w:themeFill="text2" w:themeFillTint="33"/>
            <w:vAlign w:val="center"/>
          </w:tcPr>
          <w:p w14:paraId="7A48B970" w14:textId="569637A0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References</w:t>
            </w:r>
          </w:p>
        </w:tc>
      </w:tr>
      <w:tr w:rsidR="000B202B" w:rsidRPr="000B202B" w14:paraId="6C6107D3" w14:textId="5066A52D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A4651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Congenital laterality and multiorgan developmental defects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C71EC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Genetic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86922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Pathogenic variants in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NPHP3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NPHP4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, and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INVS/NPHP2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were associated with laterality abnormalities, congenital heart malformations, nephronophthisis, and multiorgan dysplasia, genetically linking NPHP-associated ciliary dysfunction to congenital developmental defects.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A1986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genetic cohorts and pedigrees; selected functional studies</w:t>
            </w:r>
          </w:p>
        </w:tc>
        <w:tc>
          <w:tcPr>
            <w:tcW w:w="2010" w:type="dxa"/>
            <w:vAlign w:val="center"/>
          </w:tcPr>
          <w:p w14:paraId="0CDB88E4" w14:textId="5BE0EB96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Bergmann et al. (2008); French et al. (2012); Otto et al. (2003)</w:t>
            </w:r>
          </w:p>
        </w:tc>
      </w:tr>
      <w:tr w:rsidR="000B202B" w:rsidRPr="000B202B" w14:paraId="67235D18" w14:textId="5F0328BA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762A61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Congenital cardiac and laterality defects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44A75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C6564B" w14:textId="1DA5B826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Mutations affecting primary cilia disrupted left-right patterning or cilia-dependent Hedgehog signaling and caused atrioventricular septal defects through distinct developmental mechanisms.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E97B1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</w:t>
            </w:r>
          </w:p>
        </w:tc>
        <w:tc>
          <w:tcPr>
            <w:tcW w:w="2010" w:type="dxa"/>
            <w:vAlign w:val="center"/>
          </w:tcPr>
          <w:p w14:paraId="173E416A" w14:textId="5EBABA00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Burnicka-Turek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et al. (2016)</w:t>
            </w:r>
          </w:p>
        </w:tc>
      </w:tr>
      <w:tr w:rsidR="000B202B" w:rsidRPr="000B202B" w14:paraId="5E616A39" w14:textId="43098AA7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B74FB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Bardet-Biedl syndrome and receptor trafficking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79EBD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5663F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Loss of BBS proteins prevented selected GPCRs from entering primary cilia, establishing BBSome-dependent receptor trafficking as a determinant of neuronal ciliary signaling.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44C5B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brain tissue and cultured cells</w:t>
            </w:r>
          </w:p>
        </w:tc>
        <w:tc>
          <w:tcPr>
            <w:tcW w:w="2010" w:type="dxa"/>
            <w:vAlign w:val="center"/>
          </w:tcPr>
          <w:p w14:paraId="6018F46B" w14:textId="3C7E6A0B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Berbari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et al. (2008)</w:t>
            </w:r>
          </w:p>
        </w:tc>
      </w:tr>
      <w:tr w:rsidR="000B202B" w:rsidRPr="000B202B" w14:paraId="5A4F1145" w14:textId="7DBAF204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34F2D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Adipocyte progenitor differentiation and adipose remodeling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54C55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9A7D9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i/>
                <w:sz w:val="18"/>
              </w:rPr>
              <w:t>Bbs8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deficiency dysregulated ciliary Hedgehog signaling and promoted a fibrogenic adipocyte-progenitor fate, whereas ciliary EP4 activation suppressed adipogenesis, demonstrating context-dependent ciliary control of adipose progenitor differentiation.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D0D38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adipocyte progenitors, 3T3-L1 cells, and mouse models</w:t>
            </w:r>
          </w:p>
        </w:tc>
        <w:tc>
          <w:tcPr>
            <w:tcW w:w="2010" w:type="dxa"/>
            <w:vAlign w:val="center"/>
          </w:tcPr>
          <w:p w14:paraId="07E37F77" w14:textId="58B6EBE1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Sieckmann et al. (2025); Lee and Hilgendorf (2025)</w:t>
            </w:r>
          </w:p>
        </w:tc>
      </w:tr>
      <w:tr w:rsidR="000B202B" w:rsidRPr="000B202B" w14:paraId="3B1CF89F" w14:textId="5586EC6B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56654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Bardet-Biedl syndrome and mitochondrial dysfunction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7124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A90501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BBSome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deficiency caused mitochondrial hyperfusion and metabolic dysfunction in patient fibroblasts and experimental models, supporting a functional link between BBSome disruption and mitochondrial dynamics.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31C34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Patient fibroblasts, mouse neuronal cells, and mouse models</w:t>
            </w:r>
          </w:p>
        </w:tc>
        <w:tc>
          <w:tcPr>
            <w:tcW w:w="2010" w:type="dxa"/>
            <w:vAlign w:val="center"/>
          </w:tcPr>
          <w:p w14:paraId="34289665" w14:textId="7C84064E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Guo et al. (2023)</w:t>
            </w:r>
          </w:p>
        </w:tc>
      </w:tr>
      <w:tr w:rsidR="000B202B" w:rsidRPr="000B202B" w14:paraId="6F170E56" w14:textId="00E1BEA7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7ABB5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BBS-associated extracellular-vesicle communication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71A85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0A7BD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i/>
                <w:sz w:val="18"/>
              </w:rPr>
              <w:t>Bbs4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Bbs6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loss increased extracellular-vesicle release and altered vesicular cargo; similar release changes occurred in BBS10 patient-derived renal cells, although selective miRNA secretion by cilia was not established.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3D55F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kidney cells and BBS10 patient-derived renal epithelial cells</w:t>
            </w:r>
          </w:p>
        </w:tc>
        <w:tc>
          <w:tcPr>
            <w:tcW w:w="2010" w:type="dxa"/>
            <w:vAlign w:val="center"/>
          </w:tcPr>
          <w:p w14:paraId="6F5BB966" w14:textId="6FF2C9EE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Volz et al. (2021)</w:t>
            </w:r>
          </w:p>
        </w:tc>
      </w:tr>
      <w:tr w:rsidR="000B202B" w:rsidRPr="000B202B" w14:paraId="62DC7C2A" w14:textId="77777777" w:rsidTr="00F25540">
        <w:trPr>
          <w:cantSplit/>
        </w:trPr>
        <w:tc>
          <w:tcPr>
            <w:tcW w:w="13654" w:type="dxa"/>
            <w:gridSpan w:val="5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FCD0A1" w14:textId="73491DC3" w:rsidR="00E46F24" w:rsidRPr="000B202B" w:rsidRDefault="00F20214" w:rsidP="00F20214">
            <w:pPr>
              <w:pStyle w:val="ListParagraph"/>
              <w:ind w:leftChars="0" w:left="360"/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0B20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Strong mechanistic preclinical evidence</w:t>
            </w:r>
          </w:p>
        </w:tc>
      </w:tr>
      <w:tr w:rsidR="000B202B" w:rsidRPr="000B202B" w14:paraId="5C08BDB1" w14:textId="7643CFF3" w:rsidTr="00E46F24">
        <w:trPr>
          <w:cantSplit/>
        </w:trPr>
        <w:tc>
          <w:tcPr>
            <w:tcW w:w="2339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6059C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Disease or biological context</w:t>
            </w:r>
          </w:p>
        </w:tc>
        <w:tc>
          <w:tcPr>
            <w:tcW w:w="1347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61A9F1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Evidence layer</w:t>
            </w:r>
          </w:p>
        </w:tc>
        <w:tc>
          <w:tcPr>
            <w:tcW w:w="5948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E4764F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Mechanistic relationship</w:t>
            </w:r>
          </w:p>
        </w:tc>
        <w:tc>
          <w:tcPr>
            <w:tcW w:w="2010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9B89F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Experimental system</w:t>
            </w:r>
          </w:p>
        </w:tc>
        <w:tc>
          <w:tcPr>
            <w:tcW w:w="2010" w:type="dxa"/>
            <w:shd w:val="clear" w:color="auto" w:fill="D5DCE4" w:themeFill="text2" w:themeFillTint="33"/>
          </w:tcPr>
          <w:p w14:paraId="228DA1AE" w14:textId="6C695EC1" w:rsidR="00E46F24" w:rsidRPr="000B202B" w:rsidRDefault="00F20214" w:rsidP="0097445A">
            <w:pPr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References</w:t>
            </w:r>
          </w:p>
        </w:tc>
      </w:tr>
      <w:tr w:rsidR="000B202B" w:rsidRPr="000B202B" w14:paraId="2A36F37F" w14:textId="5D525C3F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8DE8F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Cardiac development and chamber maturation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2EF89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7BA81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>/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Ift20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depletion impaired </w:t>
            </w: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ciliogenesis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>, Hedgehog signaling, and cardiomyocyte differentiation, whereas disruption of endocardial ciliary flow sensing reduced Notch signaling and ventricular trabeculation.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ED0DCB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cardiomyocyte differentiation and zebrafish models</w:t>
            </w:r>
          </w:p>
        </w:tc>
        <w:tc>
          <w:tcPr>
            <w:tcW w:w="2010" w:type="dxa"/>
            <w:vAlign w:val="center"/>
          </w:tcPr>
          <w:p w14:paraId="3BA9C9FC" w14:textId="199E94DC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Clement et al. (2009); Samsa et al. (2015)</w:t>
            </w:r>
          </w:p>
        </w:tc>
      </w:tr>
      <w:tr w:rsidR="000B202B" w:rsidRPr="000B202B" w14:paraId="1DFAAE09" w14:textId="3A29A158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28254F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Pituitary development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2BF6D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Borders>
              <w:bottom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6BFE8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i/>
                <w:sz w:val="18"/>
              </w:rPr>
              <w:t>Bbs4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loss or pituitary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disruption impaired postnatal ciliogenesis, pituitary growth, and endocrine-cell composition.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111FB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</w:t>
            </w:r>
          </w:p>
        </w:tc>
        <w:tc>
          <w:tcPr>
            <w:tcW w:w="2010" w:type="dxa"/>
            <w:vAlign w:val="center"/>
          </w:tcPr>
          <w:p w14:paraId="6A1F8861" w14:textId="73C17E01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Brewer et al. (2026)</w:t>
            </w:r>
          </w:p>
        </w:tc>
      </w:tr>
      <w:tr w:rsidR="000B202B" w:rsidRPr="000B202B" w14:paraId="715FB9BA" w14:textId="1FFC29E7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C5094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Endothelial </w:t>
            </w: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mechanosensing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and vascular development</w:t>
            </w:r>
          </w:p>
        </w:tc>
        <w:tc>
          <w:tcPr>
            <w:tcW w:w="1347" w:type="dxa"/>
            <w:tcBorders>
              <w:right w:val="single" w:sz="4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01906E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7CD55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Disruption of ciliary polycystin-2, CEP41-dependent tubulin glutamylation, or β-arrestin/BMPR2 signaling impaired shear-responsive Ca²⁺/nitric-oxide signaling, endothelial migration, angiogenesis, or vascular development.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10B0E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Endothelial cells and mouse or zebrafish models</w:t>
            </w:r>
          </w:p>
        </w:tc>
        <w:tc>
          <w:tcPr>
            <w:tcW w:w="2010" w:type="dxa"/>
            <w:vAlign w:val="center"/>
          </w:tcPr>
          <w:p w14:paraId="27E05172" w14:textId="610BF482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AbouAlaiwi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et al. (2009); Ki et al. (2020); Park et al. (2022)</w:t>
            </w:r>
          </w:p>
        </w:tc>
      </w:tr>
      <w:tr w:rsidR="000B202B" w:rsidRPr="000B202B" w14:paraId="71B85E2C" w14:textId="7FE94CC5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6501A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Atherosclerosis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FDC29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8F7E2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Endothelial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deletion enhanced inflammatory activation and atherosclerosis, while lipid-droplet-mediated palmitic-acid sequestration reduced ciliary-protein S-palmitoylation and ciliogenesis, identifying complementary cilia-to-disease and metabolic-stress-to-cilia mechanisms.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E74E6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atherosclerosis models and endothelial cells</w:t>
            </w:r>
          </w:p>
        </w:tc>
        <w:tc>
          <w:tcPr>
            <w:tcW w:w="2010" w:type="dxa"/>
            <w:vAlign w:val="center"/>
          </w:tcPr>
          <w:p w14:paraId="34330E5D" w14:textId="22AFFAB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Dinsmore and Reiter (2016); Tan et al. (2024)</w:t>
            </w:r>
          </w:p>
        </w:tc>
      </w:tr>
      <w:tr w:rsidR="000B202B" w:rsidRPr="000B202B" w14:paraId="055EC785" w14:textId="08B8A7EF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2ABBE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Embryonic patterning and development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76D1C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61268F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202B">
              <w:rPr>
                <w:rFonts w:ascii="Times New Roman" w:hAnsi="Times New Roman" w:cs="Times New Roman"/>
                <w:i/>
                <w:sz w:val="18"/>
              </w:rPr>
              <w:t>Fuz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Dyrk2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deficiency impaired ciliogenesis and Hedgehog signaling, producing defective embryonic tissue patterning and multiorgan developmental abnormalities.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10FA4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genetic models</w:t>
            </w:r>
          </w:p>
        </w:tc>
        <w:tc>
          <w:tcPr>
            <w:tcW w:w="2010" w:type="dxa"/>
            <w:vAlign w:val="center"/>
          </w:tcPr>
          <w:p w14:paraId="2F0F3EF6" w14:textId="54321000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Gray et al. (2009); Yoshida et al. (2020)</w:t>
            </w:r>
          </w:p>
        </w:tc>
      </w:tr>
      <w:tr w:rsidR="000B202B" w:rsidRPr="000B202B" w14:paraId="424412FF" w14:textId="6831CA7B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18FCAE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Uterine receptivity, decidualization, and pregnancy loss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A25DFF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2BDEA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Disruption of stromal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CEP164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impaired cilia-dependent Hedgehog, PGE2-cAMP, TGF-β, and progesterone-receptor signaling and reduced decidualization; spontaneous-abortion decidua showed corresponding ciliary and signaling defects.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08878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uterine tissues and cells, and mouse models</w:t>
            </w:r>
          </w:p>
        </w:tc>
        <w:tc>
          <w:tcPr>
            <w:tcW w:w="2010" w:type="dxa"/>
            <w:vAlign w:val="center"/>
          </w:tcPr>
          <w:p w14:paraId="5931BBAE" w14:textId="1F9CC1D2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Li et al. (2023); Yu et al. (2024); Lee et al. (2025)</w:t>
            </w:r>
          </w:p>
        </w:tc>
      </w:tr>
      <w:tr w:rsidR="000B202B" w:rsidRPr="000B202B" w14:paraId="74DAC1C0" w14:textId="2913FEA7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99890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Endometriosis-associated infertility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2A4A2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F590B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TGF-β1 exposure or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>/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CEP164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disruption shortened or removed stromal-cell cilia and impaired ciliary EP4-cAMP decidual signaling; endometriosis and unsuccessful IVF outcomes were associated with reduced ciliation.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BE7D5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tissues and primary cells, and mouse models</w:t>
            </w:r>
          </w:p>
        </w:tc>
        <w:tc>
          <w:tcPr>
            <w:tcW w:w="2010" w:type="dxa"/>
            <w:vAlign w:val="center"/>
          </w:tcPr>
          <w:p w14:paraId="7F1D1798" w14:textId="5BC44564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Hou et al. (2026)</w:t>
            </w:r>
          </w:p>
        </w:tc>
      </w:tr>
      <w:tr w:rsidR="000B202B" w:rsidRPr="000B202B" w14:paraId="6A2E78B7" w14:textId="5CAB13A8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47D27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Preeclampsia and placental dysfunction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6218D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B0C7A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Preeclamptic placental trophoblasts and stromal cells had fewer or shorter cilia and impaired Hedgehog-related migration, invasion, differentiation, or angiogenic support. Inflammatory exposure and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depletion reproduced selected defects, but a causal role in disease progression remains unresolved.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E7FF01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placental tissues, primary cells, and trophoblast models</w:t>
            </w:r>
          </w:p>
        </w:tc>
        <w:tc>
          <w:tcPr>
            <w:tcW w:w="2010" w:type="dxa"/>
            <w:vAlign w:val="center"/>
          </w:tcPr>
          <w:p w14:paraId="2A1E0C4B" w14:textId="13A6FEB3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Ritter et al. (2020); Romberg et al. (2022)</w:t>
            </w:r>
          </w:p>
        </w:tc>
      </w:tr>
      <w:tr w:rsidR="000B202B" w:rsidRPr="000B202B" w14:paraId="34AEF831" w14:textId="486D4B47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85800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Central regulation of obesity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8D9EB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65579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Neuronal-cilium loss, impaired MC4R trafficking, GPR45-Gαs-ADCY3 perturbation, or aging/overnutrition-induced shortening of MC4R-positive cilia reduced melanocortin signaling and altered appetite, energy expenditure, thermogenesis, and body weight.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DE63FE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 and neuronal cell systems</w:t>
            </w:r>
          </w:p>
        </w:tc>
        <w:tc>
          <w:tcPr>
            <w:tcW w:w="2010" w:type="dxa"/>
            <w:vAlign w:val="center"/>
          </w:tcPr>
          <w:p w14:paraId="23EDCA92" w14:textId="0885C5B0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Wang et al. (2021); Bernard et al. (2023); Xun et al. (2025); Oya et al. (2024)</w:t>
            </w:r>
          </w:p>
        </w:tc>
      </w:tr>
      <w:tr w:rsidR="000B202B" w:rsidRPr="000B202B" w14:paraId="58AF7EDA" w14:textId="3C28C08E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743F7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Obesity-associated adipose stromal dysfunction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B2FBD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9C303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Adipose stromal cells from individuals with obesity exhibited shortened or dysfunctional cilia, reduced ADCY3, and impaired motility or differentiation; ADCY3 activation or inhibition of aurora kinase A/ERK partially restored ciliary and cellular phenotypes.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F3166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primary adipose-derived stromal cells</w:t>
            </w:r>
          </w:p>
        </w:tc>
        <w:tc>
          <w:tcPr>
            <w:tcW w:w="2010" w:type="dxa"/>
            <w:vAlign w:val="center"/>
          </w:tcPr>
          <w:p w14:paraId="026FD777" w14:textId="0EFDAE4F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Ritter et al. (2018); Kreis et al. (2025); Ritter et al. (2019)</w:t>
            </w:r>
          </w:p>
        </w:tc>
      </w:tr>
      <w:tr w:rsidR="000B202B" w:rsidRPr="000B202B" w14:paraId="1A45904D" w14:textId="7CAB36C3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A260B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Type 2 diabetes and islet dysfunction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64249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89455F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β-cell-specific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deletion disrupted cilia-dependent endosomal EphA processing and glucose-stimulated insulin secretion, while human diabetic islets showed increased phosphorylated EPHA3 as an associative counterpart.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751B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β-cell models and human primary islets</w:t>
            </w:r>
          </w:p>
        </w:tc>
        <w:tc>
          <w:tcPr>
            <w:tcW w:w="2010" w:type="dxa"/>
            <w:vAlign w:val="center"/>
          </w:tcPr>
          <w:p w14:paraId="4F60C7E8" w14:textId="3514B71C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Volta et al. (2019)</w:t>
            </w:r>
          </w:p>
        </w:tc>
      </w:tr>
      <w:tr w:rsidR="000B202B" w:rsidRPr="000B202B" w14:paraId="42C68D70" w14:textId="213227C0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BD98C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Renal metabolic dysfunction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9A52EB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2056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Exoc5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disruption removed renal tubular cilia, impaired mitochondrial respiration and tryptophan metabolism, and increased susceptibility to ischemic injury.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06611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 and renal epithelial cells</w:t>
            </w:r>
          </w:p>
        </w:tc>
        <w:tc>
          <w:tcPr>
            <w:tcW w:w="2010" w:type="dxa"/>
            <w:vAlign w:val="center"/>
          </w:tcPr>
          <w:p w14:paraId="1C2BAB59" w14:textId="76C17FAA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Zuo et al. (2024)</w:t>
            </w:r>
          </w:p>
        </w:tc>
      </w:tr>
      <w:tr w:rsidR="000B202B" w:rsidRPr="000B202B" w14:paraId="7F680726" w14:textId="487483FF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2CC75F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Cancer stress adaptation and treatment resistance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E95E8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A3B6B1" w14:textId="159E2571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Genotoxic stress, kinase inhibition, cisplatin, PCM1-dependent </w:t>
            </w: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ciliogenesis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>, or EMT altered primary cilia in resistant cancer models; disrupting ciliogenesis or ciliary signaling increased sensitivity to chemotherapy, radiation, or targeted inhibitors in selected contexts.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A48AA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cancer cell lines, patient-derived cells or organoids, tumor biopsies, and functional models</w:t>
            </w:r>
          </w:p>
        </w:tc>
        <w:tc>
          <w:tcPr>
            <w:tcW w:w="2010" w:type="dxa"/>
            <w:vAlign w:val="center"/>
          </w:tcPr>
          <w:p w14:paraId="38F8A41B" w14:textId="784B9C6F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Chen et al. (2021); Jenks et al. (2018); Chao et al. (2022); Hoang-Minh et al. (2016); Wei et al. (2022); Tessier et al. (2025)</w:t>
            </w:r>
          </w:p>
        </w:tc>
      </w:tr>
      <w:tr w:rsidR="000B202B" w:rsidRPr="000B202B" w14:paraId="229F6AAA" w14:textId="6303B7DB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E73EF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Pancreatic ductal adenocarcinoma progression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7041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078BC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HDAC2 inhibition restored cilia through reduced aurora kinase A and suppressed proliferative behavior, whereas glutamine deprivation induced melanophilin-dependent ciliary regrowth that promoted invasion and metastasis, demonstrating context-dependent effects of ciliary remodeling.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8B1B3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pancreatic cancer cells and mouse models</w:t>
            </w:r>
          </w:p>
        </w:tc>
        <w:tc>
          <w:tcPr>
            <w:tcW w:w="2010" w:type="dxa"/>
            <w:vAlign w:val="center"/>
          </w:tcPr>
          <w:p w14:paraId="20B143B2" w14:textId="07BD3BF3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Kobayashi et al. (2017); Chao et al. (2025)</w:t>
            </w:r>
          </w:p>
        </w:tc>
      </w:tr>
      <w:tr w:rsidR="000B202B" w:rsidRPr="000B202B" w14:paraId="12C572D2" w14:textId="57432ADF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CBCE41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Esophageal squamous cell carcinoma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B46CEE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EC3BB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PRDX1 was elevated in tumors and activated a ciliary-disassembly pathway; PRDX1 perturbation altered ciliation and cancer-cell behavior.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BBCD7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tumor tissues and esophageal cancer cells</w:t>
            </w:r>
          </w:p>
        </w:tc>
        <w:tc>
          <w:tcPr>
            <w:tcW w:w="2010" w:type="dxa"/>
            <w:vAlign w:val="center"/>
          </w:tcPr>
          <w:p w14:paraId="46D0A340" w14:textId="01B182DE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Chen et al. (2020)</w:t>
            </w:r>
          </w:p>
        </w:tc>
      </w:tr>
      <w:tr w:rsidR="000B202B" w:rsidRPr="000B202B" w14:paraId="6D6DEE76" w14:textId="6142EAB4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EBBEC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miRNA- and EMT-associated ciliary remodeling in cancer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03737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76B17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Loss of miR-22/miR-433 promoted HDAC6-dependent ciliary loss in cholangiocarcinoma, whereas epithelial-mesenchymal transition induced GLIS2-dependent ciliogenesis in claudin-low breast tumorigenesis; both altered tumor-related signaling and behavior.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83916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tumors and cancer cells, mouse mammary models, and human datasets</w:t>
            </w:r>
          </w:p>
        </w:tc>
        <w:tc>
          <w:tcPr>
            <w:tcW w:w="2010" w:type="dxa"/>
            <w:vAlign w:val="center"/>
          </w:tcPr>
          <w:p w14:paraId="5F32F586" w14:textId="11F62ADC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Mansini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et al. (2018); Wilson et al. (2021)</w:t>
            </w:r>
          </w:p>
        </w:tc>
      </w:tr>
      <w:tr w:rsidR="000B202B" w:rsidRPr="000B202B" w14:paraId="1F3E10FB" w14:textId="79DD8524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BB57C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Neuronal development and structural maturation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23168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E70D8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Loss of neuronal cilia or ciliary GLI3, ADCY3/cAMP, or Akt-CREB signaling disrupted cortical growth, dendritic arborization, synaptic integration of adult-born neurons, or axon-initial-segment organization.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FEDBAB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models, primary neurons, and ex vivo brain preparations</w:t>
            </w:r>
          </w:p>
        </w:tc>
        <w:tc>
          <w:tcPr>
            <w:tcW w:w="2010" w:type="dxa"/>
            <w:vAlign w:val="center"/>
          </w:tcPr>
          <w:p w14:paraId="4249B8E8" w14:textId="2BD6F3D8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Wilson et al. (2012); Guadiana et al. (2013); Kumamoto et al. (2012); Wang et al. (2025)</w:t>
            </w:r>
          </w:p>
        </w:tc>
      </w:tr>
      <w:tr w:rsidR="000B202B" w:rsidRPr="000B202B" w14:paraId="41A418CC" w14:textId="18F794A6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1E293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Neuronal receptor signaling, synaptic function, and behavior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1F765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8E9E0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Manipulating ciliary neuropeptide-receptor signaling altered excitatory synaptic strength, whereas loss of dopamine D1 receptor localization to cilia disrupted signaling and locomotor responses.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50DFB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models, cortical or striatal neurons, and ex vivo brain preparations</w:t>
            </w:r>
          </w:p>
        </w:tc>
        <w:tc>
          <w:tcPr>
            <w:tcW w:w="2010" w:type="dxa"/>
            <w:vAlign w:val="center"/>
          </w:tcPr>
          <w:p w14:paraId="6D0E6770" w14:textId="70557F9B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Tereshko et al. (2021); Stubbs et al. (2022)</w:t>
            </w:r>
          </w:p>
        </w:tc>
      </w:tr>
      <w:tr w:rsidR="000B202B" w:rsidRPr="000B202B" w14:paraId="7ED6B53D" w14:textId="17318CC2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81A5B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Parkinson disease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F8038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1CAD6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Pathogenic LRRK2 reduced </w:t>
            </w: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ciliogenesis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and Sonic Hedgehog responsiveness, including in patient-derived cells; separately, mitochondrial stress induced autophagy-dependent ciliary elongation that protected dopaminergic neurons in mouse models.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34D4DB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Patient-derived and experimental cells, and mouse models</w:t>
            </w:r>
          </w:p>
        </w:tc>
        <w:tc>
          <w:tcPr>
            <w:tcW w:w="2010" w:type="dxa"/>
            <w:vAlign w:val="center"/>
          </w:tcPr>
          <w:p w14:paraId="62F1AEFD" w14:textId="1B0D4ADB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Dhekne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et al. (2018); Bae et al. (2019)</w:t>
            </w:r>
          </w:p>
        </w:tc>
      </w:tr>
      <w:tr w:rsidR="000B202B" w:rsidRPr="000B202B" w14:paraId="29C5905D" w14:textId="356688B9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D127CE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Alzheimer disease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F0D69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FEA5D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Neuronal cilia were shortened near amyloid-β plaques and SSTR3 deletion worsened selected pathology, while microglial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Ift88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disruption altered extracellular-vesicle, lysosomal, and secretory responses to amyloid-β.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2D028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Alzheimer models, neuronal cells, and microglial models</w:t>
            </w:r>
          </w:p>
        </w:tc>
        <w:tc>
          <w:tcPr>
            <w:tcW w:w="2010" w:type="dxa"/>
            <w:vAlign w:val="center"/>
          </w:tcPr>
          <w:p w14:paraId="3997F50D" w14:textId="67FD7C76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Guo et al. (2025); Yeo et al. (2023)</w:t>
            </w:r>
          </w:p>
        </w:tc>
      </w:tr>
      <w:tr w:rsidR="000B202B" w:rsidRPr="000B202B" w14:paraId="0D9E8405" w14:textId="2551729D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400B8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Amyotrophic lateral sclerosis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07791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Genetic, mechanistic,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47D59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ALS-associated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C21ORF2/CFAP410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or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NEK1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variants were linked to abnormal cilia in patient-derived cells; perturbation and rescue connected these variants to Hedgehog, neuromuscular-junction, cell-cycle, or DNA-damage phenotypes.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DA87F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genetic cohorts, patient-derived motor neurons or fibroblasts, and functional models</w:t>
            </w:r>
          </w:p>
        </w:tc>
        <w:tc>
          <w:tcPr>
            <w:tcW w:w="2010" w:type="dxa"/>
            <w:vAlign w:val="center"/>
          </w:tcPr>
          <w:p w14:paraId="40A6C9FA" w14:textId="029CB0F5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De Decker et al. (2025); Noh et al. (2025)</w:t>
            </w:r>
          </w:p>
        </w:tc>
      </w:tr>
      <w:tr w:rsidR="000B202B" w:rsidRPr="000B202B" w14:paraId="7C00DD07" w14:textId="77777777" w:rsidTr="003B316C">
        <w:trPr>
          <w:cantSplit/>
        </w:trPr>
        <w:tc>
          <w:tcPr>
            <w:tcW w:w="13654" w:type="dxa"/>
            <w:gridSpan w:val="5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EA2E58" w14:textId="77461406" w:rsidR="00E46F24" w:rsidRPr="000B202B" w:rsidRDefault="00F20214" w:rsidP="00F2021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20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Emerging or predominantly disease-associated ciliary alterations</w:t>
            </w:r>
          </w:p>
        </w:tc>
      </w:tr>
      <w:tr w:rsidR="000B202B" w:rsidRPr="000B202B" w14:paraId="3EC3250F" w14:textId="59C44C18" w:rsidTr="00E46F24">
        <w:trPr>
          <w:cantSplit/>
        </w:trPr>
        <w:tc>
          <w:tcPr>
            <w:tcW w:w="2339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99E1D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Disease or biological context</w:t>
            </w:r>
          </w:p>
        </w:tc>
        <w:tc>
          <w:tcPr>
            <w:tcW w:w="1347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7A517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Evidence layer</w:t>
            </w:r>
          </w:p>
        </w:tc>
        <w:tc>
          <w:tcPr>
            <w:tcW w:w="5948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F3406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Mechanistic relationship</w:t>
            </w:r>
          </w:p>
        </w:tc>
        <w:tc>
          <w:tcPr>
            <w:tcW w:w="2010" w:type="dxa"/>
            <w:shd w:val="clear" w:color="auto" w:fill="D5DCE4" w:themeFill="text2" w:themeFillTint="3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FB178B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Experimental system</w:t>
            </w:r>
          </w:p>
        </w:tc>
        <w:tc>
          <w:tcPr>
            <w:tcW w:w="2010" w:type="dxa"/>
            <w:shd w:val="clear" w:color="auto" w:fill="D5DCE4" w:themeFill="text2" w:themeFillTint="33"/>
            <w:vAlign w:val="center"/>
          </w:tcPr>
          <w:p w14:paraId="5AA82213" w14:textId="58D0271B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b/>
                <w:sz w:val="19"/>
              </w:rPr>
            </w:pPr>
            <w:r w:rsidRPr="000B202B">
              <w:rPr>
                <w:rFonts w:ascii="Times New Roman" w:hAnsi="Times New Roman" w:cs="Times New Roman"/>
                <w:b/>
                <w:sz w:val="19"/>
              </w:rPr>
              <w:t>References</w:t>
            </w:r>
          </w:p>
        </w:tc>
      </w:tr>
      <w:tr w:rsidR="000B202B" w:rsidRPr="000B202B" w14:paraId="57F9BF3F" w14:textId="6CFD0E28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01AF2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Atherosclerosis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8431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7079C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Endothelial primary cilia were enriched at disturbed-flow and lesion-prone sites, establishing a spatial association without independently demonstrating causation.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FCCAB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</w:t>
            </w:r>
          </w:p>
        </w:tc>
        <w:tc>
          <w:tcPr>
            <w:tcW w:w="2010" w:type="dxa"/>
            <w:vAlign w:val="center"/>
          </w:tcPr>
          <w:p w14:paraId="43150A3E" w14:textId="2F13791F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Van der Heiden et al. (2008)</w:t>
            </w:r>
          </w:p>
        </w:tc>
      </w:tr>
      <w:tr w:rsidR="000B202B" w:rsidRPr="000B202B" w14:paraId="0E09A0C0" w14:textId="254810C7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D9FCE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miRNA-associated trophoblast dysfunction and miscarriage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C78CB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 and 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5475EE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Elevated miR-20b-5p in recurrent miscarriage suppressed autophagy and ciliogenesis, while miR-155-5p promoted centrosome amplification and inhibited ciliation; both perturbations reduced trophoblast migration and invasion.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3D0C32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placental tissues and trophoblast cell models</w:t>
            </w:r>
          </w:p>
        </w:tc>
        <w:tc>
          <w:tcPr>
            <w:tcW w:w="2010" w:type="dxa"/>
            <w:vAlign w:val="center"/>
          </w:tcPr>
          <w:p w14:paraId="58B868B9" w14:textId="191A63C5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Lin et al. (2024); Tsai et al. (2024)</w:t>
            </w:r>
          </w:p>
        </w:tc>
      </w:tr>
      <w:tr w:rsidR="000B202B" w:rsidRPr="000B202B" w14:paraId="1B2DCFB1" w14:textId="449313BF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CCAE5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Pregnancy-loss-associated ciliary alterations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489A8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Correlative and candidate genetic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1FFE9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 xml:space="preserve">Recurrent-miscarriage decidua showed fewer ciliated stromal cells, and recurrent early pregnancy loss was associated with candidate </w:t>
            </w:r>
            <w:r w:rsidRPr="000B202B">
              <w:rPr>
                <w:rFonts w:ascii="Times New Roman" w:hAnsi="Times New Roman" w:cs="Times New Roman"/>
                <w:i/>
                <w:sz w:val="18"/>
              </w:rPr>
              <w:t>DYNC2H1</w:t>
            </w:r>
            <w:r w:rsidRPr="000B202B">
              <w:rPr>
                <w:rFonts w:ascii="Times New Roman" w:hAnsi="Times New Roman" w:cs="Times New Roman"/>
                <w:sz w:val="18"/>
              </w:rPr>
              <w:t xml:space="preserve"> variants; neither causal direction nor variant pathogenicity was established.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77135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decidual tissues and genetic cohorts</w:t>
            </w:r>
          </w:p>
        </w:tc>
        <w:tc>
          <w:tcPr>
            <w:tcW w:w="2010" w:type="dxa"/>
            <w:vAlign w:val="center"/>
          </w:tcPr>
          <w:p w14:paraId="59696FE2" w14:textId="24723750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Hassan et al. (2022); Qiao et al. (2016)</w:t>
            </w:r>
          </w:p>
        </w:tc>
      </w:tr>
      <w:tr w:rsidR="000B202B" w:rsidRPr="000B202B" w14:paraId="3B81A4A1" w14:textId="2184E71D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62211A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Cancer-associated ciliary loss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9C9C11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176A3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Primary cilia were reduced early in breast-cancer development and largely absent from pancreatic neoplastic lesions, establishing disease-associated ciliary loss without showing that it initiates tumorigenesis.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5239D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breast and pancreatic tissues, and cancer models</w:t>
            </w:r>
          </w:p>
        </w:tc>
        <w:tc>
          <w:tcPr>
            <w:tcW w:w="2010" w:type="dxa"/>
            <w:vAlign w:val="center"/>
          </w:tcPr>
          <w:p w14:paraId="02A3082C" w14:textId="4CC0BB1F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Menzl et al. (2014); Seeley et al. (2009)</w:t>
            </w:r>
          </w:p>
        </w:tc>
      </w:tr>
      <w:tr w:rsidR="000B202B" w:rsidRPr="000B202B" w14:paraId="710A9F56" w14:textId="63133C18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957ED0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VHL-associated ciliary remodeling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2EF8F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D4A924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VHL loss impaired microtubule orientation and primary-cilium formation or maintenance, while VHL restoration rescued ciliogenesis; these studies did not independently establish effects on tumor progression.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6991C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renal epithelial cell models</w:t>
            </w:r>
          </w:p>
        </w:tc>
        <w:tc>
          <w:tcPr>
            <w:tcW w:w="2010" w:type="dxa"/>
            <w:vAlign w:val="center"/>
          </w:tcPr>
          <w:p w14:paraId="73F54CF1" w14:textId="18D783E8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Schermer et al. (2006); Lutz and Burk (2006)</w:t>
            </w:r>
          </w:p>
        </w:tc>
      </w:tr>
      <w:tr w:rsidR="000B202B" w:rsidRPr="000B202B" w14:paraId="0A7F84AA" w14:textId="6FF05352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8FA5D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Hypoxia-associated ciliary signaling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DA363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DE7419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Hypoxic HIF-2α signaling interacted with IFT88, promoted ciliary elongation, and altered MEK/ERK signaling, although the study was not conducted in a tumor model.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18A50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neuronal cells</w:t>
            </w:r>
          </w:p>
        </w:tc>
        <w:tc>
          <w:tcPr>
            <w:tcW w:w="2010" w:type="dxa"/>
            <w:vAlign w:val="center"/>
          </w:tcPr>
          <w:p w14:paraId="71B9714A" w14:textId="1EEC277C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Leu et al. (2023)</w:t>
            </w:r>
          </w:p>
        </w:tc>
      </w:tr>
      <w:tr w:rsidR="000B202B" w:rsidRPr="000B202B" w14:paraId="492E7E98" w14:textId="73E76B35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12B0C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Bladder cancer invasion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AD5B88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Correlative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FACC56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Primary cilia co-occurred with Hedgehog and epithelial-mesenchymal-transition markers in invasive tumor regions, supporting a spatial association rather than causal involvement.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7DE107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Human bladder-tumor tissues</w:t>
            </w:r>
          </w:p>
        </w:tc>
        <w:tc>
          <w:tcPr>
            <w:tcW w:w="2010" w:type="dxa"/>
            <w:vAlign w:val="center"/>
          </w:tcPr>
          <w:p w14:paraId="1008B782" w14:textId="64B38F78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0B202B">
              <w:rPr>
                <w:rFonts w:ascii="Times New Roman" w:hAnsi="Times New Roman" w:cs="Times New Roman"/>
                <w:sz w:val="18"/>
              </w:rPr>
              <w:t>Iruzubieta</w:t>
            </w:r>
            <w:proofErr w:type="spellEnd"/>
            <w:r w:rsidRPr="000B202B">
              <w:rPr>
                <w:rFonts w:ascii="Times New Roman" w:hAnsi="Times New Roman" w:cs="Times New Roman"/>
                <w:sz w:val="18"/>
              </w:rPr>
              <w:t xml:space="preserve"> et al. (2021)</w:t>
            </w:r>
          </w:p>
        </w:tc>
      </w:tr>
      <w:tr w:rsidR="000B202B" w:rsidRPr="000B202B" w14:paraId="1263EF2C" w14:textId="0B5F625E" w:rsidTr="00E46F24">
        <w:trPr>
          <w:cantSplit/>
        </w:trPr>
        <w:tc>
          <w:tcPr>
            <w:tcW w:w="233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3B6845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Astrocytic mitochondrial stress</w:t>
            </w:r>
          </w:p>
        </w:tc>
        <w:tc>
          <w:tcPr>
            <w:tcW w:w="134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1BD83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Mechanistic</w:t>
            </w:r>
          </w:p>
        </w:tc>
        <w:tc>
          <w:tcPr>
            <w:tcW w:w="594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B9EAB3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Astrocyte-specific mitochondrial-DNA depletion activated FOXJ1/RFX ciliogenic programs and produced elongated or distorted primary cilia, demonstrating mitochondrial-stress-induced ciliary remodeling.</w:t>
            </w:r>
          </w:p>
        </w:tc>
        <w:tc>
          <w:tcPr>
            <w:tcW w:w="201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6DBFCD" w14:textId="77777777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Mouse models and primary mouse astrocytes</w:t>
            </w:r>
          </w:p>
        </w:tc>
        <w:tc>
          <w:tcPr>
            <w:tcW w:w="2010" w:type="dxa"/>
            <w:vAlign w:val="center"/>
          </w:tcPr>
          <w:p w14:paraId="654D6B57" w14:textId="5793DD1D" w:rsidR="00E46F24" w:rsidRPr="000B202B" w:rsidRDefault="00E46F24" w:rsidP="0097445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0B202B">
              <w:rPr>
                <w:rFonts w:ascii="Times New Roman" w:hAnsi="Times New Roman" w:cs="Times New Roman"/>
                <w:sz w:val="18"/>
              </w:rPr>
              <w:t>Ignatenko et al. (2023)</w:t>
            </w:r>
          </w:p>
        </w:tc>
      </w:tr>
    </w:tbl>
    <w:p w14:paraId="1EDB1A57" w14:textId="77777777" w:rsidR="002A65AC" w:rsidRPr="000B202B" w:rsidRDefault="00E55DA1" w:rsidP="00E55DA1">
      <w:pPr>
        <w:jc w:val="both"/>
        <w:rPr>
          <w:rFonts w:ascii="Times New Roman" w:hAnsi="Times New Roman" w:cs="Times New Roman"/>
          <w:sz w:val="24"/>
        </w:rPr>
      </w:pPr>
      <w:r w:rsidRPr="000B202B">
        <w:rPr>
          <w:rStyle w:val="Strong"/>
          <w:rFonts w:ascii="Times New Roman" w:hAnsi="Times New Roman" w:cs="Times New Roman"/>
          <w:b w:val="0"/>
          <w:sz w:val="24"/>
        </w:rPr>
        <w:t>Note:</w:t>
      </w:r>
      <w:r w:rsidRPr="000B202B">
        <w:rPr>
          <w:rFonts w:ascii="Times New Roman" w:hAnsi="Times New Roman" w:cs="Times New Roman"/>
          <w:sz w:val="24"/>
        </w:rPr>
        <w:t xml:space="preserve"> Studies were classified according to the type and strength of evidence supporting the cilia–disease relationship. </w:t>
      </w:r>
      <w:r w:rsidRPr="000B202B">
        <w:rPr>
          <w:rFonts w:ascii="Times New Roman" w:hAnsi="Times New Roman" w:cs="Times New Roman"/>
          <w:b/>
          <w:sz w:val="24"/>
        </w:rPr>
        <w:t>(1)</w:t>
      </w:r>
      <w:r w:rsidRPr="000B202B">
        <w:rPr>
          <w:rFonts w:ascii="Times New Roman" w:hAnsi="Times New Roman" w:cs="Times New Roman"/>
          <w:sz w:val="24"/>
        </w:rPr>
        <w:t xml:space="preserve"> </w:t>
      </w:r>
      <w:r w:rsidRPr="000B202B">
        <w:rPr>
          <w:rStyle w:val="Strong"/>
          <w:rFonts w:ascii="Times New Roman" w:hAnsi="Times New Roman" w:cs="Times New Roman"/>
          <w:b w:val="0"/>
          <w:sz w:val="24"/>
        </w:rPr>
        <w:t>Genetic ciliopathies or cilia-first disorders</w:t>
      </w:r>
      <w:r w:rsidRPr="000B202B">
        <w:rPr>
          <w:rFonts w:ascii="Times New Roman" w:hAnsi="Times New Roman" w:cs="Times New Roman"/>
          <w:sz w:val="24"/>
        </w:rPr>
        <w:t xml:space="preserve"> include conditions caused by pathogenic variants in established cilia-related genes or models in which ciliary dysfunction is considered a primary driver of disease. </w:t>
      </w:r>
      <w:r w:rsidRPr="000B202B">
        <w:rPr>
          <w:rFonts w:ascii="Times New Roman" w:hAnsi="Times New Roman" w:cs="Times New Roman"/>
          <w:b/>
          <w:sz w:val="24"/>
        </w:rPr>
        <w:t xml:space="preserve">(2) </w:t>
      </w:r>
      <w:r w:rsidRPr="000B202B">
        <w:rPr>
          <w:rStyle w:val="Strong"/>
          <w:rFonts w:ascii="Times New Roman" w:hAnsi="Times New Roman" w:cs="Times New Roman"/>
          <w:b w:val="0"/>
          <w:sz w:val="24"/>
        </w:rPr>
        <w:t>Strong mechanistic preclinical evidence</w:t>
      </w:r>
      <w:r w:rsidRPr="000B202B">
        <w:rPr>
          <w:rFonts w:ascii="Times New Roman" w:hAnsi="Times New Roman" w:cs="Times New Roman"/>
          <w:sz w:val="24"/>
        </w:rPr>
        <w:t xml:space="preserve"> includes studies in which direct manipulation of ciliary genes, structures, or signaling pathways alters or rescues disease-relevant phenotypes in experimental models. </w:t>
      </w:r>
      <w:r w:rsidRPr="000B202B">
        <w:rPr>
          <w:rFonts w:ascii="Times New Roman" w:hAnsi="Times New Roman" w:cs="Times New Roman"/>
          <w:b/>
          <w:sz w:val="24"/>
        </w:rPr>
        <w:t>(3)</w:t>
      </w:r>
      <w:r w:rsidRPr="000B202B">
        <w:rPr>
          <w:rFonts w:ascii="Times New Roman" w:hAnsi="Times New Roman" w:cs="Times New Roman"/>
          <w:sz w:val="24"/>
        </w:rPr>
        <w:t xml:space="preserve"> </w:t>
      </w:r>
      <w:r w:rsidRPr="000B202B">
        <w:rPr>
          <w:rStyle w:val="Strong"/>
          <w:rFonts w:ascii="Times New Roman" w:hAnsi="Times New Roman" w:cs="Times New Roman"/>
          <w:b w:val="0"/>
          <w:sz w:val="24"/>
        </w:rPr>
        <w:t>Emerging or predominantly disease-associated ciliary alterations</w:t>
      </w:r>
      <w:r w:rsidRPr="000B202B">
        <w:rPr>
          <w:rFonts w:ascii="Times New Roman" w:hAnsi="Times New Roman" w:cs="Times New Roman"/>
          <w:sz w:val="24"/>
        </w:rPr>
        <w:t xml:space="preserve"> include studies showing ciliary changes in patient samples or disease models for which the directionality or causal contribution of ciliary dysfunction remains incompletely established.  Closely related studies sharing a biological context and evidence layer were consolidated within single entries; distinct evidence strengths or causal directions were retained as separate entries.</w:t>
      </w:r>
    </w:p>
    <w:p w14:paraId="5D5409B2" w14:textId="77777777" w:rsidR="00E46F24" w:rsidRPr="000B202B" w:rsidRDefault="00E46F24" w:rsidP="00E55DA1">
      <w:pPr>
        <w:jc w:val="both"/>
        <w:rPr>
          <w:rFonts w:ascii="Times New Roman" w:hAnsi="Times New Roman" w:cs="Times New Roman"/>
          <w:sz w:val="24"/>
        </w:rPr>
      </w:pPr>
    </w:p>
    <w:p w14:paraId="30412588" w14:textId="77777777" w:rsidR="00E46F24" w:rsidRPr="000B202B" w:rsidRDefault="00E46F24" w:rsidP="00F202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72F37" w14:textId="77777777" w:rsidR="00E46F24" w:rsidRPr="000B202B" w:rsidRDefault="00E46F24" w:rsidP="00E55DA1">
      <w:pPr>
        <w:jc w:val="both"/>
        <w:rPr>
          <w:rFonts w:ascii="Times New Roman" w:hAnsi="Times New Roman" w:cs="Times New Roman"/>
          <w:sz w:val="24"/>
        </w:rPr>
      </w:pPr>
    </w:p>
    <w:sectPr w:rsidR="00E46F24" w:rsidRPr="000B202B" w:rsidSect="000B20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E1381" w14:textId="77777777" w:rsidR="00B70973" w:rsidRDefault="00B70973" w:rsidP="00CD6CB8">
      <w:pPr>
        <w:spacing w:after="0" w:line="240" w:lineRule="auto"/>
      </w:pPr>
      <w:r>
        <w:separator/>
      </w:r>
    </w:p>
  </w:endnote>
  <w:endnote w:type="continuationSeparator" w:id="0">
    <w:p w14:paraId="17D73972" w14:textId="77777777" w:rsidR="00B70973" w:rsidRDefault="00B70973" w:rsidP="00CD6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10B60" w14:textId="77777777" w:rsidR="00CD6CB8" w:rsidRDefault="00CD6C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838B" w14:textId="77777777" w:rsidR="00CD6CB8" w:rsidRDefault="00CD6C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F0BEB" w14:textId="77777777" w:rsidR="00CD6CB8" w:rsidRDefault="00CD6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FCE0A" w14:textId="77777777" w:rsidR="00B70973" w:rsidRDefault="00B70973" w:rsidP="00CD6CB8">
      <w:pPr>
        <w:spacing w:after="0" w:line="240" w:lineRule="auto"/>
      </w:pPr>
      <w:r>
        <w:separator/>
      </w:r>
    </w:p>
  </w:footnote>
  <w:footnote w:type="continuationSeparator" w:id="0">
    <w:p w14:paraId="40AAC446" w14:textId="77777777" w:rsidR="00B70973" w:rsidRDefault="00B70973" w:rsidP="00CD6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B75D" w14:textId="77777777" w:rsidR="00CD6CB8" w:rsidRDefault="00CD6C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3C31B" w14:textId="77777777" w:rsidR="00CD6CB8" w:rsidRDefault="00CD6C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F16B9" w14:textId="77777777" w:rsidR="00CD6CB8" w:rsidRDefault="00CD6C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22A2C"/>
    <w:multiLevelType w:val="hybridMultilevel"/>
    <w:tmpl w:val="55BA1694"/>
    <w:lvl w:ilvl="0" w:tplc="8B74742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AF67FAA"/>
    <w:multiLevelType w:val="hybridMultilevel"/>
    <w:tmpl w:val="B9E413BC"/>
    <w:lvl w:ilvl="0" w:tplc="C554AF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371"/>
    <w:rsid w:val="000637DE"/>
    <w:rsid w:val="000B202B"/>
    <w:rsid w:val="00114DC8"/>
    <w:rsid w:val="001877FB"/>
    <w:rsid w:val="00242B33"/>
    <w:rsid w:val="002A65AC"/>
    <w:rsid w:val="00331AB0"/>
    <w:rsid w:val="00464230"/>
    <w:rsid w:val="004A18CA"/>
    <w:rsid w:val="004D7FD9"/>
    <w:rsid w:val="00510B37"/>
    <w:rsid w:val="005562CF"/>
    <w:rsid w:val="00573371"/>
    <w:rsid w:val="005835D8"/>
    <w:rsid w:val="00604A2E"/>
    <w:rsid w:val="00641B66"/>
    <w:rsid w:val="00666C22"/>
    <w:rsid w:val="00681029"/>
    <w:rsid w:val="006D481E"/>
    <w:rsid w:val="007C423E"/>
    <w:rsid w:val="007F435D"/>
    <w:rsid w:val="00877B66"/>
    <w:rsid w:val="008A13BF"/>
    <w:rsid w:val="008A6299"/>
    <w:rsid w:val="008F4049"/>
    <w:rsid w:val="00903914"/>
    <w:rsid w:val="0097445A"/>
    <w:rsid w:val="00B70973"/>
    <w:rsid w:val="00C976FD"/>
    <w:rsid w:val="00CD20C3"/>
    <w:rsid w:val="00CD6CB8"/>
    <w:rsid w:val="00D9424F"/>
    <w:rsid w:val="00DF753E"/>
    <w:rsid w:val="00E46F24"/>
    <w:rsid w:val="00E55DA1"/>
    <w:rsid w:val="00EB489B"/>
    <w:rsid w:val="00EE46B2"/>
    <w:rsid w:val="00EF3EDC"/>
    <w:rsid w:val="00F16EC5"/>
    <w:rsid w:val="00F2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4413C"/>
  <w15:chartTrackingRefBased/>
  <w15:docId w15:val="{AC128378-F30F-4127-A8A7-4A5E68AC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3">
    <w:name w:val="heading 3"/>
    <w:basedOn w:val="Normal"/>
    <w:link w:val="Heading3Char"/>
    <w:uiPriority w:val="9"/>
    <w:qFormat/>
    <w:rsid w:val="00F16EC5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3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16EC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CD6C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CB8"/>
  </w:style>
  <w:style w:type="paragraph" w:styleId="Footer">
    <w:name w:val="footer"/>
    <w:basedOn w:val="Normal"/>
    <w:link w:val="FooterChar"/>
    <w:uiPriority w:val="99"/>
    <w:unhideWhenUsed/>
    <w:rsid w:val="00CD6C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CB8"/>
  </w:style>
  <w:style w:type="character" w:styleId="Emphasis">
    <w:name w:val="Emphasis"/>
    <w:basedOn w:val="DefaultParagraphFont"/>
    <w:uiPriority w:val="20"/>
    <w:qFormat/>
    <w:rsid w:val="00CD6CB8"/>
    <w:rPr>
      <w:i/>
      <w:iCs/>
    </w:rPr>
  </w:style>
  <w:style w:type="character" w:styleId="Strong">
    <w:name w:val="Strong"/>
    <w:basedOn w:val="DefaultParagraphFont"/>
    <w:uiPriority w:val="22"/>
    <w:qFormat/>
    <w:rsid w:val="00E55DA1"/>
    <w:rPr>
      <w:b/>
      <w:bCs/>
    </w:rPr>
  </w:style>
  <w:style w:type="paragraph" w:styleId="ListParagraph">
    <w:name w:val="List Paragraph"/>
    <w:basedOn w:val="Normal"/>
    <w:uiPriority w:val="34"/>
    <w:qFormat/>
    <w:rsid w:val="00E46F2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2AF72F-2EC6-E04B-9C83-98BC17F2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2169</Words>
  <Characters>12365</Characters>
  <Application>Microsoft Office Word</Application>
  <DocSecurity>0</DocSecurity>
  <Lines>103</Lines>
  <Paragraphs>29</Paragraphs>
  <ScaleCrop>false</ScaleCrop>
  <Company/>
  <LinksUpToDate>false</LinksUpToDate>
  <CharactersWithSpaces>14505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Skylar</dc:creator>
  <cp:keywords/>
  <dc:description/>
  <cp:lastModifiedBy>Revathi Thangaraj</cp:lastModifiedBy>
  <cp:revision>3</cp:revision>
  <dcterms:created xsi:type="dcterms:W3CDTF">2026-08-27T14:16:00Z</dcterms:created>
  <dcterms:modified xsi:type="dcterms:W3CDTF">2026-09-11T07:59:00Z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ee78b48a-4d33-45ee-a576-20267bffb801</vt:lpwstr>
  </property>
</Properties>
</file>