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559" w:rsidRPr="00472C5A" w:rsidRDefault="00F51559" w:rsidP="00311DFC">
      <w:pPr>
        <w:widowControl/>
        <w:jc w:val="left"/>
        <w:rPr>
          <w:rFonts w:ascii="Times New Roman" w:hAnsi="Times New Roman"/>
          <w:sz w:val="27"/>
          <w:szCs w:val="27"/>
          <w:lang w:val="en-GB"/>
        </w:rPr>
      </w:pPr>
      <w:r w:rsidRPr="00472C5A">
        <w:rPr>
          <w:rFonts w:ascii="Times New Roman" w:hAnsi="Times New Roman"/>
          <w:sz w:val="27"/>
          <w:szCs w:val="27"/>
          <w:lang w:val="en-GB"/>
        </w:rPr>
        <w:t>Additional file 1</w:t>
      </w:r>
      <w:r w:rsidR="00DF2393">
        <w:rPr>
          <w:rFonts w:ascii="Times New Roman" w:hAnsi="Times New Roman"/>
          <w:sz w:val="27"/>
          <w:szCs w:val="27"/>
          <w:lang w:val="en-GB"/>
        </w:rPr>
        <w:t xml:space="preserve"> </w:t>
      </w:r>
      <w:r w:rsidRPr="00472C5A">
        <w:rPr>
          <w:rFonts w:ascii="Times New Roman" w:hAnsi="Times New Roman"/>
          <w:sz w:val="27"/>
          <w:szCs w:val="27"/>
        </w:rPr>
        <w:t xml:space="preserve">– </w:t>
      </w:r>
      <w:r w:rsidRPr="00472C5A">
        <w:rPr>
          <w:rFonts w:ascii="Times New Roman" w:hAnsi="Times New Roman"/>
          <w:sz w:val="27"/>
          <w:szCs w:val="27"/>
          <w:lang w:val="en-GB"/>
        </w:rPr>
        <w:t>Detailed description of Materials and Methods section</w:t>
      </w:r>
    </w:p>
    <w:p w:rsidR="00F51559" w:rsidRPr="00311DFC" w:rsidRDefault="00F51559" w:rsidP="00311DFC">
      <w:pPr>
        <w:rPr>
          <w:rFonts w:ascii="Times New Roman" w:hAnsi="Times New Roman"/>
          <w:sz w:val="24"/>
          <w:szCs w:val="24"/>
        </w:rPr>
      </w:pPr>
    </w:p>
    <w:p w:rsidR="00F51559" w:rsidRPr="00311DFC" w:rsidRDefault="00F51559" w:rsidP="00311DFC">
      <w:pPr>
        <w:rPr>
          <w:rFonts w:ascii="Times New Roman" w:hAnsi="Times New Roman"/>
          <w:b/>
          <w:sz w:val="36"/>
          <w:szCs w:val="36"/>
        </w:rPr>
      </w:pPr>
      <w:r w:rsidRPr="00311DFC">
        <w:rPr>
          <w:rFonts w:ascii="Times New Roman" w:hAnsi="Times New Roman"/>
          <w:b/>
          <w:sz w:val="36"/>
          <w:szCs w:val="36"/>
        </w:rPr>
        <w:t>Nitric oxide exerts protective effects against bleomycin-induced pulmonary fibrosis in mice</w:t>
      </w:r>
    </w:p>
    <w:p w:rsidR="00F51559" w:rsidRPr="00311DFC" w:rsidRDefault="00F51559" w:rsidP="00311DFC">
      <w:pPr>
        <w:rPr>
          <w:rFonts w:ascii="Times New Roman" w:hAnsi="Times New Roman"/>
          <w:sz w:val="24"/>
          <w:szCs w:val="24"/>
        </w:rPr>
      </w:pPr>
    </w:p>
    <w:p w:rsidR="00F51559" w:rsidRPr="00311DFC" w:rsidRDefault="00F51559" w:rsidP="00311DFC">
      <w:pPr>
        <w:rPr>
          <w:rFonts w:ascii="Times New Roman" w:hAnsi="Times New Roman"/>
          <w:sz w:val="24"/>
          <w:szCs w:val="24"/>
        </w:rPr>
      </w:pPr>
      <w:r w:rsidRPr="00311DFC">
        <w:rPr>
          <w:rFonts w:ascii="Times New Roman" w:hAnsi="Times New Roman"/>
          <w:sz w:val="24"/>
          <w:szCs w:val="24"/>
        </w:rPr>
        <w:t xml:space="preserve">Shingo Noguchi, Kazuhiro </w:t>
      </w:r>
      <w:proofErr w:type="spellStart"/>
      <w:r w:rsidRPr="00311DFC">
        <w:rPr>
          <w:rFonts w:ascii="Times New Roman" w:hAnsi="Times New Roman"/>
          <w:sz w:val="24"/>
          <w:szCs w:val="24"/>
        </w:rPr>
        <w:t>Yatera</w:t>
      </w:r>
      <w:proofErr w:type="spellEnd"/>
      <w:r w:rsidRPr="00311DFC">
        <w:rPr>
          <w:rFonts w:ascii="Times New Roman" w:hAnsi="Times New Roman"/>
          <w:sz w:val="24"/>
          <w:szCs w:val="24"/>
        </w:rPr>
        <w:t xml:space="preserve">, </w:t>
      </w:r>
      <w:proofErr w:type="spellStart"/>
      <w:r w:rsidRPr="00311DFC">
        <w:rPr>
          <w:rFonts w:ascii="Times New Roman" w:hAnsi="Times New Roman"/>
          <w:sz w:val="24"/>
          <w:szCs w:val="24"/>
        </w:rPr>
        <w:t>Ke</w:t>
      </w:r>
      <w:proofErr w:type="spellEnd"/>
      <w:r w:rsidRPr="00311DFC">
        <w:rPr>
          <w:rFonts w:ascii="Times New Roman" w:hAnsi="Times New Roman"/>
          <w:sz w:val="24"/>
          <w:szCs w:val="24"/>
        </w:rPr>
        <w:t xml:space="preserve">-Yong Wang, </w:t>
      </w:r>
      <w:proofErr w:type="spellStart"/>
      <w:r w:rsidRPr="00311DFC">
        <w:rPr>
          <w:rFonts w:ascii="Times New Roman" w:hAnsi="Times New Roman"/>
          <w:sz w:val="24"/>
          <w:szCs w:val="24"/>
        </w:rPr>
        <w:t>Keishi</w:t>
      </w:r>
      <w:proofErr w:type="spellEnd"/>
      <w:r w:rsidRPr="00311DFC">
        <w:rPr>
          <w:rFonts w:ascii="Times New Roman" w:hAnsi="Times New Roman"/>
          <w:sz w:val="24"/>
          <w:szCs w:val="24"/>
        </w:rPr>
        <w:t xml:space="preserve"> </w:t>
      </w:r>
      <w:proofErr w:type="spellStart"/>
      <w:r w:rsidRPr="00311DFC">
        <w:rPr>
          <w:rFonts w:ascii="Times New Roman" w:hAnsi="Times New Roman"/>
          <w:sz w:val="24"/>
          <w:szCs w:val="24"/>
        </w:rPr>
        <w:t>Oda</w:t>
      </w:r>
      <w:proofErr w:type="spellEnd"/>
      <w:r w:rsidRPr="00311DFC">
        <w:rPr>
          <w:rFonts w:ascii="Times New Roman" w:hAnsi="Times New Roman"/>
          <w:sz w:val="24"/>
          <w:szCs w:val="24"/>
        </w:rPr>
        <w:t>, Kentarou Akata, Kei Yamasaki, Toshinori Kawanami, Hiroshi Ishimoto, Yumiko Toyohira, Hiroaki Shimokawa, Nobuyuki Yanagihara, Masato Tsutsui, Hiroshi Mukae</w:t>
      </w:r>
    </w:p>
    <w:p w:rsidR="00F51559" w:rsidRDefault="00F51559" w:rsidP="00311DFC">
      <w:pPr>
        <w:rPr>
          <w:rFonts w:ascii="Times New Roman" w:hAnsi="Times New Roman"/>
          <w:sz w:val="24"/>
          <w:szCs w:val="24"/>
        </w:rPr>
      </w:pPr>
    </w:p>
    <w:p w:rsidR="00DB0596" w:rsidRPr="00311DFC" w:rsidRDefault="00DB0596" w:rsidP="00311DFC">
      <w:pPr>
        <w:rPr>
          <w:rFonts w:ascii="Times New Roman" w:hAnsi="Times New Roman"/>
          <w:sz w:val="24"/>
          <w:szCs w:val="24"/>
        </w:rPr>
      </w:pPr>
    </w:p>
    <w:p w:rsidR="00311DFC" w:rsidRDefault="002C4F26" w:rsidP="00311DFC">
      <w:pPr>
        <w:rPr>
          <w:rFonts w:ascii="Times New Roman" w:hAnsi="Times New Roman"/>
          <w:b/>
          <w:sz w:val="27"/>
          <w:szCs w:val="27"/>
        </w:rPr>
      </w:pPr>
      <w:r w:rsidRPr="00311DFC">
        <w:rPr>
          <w:rFonts w:ascii="Times New Roman" w:hAnsi="Times New Roman"/>
          <w:b/>
          <w:sz w:val="27"/>
          <w:szCs w:val="27"/>
        </w:rPr>
        <w:t xml:space="preserve">Materials and Methods </w:t>
      </w:r>
    </w:p>
    <w:p w:rsidR="002C4F26" w:rsidRPr="00311DFC" w:rsidRDefault="002C4F26" w:rsidP="00311DFC">
      <w:pPr>
        <w:rPr>
          <w:rFonts w:ascii="Times New Roman" w:hAnsi="Times New Roman"/>
          <w:b/>
          <w:sz w:val="27"/>
          <w:szCs w:val="27"/>
        </w:rPr>
      </w:pPr>
      <w:r w:rsidRPr="00311DFC">
        <w:rPr>
          <w:rFonts w:ascii="Times New Roman" w:hAnsi="Times New Roman"/>
          <w:b/>
          <w:sz w:val="27"/>
          <w:szCs w:val="27"/>
        </w:rPr>
        <w:t>(</w:t>
      </w:r>
      <w:proofErr w:type="gramStart"/>
      <w:r w:rsidRPr="00311DFC">
        <w:rPr>
          <w:rFonts w:ascii="Times New Roman" w:hAnsi="Times New Roman"/>
          <w:b/>
          <w:sz w:val="27"/>
          <w:szCs w:val="27"/>
        </w:rPr>
        <w:t>full</w:t>
      </w:r>
      <w:proofErr w:type="gramEnd"/>
      <w:r w:rsidRPr="00311DFC">
        <w:rPr>
          <w:rFonts w:ascii="Times New Roman" w:hAnsi="Times New Roman"/>
          <w:b/>
          <w:sz w:val="27"/>
          <w:szCs w:val="27"/>
        </w:rPr>
        <w:t xml:space="preserve"> versions for the online supplemental materials)</w:t>
      </w:r>
    </w:p>
    <w:p w:rsidR="00311DFC" w:rsidRDefault="00311DFC" w:rsidP="00311DFC">
      <w:pPr>
        <w:tabs>
          <w:tab w:val="left" w:pos="824"/>
        </w:tabs>
        <w:rPr>
          <w:rFonts w:ascii="Times New Roman" w:hAnsi="Times New Roman"/>
          <w:b/>
          <w:sz w:val="27"/>
          <w:szCs w:val="27"/>
        </w:rPr>
      </w:pPr>
    </w:p>
    <w:p w:rsidR="002C4F26" w:rsidRPr="00311DFC" w:rsidRDefault="002C4F26" w:rsidP="00311DFC">
      <w:pPr>
        <w:tabs>
          <w:tab w:val="left" w:pos="824"/>
        </w:tabs>
        <w:rPr>
          <w:rFonts w:ascii="Times New Roman" w:hAnsi="Times New Roman"/>
          <w:b/>
          <w:sz w:val="27"/>
          <w:szCs w:val="27"/>
        </w:rPr>
      </w:pPr>
      <w:r w:rsidRPr="00311DFC">
        <w:rPr>
          <w:rFonts w:ascii="Times New Roman" w:hAnsi="Times New Roman"/>
          <w:b/>
          <w:sz w:val="27"/>
          <w:szCs w:val="27"/>
        </w:rPr>
        <w:t>Histopathological evaluation</w:t>
      </w:r>
    </w:p>
    <w:p w:rsidR="002C4F26" w:rsidRPr="00F17018" w:rsidRDefault="002C4F26" w:rsidP="00F17018">
      <w:pPr>
        <w:autoSpaceDE w:val="0"/>
        <w:autoSpaceDN w:val="0"/>
        <w:adjustRightInd w:val="0"/>
        <w:jc w:val="left"/>
        <w:rPr>
          <w:rFonts w:ascii="Times New Roman" w:hAnsi="Times New Roman"/>
          <w:kern w:val="0"/>
          <w:sz w:val="24"/>
          <w:szCs w:val="24"/>
        </w:rPr>
      </w:pPr>
      <w:r w:rsidRPr="00311DFC">
        <w:rPr>
          <w:rFonts w:ascii="Times New Roman" w:hAnsi="Times New Roman"/>
          <w:sz w:val="24"/>
          <w:szCs w:val="24"/>
        </w:rPr>
        <w:t xml:space="preserve">Two weeks after the last administration of BLM, the body weights were recorded and </w:t>
      </w:r>
      <w:r w:rsidRPr="00311DFC">
        <w:rPr>
          <w:rFonts w:ascii="Times New Roman" w:eastAsia="MinionPro-Regular" w:hAnsi="Times New Roman"/>
          <w:color w:val="231F20"/>
          <w:kern w:val="0"/>
          <w:sz w:val="24"/>
          <w:szCs w:val="24"/>
        </w:rPr>
        <w:t xml:space="preserve">the mice were sacrificed by exsanguination by cutting the axillary artery under deep anesthesia </w:t>
      </w:r>
      <w:r w:rsidRPr="00311DFC">
        <w:rPr>
          <w:rFonts w:ascii="Times New Roman" w:eastAsia="MinionPro-Regular" w:hAnsi="Times New Roman"/>
          <w:kern w:val="0"/>
          <w:sz w:val="24"/>
          <w:szCs w:val="24"/>
        </w:rPr>
        <w:t xml:space="preserve">(sodium pentobarbital, 50 mg/kg, </w:t>
      </w:r>
      <w:proofErr w:type="spellStart"/>
      <w:r w:rsidRPr="00311DFC">
        <w:rPr>
          <w:rFonts w:ascii="Times New Roman" w:eastAsia="MinionPro-Regular" w:hAnsi="Times New Roman"/>
          <w:kern w:val="0"/>
          <w:sz w:val="24"/>
          <w:szCs w:val="24"/>
        </w:rPr>
        <w:t>i.p</w:t>
      </w:r>
      <w:proofErr w:type="spellEnd"/>
      <w:r w:rsidRPr="00311DFC">
        <w:rPr>
          <w:rFonts w:ascii="Times New Roman" w:eastAsia="MinionPro-Regular" w:hAnsi="Times New Roman"/>
          <w:kern w:val="0"/>
          <w:sz w:val="24"/>
          <w:szCs w:val="24"/>
        </w:rPr>
        <w:t>.).</w:t>
      </w:r>
      <w:r w:rsidRPr="00311DFC">
        <w:rPr>
          <w:rFonts w:ascii="Times New Roman" w:eastAsia="MinionPro-Regular" w:hAnsi="Times New Roman"/>
          <w:color w:val="231F20"/>
          <w:kern w:val="0"/>
          <w:sz w:val="24"/>
          <w:szCs w:val="24"/>
        </w:rPr>
        <w:t xml:space="preserve"> The left lungs were removed via a midline incision, fixed in 15% </w:t>
      </w:r>
      <w:r w:rsidRPr="00311DFC">
        <w:rPr>
          <w:rFonts w:ascii="Times New Roman" w:eastAsia="MinionPro-Regular" w:hAnsi="Times New Roman"/>
          <w:kern w:val="0"/>
          <w:sz w:val="24"/>
          <w:szCs w:val="24"/>
        </w:rPr>
        <w:t>formalin neutral buffer solution (Wako, Osaka, Japan)</w:t>
      </w:r>
      <w:r w:rsidRPr="00311DFC">
        <w:rPr>
          <w:rFonts w:ascii="Times New Roman" w:eastAsia="MinionPro-Regular" w:hAnsi="Times New Roman"/>
          <w:color w:val="231F20"/>
          <w:kern w:val="0"/>
          <w:sz w:val="24"/>
          <w:szCs w:val="24"/>
        </w:rPr>
        <w:t xml:space="preserve"> and embedded in paraffin, then 3</w:t>
      </w:r>
      <w:r w:rsidRPr="00311DFC">
        <w:rPr>
          <w:rFonts w:ascii="Times New Roman" w:eastAsia="MinionPro-Regular" w:hAnsi="Times New Roman"/>
          <w:kern w:val="0"/>
          <w:sz w:val="24"/>
          <w:szCs w:val="24"/>
        </w:rPr>
        <w:t>-μm</w:t>
      </w:r>
      <w:r w:rsidRPr="00311DFC">
        <w:rPr>
          <w:rFonts w:ascii="Times New Roman" w:eastAsia="MinionPro-Regular" w:hAnsi="Times New Roman"/>
          <w:color w:val="231F20"/>
          <w:kern w:val="0"/>
          <w:sz w:val="24"/>
          <w:szCs w:val="24"/>
        </w:rPr>
        <w:t xml:space="preserve"> sections of embedded tissues were stained with </w:t>
      </w:r>
      <w:r w:rsidRPr="00311DFC">
        <w:rPr>
          <w:rFonts w:ascii="Times New Roman" w:eastAsia="MinionPro-Regular" w:hAnsi="Times New Roman"/>
          <w:kern w:val="0"/>
          <w:sz w:val="24"/>
          <w:szCs w:val="24"/>
        </w:rPr>
        <w:t>hematoxylin-eosin (HE) and Masson trichrome stain.</w:t>
      </w:r>
      <w:r w:rsidRPr="00311DFC">
        <w:rPr>
          <w:rFonts w:ascii="Times New Roman" w:eastAsia="MinionPro-Regular" w:hAnsi="Times New Roman"/>
          <w:color w:val="FF0000"/>
          <w:kern w:val="0"/>
          <w:sz w:val="24"/>
          <w:szCs w:val="24"/>
        </w:rPr>
        <w:t xml:space="preserve"> </w:t>
      </w:r>
      <w:r w:rsidRPr="00311DFC">
        <w:rPr>
          <w:rFonts w:ascii="Times New Roman" w:hAnsi="Times New Roman"/>
          <w:kern w:val="0"/>
          <w:sz w:val="24"/>
          <w:szCs w:val="24"/>
        </w:rPr>
        <w:t>The fibrotic areas were calculated by performing a microscopic examination of the Masson trichrome-stained sections using an image analysis software program (BIOREVO BZ-9000 and BZ-H2C; Keyence, Japan)</w:t>
      </w:r>
      <w:r w:rsidR="00311DFC">
        <w:rPr>
          <w:rFonts w:ascii="Times New Roman" w:hAnsi="Times New Roman"/>
          <w:kern w:val="0"/>
          <w:sz w:val="24"/>
          <w:szCs w:val="24"/>
        </w:rPr>
        <w:t xml:space="preserve"> </w:t>
      </w:r>
      <w:r w:rsidR="005C5C7E">
        <w:rPr>
          <w:rFonts w:ascii="Times New Roman" w:hAnsi="Times New Roman"/>
          <w:kern w:val="0"/>
          <w:sz w:val="24"/>
          <w:szCs w:val="24"/>
        </w:rPr>
        <w:fldChar w:fldCharType="begin"/>
      </w:r>
      <w:r w:rsidR="00311DFC">
        <w:rPr>
          <w:rFonts w:ascii="Times New Roman" w:hAnsi="Times New Roman"/>
          <w:kern w:val="0"/>
          <w:sz w:val="24"/>
          <w:szCs w:val="24"/>
        </w:rPr>
        <w:instrText xml:space="preserve"> ADDIN EN.CITE &lt;EndNote&gt;&lt;Cite&gt;&lt;Author&gt;Mizuta&lt;/Author&gt;&lt;Year&gt;2014&lt;/Year&gt;&lt;IDText&gt;Effect of astaxanthin on vocal fold wound healing&lt;/IDText&gt;&lt;DisplayText&gt;[1]&lt;/DisplayText&gt;&lt;record&gt;&lt;dates&gt;&lt;pub-dates&gt;&lt;date&gt;Jan&lt;/date&gt;&lt;/pub-dates&gt;&lt;year&gt;2014&lt;/year&gt;&lt;/dates&gt;&lt;keywords&gt;&lt;/keywords&gt;&lt;urls&gt;&lt;related-urls&gt;&lt;url&gt;http://www.ncbi.nlm.nih.gov/pubmed/23686840&lt;/url&gt;&lt;/related-urls&gt;&lt;/urls&gt;&lt;isbn&gt;1531-4995&lt;/isbn&gt;&lt;titles&gt;&lt;title&gt;Effect of astaxanthin on vocal fold wound healing&lt;/title&gt;&lt;secondary-title&gt;Laryngoscope&lt;/secondary-title&gt;&lt;/titles&gt;&lt;pages&gt;E1-7&lt;/pages&gt;&lt;number&gt;1&lt;/number&gt;&lt;contributors&gt;&lt;authors&gt;&lt;author&gt;Mizuta, M.&lt;/author&gt;&lt;author&gt;Hirano, S.&lt;/author&gt;&lt;author&gt;Hiwatashi, N.&lt;/author&gt;&lt;author&gt;Tateya, I.&lt;/author&gt;&lt;author&gt;Kanemaru, S.&lt;/author&gt;&lt;author&gt;Nakamura, T.&lt;/author&gt;&lt;author&gt;Ito, J.&lt;/author&gt;&lt;/authors&gt;&lt;/contributors&gt;&lt;language&gt;eng&lt;/language&gt;&lt;added-date format="utc"&gt;1406946906&lt;/added-date&gt;&lt;ref-type name="Journal Article"&gt;17&lt;/ref-type&gt;&lt;rec-number&gt;203&lt;/rec-number&gt;&lt;last-updated-date format="utc"&gt;1406946906&lt;/last-updated-date&gt;&lt;accession-num&gt;23686840&lt;/accession-num&gt;&lt;electronic-resource-num&gt;10.1002/lary.24197&lt;/electronic-resource-num&gt;&lt;volume&gt;124&lt;/volume&gt;&lt;/record&gt;&lt;/Cite&gt;&lt;/EndNote&gt;</w:instrText>
      </w:r>
      <w:r w:rsidR="005C5C7E">
        <w:rPr>
          <w:rFonts w:ascii="Times New Roman" w:hAnsi="Times New Roman"/>
          <w:kern w:val="0"/>
          <w:sz w:val="24"/>
          <w:szCs w:val="24"/>
        </w:rPr>
        <w:fldChar w:fldCharType="separate"/>
      </w:r>
      <w:r w:rsidR="00311DFC">
        <w:rPr>
          <w:rFonts w:ascii="Times New Roman" w:hAnsi="Times New Roman"/>
          <w:noProof/>
          <w:kern w:val="0"/>
          <w:sz w:val="24"/>
          <w:szCs w:val="24"/>
        </w:rPr>
        <w:t>[1]</w:t>
      </w:r>
      <w:r w:rsidR="005C5C7E">
        <w:rPr>
          <w:rFonts w:ascii="Times New Roman" w:hAnsi="Times New Roman"/>
          <w:kern w:val="0"/>
          <w:sz w:val="24"/>
          <w:szCs w:val="24"/>
        </w:rPr>
        <w:fldChar w:fldCharType="end"/>
      </w:r>
      <w:r w:rsidRPr="00311DFC">
        <w:rPr>
          <w:rFonts w:ascii="Times New Roman" w:hAnsi="Times New Roman"/>
          <w:kern w:val="0"/>
          <w:sz w:val="24"/>
          <w:szCs w:val="24"/>
        </w:rPr>
        <w:t xml:space="preserve">. This software program automatically measures the area of a designated color in a section. The criteria for the blue Masson trichrome stain was appropriately determined and saved by the computer. The saved quantification condition was applied for all images. Then, the ratio of the area stained blue to the lung </w:t>
      </w:r>
      <w:r w:rsidRPr="00F17018">
        <w:rPr>
          <w:rFonts w:ascii="Times New Roman" w:hAnsi="Times New Roman"/>
          <w:kern w:val="0"/>
          <w:sz w:val="24"/>
          <w:szCs w:val="24"/>
        </w:rPr>
        <w:t>area in each section was evaluated.</w:t>
      </w:r>
    </w:p>
    <w:p w:rsidR="00F17018" w:rsidRPr="00F17018" w:rsidRDefault="00F17018" w:rsidP="00F17018">
      <w:pPr>
        <w:autoSpaceDE w:val="0"/>
        <w:autoSpaceDN w:val="0"/>
        <w:adjustRightInd w:val="0"/>
        <w:ind w:firstLineChars="100" w:firstLine="240"/>
        <w:jc w:val="left"/>
        <w:rPr>
          <w:rFonts w:ascii="Times New Roman" w:eastAsia="MinionPro-Regular" w:hAnsi="Times New Roman"/>
          <w:color w:val="231F20"/>
          <w:kern w:val="0"/>
          <w:sz w:val="24"/>
          <w:szCs w:val="24"/>
        </w:rPr>
      </w:pPr>
    </w:p>
    <w:p w:rsidR="00F17018" w:rsidRPr="00472C5A" w:rsidRDefault="00F17018" w:rsidP="00F17018">
      <w:pPr>
        <w:tabs>
          <w:tab w:val="left" w:pos="824"/>
        </w:tabs>
        <w:rPr>
          <w:rFonts w:ascii="Times New Roman" w:hAnsi="Times New Roman"/>
          <w:b/>
          <w:sz w:val="27"/>
          <w:szCs w:val="27"/>
        </w:rPr>
      </w:pPr>
      <w:r w:rsidRPr="00472C5A">
        <w:rPr>
          <w:rFonts w:ascii="Times New Roman" w:hAnsi="Times New Roman"/>
          <w:b/>
          <w:sz w:val="27"/>
          <w:szCs w:val="27"/>
        </w:rPr>
        <w:t>Immunohistochemistry</w:t>
      </w:r>
    </w:p>
    <w:p w:rsidR="00F17018" w:rsidRPr="00F17018" w:rsidRDefault="00F17018" w:rsidP="00F17018">
      <w:pPr>
        <w:autoSpaceDE w:val="0"/>
        <w:autoSpaceDN w:val="0"/>
        <w:adjustRightInd w:val="0"/>
        <w:jc w:val="left"/>
        <w:rPr>
          <w:rFonts w:ascii="Times New Roman" w:eastAsia="MinionPro-Regular" w:hAnsi="Times New Roman"/>
          <w:kern w:val="0"/>
          <w:sz w:val="24"/>
          <w:szCs w:val="24"/>
        </w:rPr>
      </w:pPr>
      <w:r w:rsidRPr="00F17018">
        <w:rPr>
          <w:rFonts w:ascii="Times New Roman" w:hAnsi="Times New Roman"/>
          <w:sz w:val="24"/>
          <w:szCs w:val="24"/>
        </w:rPr>
        <w:t xml:space="preserve">The immunological detection of nNOS, iNOS, and eNOS was performed using </w:t>
      </w:r>
      <w:r w:rsidRPr="00F17018">
        <w:rPr>
          <w:rFonts w:ascii="Times New Roman" w:eastAsia="AdvGulliv-R" w:hAnsi="Times New Roman"/>
          <w:kern w:val="0"/>
          <w:sz w:val="24"/>
          <w:szCs w:val="24"/>
        </w:rPr>
        <w:t xml:space="preserve">a rabbit polyclonal antibody (Transduction Laboratories, Franklin Lakes, NJ) at a dilution of 1:500 for nNOS, </w:t>
      </w:r>
      <w:r w:rsidR="00261F07" w:rsidRPr="00F17018">
        <w:rPr>
          <w:rFonts w:ascii="Times New Roman" w:eastAsia="AdvGulliv-R" w:hAnsi="Times New Roman"/>
          <w:kern w:val="0"/>
          <w:sz w:val="24"/>
          <w:szCs w:val="24"/>
        </w:rPr>
        <w:t>1:100 for iNOS</w:t>
      </w:r>
      <w:r w:rsidRPr="00F17018">
        <w:rPr>
          <w:rFonts w:ascii="Times New Roman" w:eastAsia="AdvGulliv-R" w:hAnsi="Times New Roman"/>
          <w:kern w:val="0"/>
          <w:sz w:val="24"/>
          <w:szCs w:val="24"/>
        </w:rPr>
        <w:t xml:space="preserve">, and </w:t>
      </w:r>
      <w:r w:rsidR="00261F07" w:rsidRPr="00F17018">
        <w:rPr>
          <w:rFonts w:ascii="Times New Roman" w:eastAsia="AdvGulliv-R" w:hAnsi="Times New Roman"/>
          <w:kern w:val="0"/>
          <w:sz w:val="24"/>
          <w:szCs w:val="24"/>
        </w:rPr>
        <w:t xml:space="preserve">1:250 for eNOS </w:t>
      </w:r>
      <w:r w:rsidR="005C5C7E" w:rsidRPr="00F17018">
        <w:rPr>
          <w:rFonts w:ascii="Times New Roman" w:eastAsia="AdvGulliv-R" w:hAnsi="Times New Roman"/>
          <w:kern w:val="0"/>
          <w:sz w:val="24"/>
          <w:szCs w:val="24"/>
        </w:rPr>
        <w:fldChar w:fldCharType="begin"/>
      </w:r>
      <w:r w:rsidRPr="00F17018">
        <w:rPr>
          <w:rFonts w:ascii="Times New Roman" w:eastAsia="AdvGulliv-R" w:hAnsi="Times New Roman"/>
          <w:kern w:val="0"/>
          <w:sz w:val="24"/>
          <w:szCs w:val="24"/>
        </w:rPr>
        <w:instrText xml:space="preserve"> ADDIN EN.CITE &lt;EndNote&gt;&lt;Cite&gt;&lt;Author&gt;Furuno&lt;/Author&gt;&lt;Year&gt;2011&lt;/Year&gt;&lt;IDText&gt;Crucial vasculoprotective role of the whole nitric oxide synthase system in vascular lesion formation in mice: Involvement of bone marrow-derived cells&lt;/IDText&gt;&lt;DisplayText&gt;[2]&lt;/DisplayText&gt;&lt;record&gt;&lt;dates&gt;&lt;pub-dates&gt;&lt;date&gt;Oct&lt;/date&gt;&lt;/pub-dates&gt;&lt;year&gt;2011&lt;/year&gt;&lt;/dates&gt;&lt;keywords&gt;&lt;/keywords&gt;&lt;urls&gt;&lt;related-urls&gt;&lt;url&gt;http://www.ncbi.nlm.nih.gov/pubmed/21767657&lt;/url&gt;&lt;/related-urls&gt;&lt;/urls&gt;&lt;isbn&gt;1089-8611&lt;/isbn&gt;&lt;titles&gt;&lt;title&gt;Crucial vasculoprotective role of the whole nitric oxide synthase system in vascular lesion formation in mice: Involvement of bone marrow-derived cells&lt;/title&gt;&lt;secondary-title&gt;Nitric Oxide&lt;/secondary-title&gt;&lt;/titles&gt;&lt;pages&gt;350-9&lt;/pages&gt;&lt;number&gt;3&lt;/number&gt;&lt;contributors&gt;&lt;authors&gt;&lt;author&gt;Furuno, Y.&lt;/author&gt;&lt;author&gt;Morishita, T.&lt;/author&gt;&lt;author&gt;Toyohira, Y.&lt;/author&gt;&lt;author&gt;Yamada, S.&lt;/author&gt;&lt;author&gt;Ueno, S.&lt;/author&gt;&lt;author&gt;Morisada, N.&lt;/author&gt;&lt;author&gt;Sugita, K.&lt;/author&gt;&lt;author&gt;Noguchi, K.&lt;/author&gt;&lt;author&gt;Sakanashi, M.&lt;/author&gt;&lt;author&gt;Miyata, H.&lt;/author&gt;&lt;author&gt;Tanimoto, A.&lt;/author&gt;&lt;author&gt;Sasaguri, Y.&lt;/author&gt;&lt;author&gt;Shimokawa, H.&lt;/author&gt;&lt;author&gt;Otsuji, Y.&lt;/author&gt;&lt;author&gt;Yanagihara, N.&lt;/author&gt;&lt;author&gt;Tamura, M.&lt;/author&gt;&lt;author&gt;Tsutsui, M.&lt;/author&gt;&lt;/authors&gt;&lt;/contributors&gt;&lt;language&gt;eng&lt;/language&gt;&lt;added-date format="utc"&gt;1343875526&lt;/added-date&gt;&lt;ref-type name="Journal Article"&gt;17&lt;/ref-type&gt;&lt;auth-address&gt;Second Department of Internal Medicine, University of Occupational and Environmental Health, Kitakyushu 807-8555, Japan.&lt;/auth-address&gt;&lt;rec-number&gt;50&lt;/rec-number&gt;&lt;last-updated-date format="utc"&gt;1343875526&lt;/last-updated-date&gt;&lt;accession-num&gt;21767657&lt;/accession-num&gt;&lt;electronic-resource-num&gt;S1089-8603(11)00438-1 [pii]&amp;#xD;&amp;#xA;10.1016/j.niox.2011.06.007&lt;/electronic-resource-num&gt;&lt;volume&gt;25&lt;/volume&gt;&lt;/record&gt;&lt;/Cite&gt;&lt;/EndNote&gt;</w:instrText>
      </w:r>
      <w:r w:rsidR="005C5C7E" w:rsidRPr="00F17018">
        <w:rPr>
          <w:rFonts w:ascii="Times New Roman" w:eastAsia="AdvGulliv-R" w:hAnsi="Times New Roman"/>
          <w:kern w:val="0"/>
          <w:sz w:val="24"/>
          <w:szCs w:val="24"/>
        </w:rPr>
        <w:fldChar w:fldCharType="separate"/>
      </w:r>
      <w:r w:rsidRPr="00F17018">
        <w:rPr>
          <w:rFonts w:ascii="Times New Roman" w:eastAsia="AdvGulliv-R" w:hAnsi="Times New Roman"/>
          <w:noProof/>
          <w:kern w:val="0"/>
          <w:sz w:val="24"/>
          <w:szCs w:val="24"/>
        </w:rPr>
        <w:t>[2]</w:t>
      </w:r>
      <w:r w:rsidR="005C5C7E" w:rsidRPr="00F17018">
        <w:rPr>
          <w:rFonts w:ascii="Times New Roman" w:eastAsia="AdvGulliv-R" w:hAnsi="Times New Roman"/>
          <w:kern w:val="0"/>
          <w:sz w:val="24"/>
          <w:szCs w:val="24"/>
        </w:rPr>
        <w:fldChar w:fldCharType="end"/>
      </w:r>
      <w:r w:rsidRPr="00F17018">
        <w:rPr>
          <w:rFonts w:ascii="Times New Roman" w:eastAsia="AdvGulliv-R" w:hAnsi="Times New Roman"/>
          <w:kern w:val="0"/>
          <w:sz w:val="24"/>
          <w:szCs w:val="24"/>
        </w:rPr>
        <w:t xml:space="preserve">. Next, </w:t>
      </w:r>
      <w:r w:rsidRPr="00F17018">
        <w:rPr>
          <w:rFonts w:ascii="Times New Roman" w:hAnsi="Times New Roman"/>
          <w:sz w:val="24"/>
          <w:szCs w:val="24"/>
        </w:rPr>
        <w:t xml:space="preserve">the immunological detection of macrophages and fibroblasts in the lungs was performed using a rat anti-mouse MAC-2 monoclonal antibody (1:500; Cedarlane Laboratories Ltd, </w:t>
      </w:r>
      <w:r w:rsidRPr="00F17018">
        <w:rPr>
          <w:rFonts w:ascii="Times New Roman" w:hAnsi="Times New Roman"/>
          <w:sz w:val="24"/>
          <w:szCs w:val="24"/>
        </w:rPr>
        <w:lastRenderedPageBreak/>
        <w:t xml:space="preserve">Burlington, ON, Canada) for detecting macrophages, and a monoclonal mouse anti-human smooth muscle actin (α-SMA) antibody (1:150; Dako Cytomation Co, Tokyo) for the detection of  fibroblasts </w:t>
      </w:r>
      <w:r w:rsidR="005C5C7E" w:rsidRPr="00F17018">
        <w:rPr>
          <w:rFonts w:ascii="Times New Roman" w:hAnsi="Times New Roman"/>
          <w:sz w:val="24"/>
          <w:szCs w:val="24"/>
        </w:rPr>
        <w:fldChar w:fldCharType="begin"/>
      </w:r>
      <w:r w:rsidRPr="00F17018">
        <w:rPr>
          <w:rFonts w:ascii="Times New Roman" w:hAnsi="Times New Roman"/>
          <w:sz w:val="24"/>
          <w:szCs w:val="24"/>
        </w:rPr>
        <w:instrText xml:space="preserve"> ADDIN EN.CITE &lt;EndNote&gt;&lt;Cite&gt;&lt;Author&gt;Tasaki&lt;/Author&gt;&lt;Year&gt;2013&lt;/Year&gt;&lt;IDText&gt;Apoptosis signal-regulating kinase 1 deficiency attenuates vascular injury-induced neointimal hyperplasia by suppressing apoptosis in smooth muscle cells&lt;/IDText&gt;&lt;DisplayText&gt;[3]&lt;/DisplayText&gt;&lt;record&gt;&lt;dates&gt;&lt;pub-dates&gt;&lt;date&gt;Feb&lt;/date&gt;&lt;/pub-dates&gt;&lt;year&gt;2013&lt;/year&gt;&lt;/dates&gt;&lt;keywords&gt;&lt;/keywords&gt;&lt;urls&gt;&lt;related-urls&gt;&lt;url&gt;http://www.ncbi.nlm.nih.gov/pubmed/23178077&lt;/url&gt;&lt;/related-urls&gt;&lt;/urls&gt;&lt;isbn&gt;1525-2191&lt;/isbn&gt;&lt;titles&gt;&lt;title&gt;Apoptosis signal-regulating kinase 1 deficiency attenuates vascular injury-induced neointimal hyperplasia by suppressing apoptosis in smooth muscle cells&lt;/title&gt;&lt;secondary-title&gt;Am J Pathol&lt;/secondary-title&gt;&lt;/titles&gt;&lt;pages&gt;597-609&lt;/pages&gt;&lt;number&gt;2&lt;/number&gt;&lt;contributors&gt;&lt;authors&gt;&lt;author&gt;Tasaki, T.&lt;/author&gt;&lt;author&gt;Yamada, S.&lt;/author&gt;&lt;author&gt;Guo, X.&lt;/author&gt;&lt;author&gt;Tanimoto, A.&lt;/author&gt;&lt;author&gt;Wang, K. Y.&lt;/author&gt;&lt;author&gt;Nabeshima, A.&lt;/author&gt;&lt;author&gt;Kitada, S.&lt;/author&gt;&lt;author&gt;Noguchi, H.&lt;/author&gt;&lt;author&gt;Kimura, S.&lt;/author&gt;&lt;author&gt;Shimajiri, S.&lt;/author&gt;&lt;author&gt;Kohno, K.&lt;/author&gt;&lt;author&gt;Ichijo, H.&lt;/author&gt;&lt;author&gt;Sasaguri, Y.&lt;/author&gt;&lt;/authors&gt;&lt;/contributors&gt;&lt;language&gt;eng&lt;/language&gt;&lt;added-date format="utc"&gt;1386808744&lt;/added-date&gt;&lt;ref-type name="Journal Article"&gt;17&lt;/ref-type&gt;&lt;auth-address&gt;Department of Pathology and Cell Biology, School of Medicine, University of Occupational and Environmental Health, Kitakyushu 807-8555, Japan.&lt;/auth-address&gt;&lt;rec-number&gt;155&lt;/rec-number&gt;&lt;last-updated-date format="utc"&gt;1386808744&lt;/last-updated-date&gt;&lt;accession-num&gt;23178077&lt;/accession-num&gt;&lt;electronic-resource-num&gt;10.1016/j.ajpath.2012.10.008&lt;/electronic-resource-num&gt;&lt;volume&gt;182&lt;/volume&gt;&lt;/record&gt;&lt;/Cite&gt;&lt;/EndNote&gt;</w:instrText>
      </w:r>
      <w:r w:rsidR="005C5C7E" w:rsidRPr="00F17018">
        <w:rPr>
          <w:rFonts w:ascii="Times New Roman" w:hAnsi="Times New Roman"/>
          <w:sz w:val="24"/>
          <w:szCs w:val="24"/>
        </w:rPr>
        <w:fldChar w:fldCharType="separate"/>
      </w:r>
      <w:r w:rsidRPr="00F17018">
        <w:rPr>
          <w:rFonts w:ascii="Times New Roman" w:hAnsi="Times New Roman"/>
          <w:noProof/>
          <w:sz w:val="24"/>
          <w:szCs w:val="24"/>
        </w:rPr>
        <w:t>[3]</w:t>
      </w:r>
      <w:r w:rsidR="005C5C7E" w:rsidRPr="00F17018">
        <w:rPr>
          <w:rFonts w:ascii="Times New Roman" w:hAnsi="Times New Roman"/>
          <w:sz w:val="24"/>
          <w:szCs w:val="24"/>
        </w:rPr>
        <w:fldChar w:fldCharType="end"/>
      </w:r>
      <w:r w:rsidRPr="00F17018">
        <w:rPr>
          <w:rFonts w:ascii="Times New Roman" w:hAnsi="Times New Roman"/>
          <w:sz w:val="24"/>
          <w:szCs w:val="24"/>
        </w:rPr>
        <w:t xml:space="preserve">. In addition, the immunological detection of </w:t>
      </w:r>
      <w:r w:rsidRPr="00F17018">
        <w:rPr>
          <w:rFonts w:ascii="Times New Roman" w:eastAsia="MinionPro-Regular" w:hAnsi="Times New Roman"/>
          <w:kern w:val="0"/>
          <w:sz w:val="24"/>
          <w:szCs w:val="24"/>
        </w:rPr>
        <w:t>connective tissue growth factor (</w:t>
      </w:r>
      <w:r w:rsidRPr="00F17018">
        <w:rPr>
          <w:rFonts w:ascii="Times New Roman" w:hAnsi="Times New Roman"/>
          <w:sz w:val="24"/>
          <w:szCs w:val="24"/>
        </w:rPr>
        <w:t xml:space="preserve">CTGF) and </w:t>
      </w:r>
      <w:r w:rsidRPr="00F17018">
        <w:rPr>
          <w:rFonts w:ascii="Times New Roman" w:eastAsia="MinionPro-Regular" w:hAnsi="Times New Roman"/>
          <w:kern w:val="0"/>
          <w:sz w:val="24"/>
          <w:szCs w:val="24"/>
        </w:rPr>
        <w:t xml:space="preserve">collagen I was performed using CTGF or collagen I antibody </w:t>
      </w:r>
      <w:proofErr w:type="gramStart"/>
      <w:r w:rsidRPr="00F17018">
        <w:rPr>
          <w:rFonts w:ascii="Times New Roman" w:eastAsia="MinionPro-Regular" w:hAnsi="Times New Roman"/>
          <w:kern w:val="0"/>
          <w:sz w:val="24"/>
          <w:szCs w:val="24"/>
        </w:rPr>
        <w:t>( Abcam</w:t>
      </w:r>
      <w:proofErr w:type="gramEnd"/>
      <w:r w:rsidRPr="00F17018">
        <w:rPr>
          <w:rFonts w:ascii="Times New Roman" w:eastAsia="MinionPro-Regular" w:hAnsi="Times New Roman"/>
          <w:kern w:val="0"/>
          <w:sz w:val="24"/>
          <w:szCs w:val="24"/>
        </w:rPr>
        <w:t xml:space="preserve">, Inc., Cambridge, Mass., USA), according to the manufacturer’s protocol. </w:t>
      </w:r>
    </w:p>
    <w:p w:rsidR="00F17018" w:rsidRPr="00F17018" w:rsidRDefault="00F17018" w:rsidP="00F17018">
      <w:pPr>
        <w:autoSpaceDE w:val="0"/>
        <w:autoSpaceDN w:val="0"/>
        <w:adjustRightInd w:val="0"/>
        <w:ind w:firstLineChars="100" w:firstLine="240"/>
        <w:jc w:val="left"/>
        <w:rPr>
          <w:rFonts w:ascii="Times New Roman" w:eastAsia="AdvGulliv-R" w:hAnsi="Times New Roman"/>
          <w:kern w:val="0"/>
          <w:sz w:val="24"/>
          <w:szCs w:val="24"/>
        </w:rPr>
      </w:pPr>
    </w:p>
    <w:p w:rsidR="002C4F26" w:rsidRPr="00DB0596" w:rsidRDefault="002C4F26" w:rsidP="00F17018">
      <w:pPr>
        <w:tabs>
          <w:tab w:val="left" w:pos="824"/>
        </w:tabs>
        <w:rPr>
          <w:rFonts w:ascii="Times New Roman" w:hAnsi="Times New Roman"/>
          <w:b/>
          <w:sz w:val="27"/>
          <w:szCs w:val="27"/>
        </w:rPr>
      </w:pPr>
      <w:r w:rsidRPr="00F17018">
        <w:rPr>
          <w:rFonts w:ascii="Times New Roman" w:hAnsi="Times New Roman"/>
          <w:b/>
          <w:sz w:val="27"/>
          <w:szCs w:val="27"/>
        </w:rPr>
        <w:t>Collagen assay</w:t>
      </w:r>
    </w:p>
    <w:p w:rsidR="002C4F26" w:rsidRPr="00311DFC" w:rsidRDefault="002C4F26" w:rsidP="00F17018">
      <w:pPr>
        <w:autoSpaceDE w:val="0"/>
        <w:autoSpaceDN w:val="0"/>
        <w:adjustRightInd w:val="0"/>
        <w:jc w:val="left"/>
        <w:rPr>
          <w:rFonts w:ascii="Times New Roman" w:hAnsi="Times New Roman"/>
          <w:kern w:val="0"/>
          <w:sz w:val="24"/>
          <w:szCs w:val="24"/>
        </w:rPr>
      </w:pPr>
      <w:r w:rsidRPr="00311DFC">
        <w:rPr>
          <w:rFonts w:ascii="Times New Roman" w:eastAsia="MinionPro-Regular" w:hAnsi="Times New Roman"/>
          <w:color w:val="231F20"/>
          <w:kern w:val="0"/>
          <w:sz w:val="24"/>
          <w:szCs w:val="24"/>
        </w:rPr>
        <w:t xml:space="preserve">We measured the collagen content in the right lungs of the mice two weeks after the last administration of BLM </w:t>
      </w:r>
      <w:r w:rsidRPr="00311DFC">
        <w:rPr>
          <w:rFonts w:ascii="Times New Roman" w:hAnsi="Times New Roman"/>
          <w:sz w:val="24"/>
          <w:szCs w:val="24"/>
        </w:rPr>
        <w:t>using the Sircol Collagen Assay kit (Biocolor Ltd, UK)</w:t>
      </w:r>
      <w:r w:rsidR="0004750E" w:rsidRPr="00311DFC">
        <w:rPr>
          <w:rFonts w:ascii="Times New Roman" w:hAnsi="Times New Roman"/>
          <w:sz w:val="24"/>
          <w:szCs w:val="24"/>
        </w:rPr>
        <w:t>.</w:t>
      </w:r>
      <w:r w:rsidRPr="00311DFC">
        <w:rPr>
          <w:rFonts w:ascii="Times New Roman" w:hAnsi="Times New Roman"/>
          <w:sz w:val="24"/>
          <w:szCs w:val="24"/>
        </w:rPr>
        <w:t xml:space="preserve"> </w:t>
      </w:r>
      <w:r w:rsidR="005C5C7E" w:rsidRPr="00311DFC">
        <w:rPr>
          <w:rFonts w:ascii="Times New Roman" w:hAnsi="Times New Roman"/>
          <w:sz w:val="24"/>
          <w:szCs w:val="24"/>
        </w:rPr>
        <w:fldChar w:fldCharType="begin"/>
      </w:r>
      <w:r w:rsidR="00F17018">
        <w:rPr>
          <w:rFonts w:ascii="Times New Roman" w:hAnsi="Times New Roman"/>
          <w:sz w:val="24"/>
          <w:szCs w:val="24"/>
        </w:rPr>
        <w:instrText xml:space="preserve"> ADDIN EN.CITE &lt;EndNote&gt;&lt;Cite&gt;&lt;Author&gt;Tokuda&lt;/Author&gt;&lt;Year&gt;2000&lt;/Year&gt;&lt;IDText&gt;Pivotal role of CCR1-positive leukocytes in bleomycin-induced lung fibrosis in mice&lt;/IDText&gt;&lt;DisplayText&gt;[4]&lt;/DisplayText&gt;&lt;record&gt;&lt;dates&gt;&lt;pub-dates&gt;&lt;date&gt;Mar&lt;/date&gt;&lt;/pub-dates&gt;&lt;year&gt;2000&lt;/year&gt;&lt;/dates&gt;&lt;keywords&gt;&lt;keyword&gt;Animals&lt;/keyword&gt;&lt;keyword&gt;Bleomycin&lt;/keyword&gt;&lt;keyword&gt;Cell Movement&lt;/keyword&gt;&lt;keyword&gt;Female&lt;/keyword&gt;&lt;keyword&gt;Immune Sera&lt;/keyword&gt;&lt;keyword&gt;Injections, Intravenous&lt;/keyword&gt;&lt;keyword&gt;Leukocytes&lt;/keyword&gt;&lt;keyword&gt;Mice&lt;/keyword&gt;&lt;keyword&gt;Mice, Inbred C57BL&lt;/keyword&gt;&lt;keyword&gt;Pulmonary Fibrosis&lt;/keyword&gt;&lt;keyword&gt;Rabbits&lt;/keyword&gt;&lt;keyword&gt;Receptors, CCR1&lt;/keyword&gt;&lt;keyword&gt;Receptors, Chemokine&lt;/keyword&gt;&lt;/keywords&gt;&lt;urls&gt;&lt;related-urls&gt;&lt;url&gt;http://www.ncbi.nlm.nih.gov/pubmed/10679116&lt;/url&gt;&lt;/related-urls&gt;&lt;/urls&gt;&lt;isbn&gt;0022-1767&lt;/isbn&gt;&lt;titles&gt;&lt;title&gt;Pivotal role of CCR1-positive leukocytes in bleomycin-induced lung fibrosis in mice&lt;/title&gt;&lt;secondary-title&gt;J Immunol&lt;/secondary-title&gt;&lt;/titles&gt;&lt;pages&gt;2745-51&lt;/pages&gt;&lt;number&gt;5&lt;/number&gt;&lt;contributors&gt;&lt;authors&gt;&lt;author&gt;Tokuda, A.&lt;/author&gt;&lt;author&gt;Itakura, M.&lt;/author&gt;&lt;author&gt;Onai, N.&lt;/author&gt;&lt;author&gt;Kimura, H.&lt;/author&gt;&lt;author&gt;Kuriyama, T.&lt;/author&gt;&lt;author&gt;Matsushima, K.&lt;/author&gt;&lt;/authors&gt;&lt;/contributors&gt;&lt;language&gt;eng&lt;/language&gt;&lt;added-date format="utc"&gt;1358298304&lt;/added-date&gt;&lt;ref-type name="Journal Article"&gt;17&lt;/ref-type&gt;&lt;auth-address&gt;Department of Molecular Preventive Medicine, School of Medicine, University of Tokyo, Japan.&lt;/auth-address&gt;&lt;rec-number&gt;75&lt;/rec-number&gt;&lt;last-updated-date format="utc"&gt;1358298304&lt;/last-updated-date&gt;&lt;accession-num&gt;10679116&lt;/accession-num&gt;&lt;volume&gt;164&lt;/volume&gt;&lt;/record&gt;&lt;/Cite&gt;&lt;/EndNote&gt;</w:instrText>
      </w:r>
      <w:r w:rsidR="005C5C7E" w:rsidRPr="00311DFC">
        <w:rPr>
          <w:rFonts w:ascii="Times New Roman" w:hAnsi="Times New Roman"/>
          <w:sz w:val="24"/>
          <w:szCs w:val="24"/>
        </w:rPr>
        <w:fldChar w:fldCharType="separate"/>
      </w:r>
      <w:r w:rsidR="00F17018">
        <w:rPr>
          <w:rFonts w:ascii="Times New Roman" w:hAnsi="Times New Roman"/>
          <w:noProof/>
          <w:sz w:val="24"/>
          <w:szCs w:val="24"/>
        </w:rPr>
        <w:t>[4]</w:t>
      </w:r>
      <w:r w:rsidR="005C5C7E" w:rsidRPr="00311DFC">
        <w:rPr>
          <w:rFonts w:ascii="Times New Roman" w:hAnsi="Times New Roman"/>
          <w:sz w:val="24"/>
          <w:szCs w:val="24"/>
        </w:rPr>
        <w:fldChar w:fldCharType="end"/>
      </w:r>
      <w:r w:rsidRPr="00311DFC">
        <w:rPr>
          <w:rFonts w:ascii="Times New Roman" w:hAnsi="Times New Roman"/>
          <w:sz w:val="24"/>
          <w:szCs w:val="24"/>
        </w:rPr>
        <w:t>. In brief, each lung was homogenized in 10 ml of 0.5 M acetic acid containing pepsin (0.1 mg/ml)</w:t>
      </w:r>
      <w:r w:rsidRPr="00311DFC">
        <w:rPr>
          <w:rFonts w:ascii="Times New Roman" w:hAnsi="Times New Roman"/>
          <w:kern w:val="0"/>
          <w:sz w:val="24"/>
          <w:szCs w:val="24"/>
        </w:rPr>
        <w:t>. Each homogenized sample was incubated for 24 h at 4°C with stirring. After centrifugation, 1 ml of each supernatant was assayed. One milliliter of Sircol dye reagent, which binds to collagen, was added to each sample and then mixed for 30 min. After centrifugation, the pellet was suspended in 1 ml of the alkali reagent included in the kit, and the absorbance of the sample was read at 555 nm by a spectrophotometer. Collagen standard solutions were utilized</w:t>
      </w:r>
      <w:r w:rsidR="0004750E" w:rsidRPr="00311DFC">
        <w:rPr>
          <w:rFonts w:ascii="Times New Roman" w:hAnsi="Times New Roman"/>
          <w:kern w:val="0"/>
          <w:sz w:val="24"/>
          <w:szCs w:val="24"/>
        </w:rPr>
        <w:t xml:space="preserve"> to construct a standard curve.</w:t>
      </w:r>
    </w:p>
    <w:p w:rsidR="008D6A55" w:rsidRDefault="008D6A55" w:rsidP="00DB0596">
      <w:pPr>
        <w:tabs>
          <w:tab w:val="left" w:pos="824"/>
        </w:tabs>
        <w:rPr>
          <w:rFonts w:ascii="Times New Roman" w:hAnsi="Times New Roman"/>
          <w:kern w:val="0"/>
          <w:sz w:val="24"/>
          <w:szCs w:val="24"/>
        </w:rPr>
      </w:pPr>
    </w:p>
    <w:p w:rsidR="008D6A55" w:rsidRPr="008D6A55" w:rsidRDefault="008D6A55" w:rsidP="00DB0596">
      <w:pPr>
        <w:tabs>
          <w:tab w:val="left" w:pos="824"/>
        </w:tabs>
        <w:rPr>
          <w:rFonts w:ascii="Times New Roman" w:hAnsi="Times New Roman"/>
          <w:b/>
          <w:kern w:val="0"/>
          <w:sz w:val="27"/>
          <w:szCs w:val="27"/>
        </w:rPr>
      </w:pPr>
      <w:r w:rsidRPr="008D6A55">
        <w:rPr>
          <w:rFonts w:ascii="Times New Roman" w:hAnsi="Times New Roman" w:hint="eastAsia"/>
          <w:b/>
          <w:kern w:val="0"/>
          <w:sz w:val="27"/>
          <w:szCs w:val="27"/>
        </w:rPr>
        <w:t>Bronchoalveola</w:t>
      </w:r>
      <w:r>
        <w:rPr>
          <w:rFonts w:ascii="Times New Roman" w:hAnsi="Times New Roman"/>
          <w:b/>
          <w:kern w:val="0"/>
          <w:sz w:val="27"/>
          <w:szCs w:val="27"/>
        </w:rPr>
        <w:t>r</w:t>
      </w:r>
      <w:r w:rsidRPr="008D6A55">
        <w:rPr>
          <w:rFonts w:ascii="Times New Roman" w:hAnsi="Times New Roman" w:hint="eastAsia"/>
          <w:b/>
          <w:kern w:val="0"/>
          <w:sz w:val="27"/>
          <w:szCs w:val="27"/>
        </w:rPr>
        <w:t xml:space="preserve"> lavage</w:t>
      </w:r>
    </w:p>
    <w:p w:rsidR="008D6A55" w:rsidRPr="00472C5A" w:rsidRDefault="008D6A55" w:rsidP="00DB0596">
      <w:pPr>
        <w:tabs>
          <w:tab w:val="left" w:pos="824"/>
        </w:tabs>
        <w:rPr>
          <w:rFonts w:ascii="Times New Roman" w:hAnsi="Times New Roman"/>
          <w:kern w:val="0"/>
          <w:sz w:val="24"/>
          <w:szCs w:val="24"/>
        </w:rPr>
      </w:pPr>
      <w:proofErr w:type="spellStart"/>
      <w:r w:rsidRPr="00472C5A">
        <w:rPr>
          <w:rFonts w:ascii="Times New Roman" w:hAnsi="Times New Roman" w:hint="eastAsia"/>
          <w:kern w:val="0"/>
          <w:sz w:val="24"/>
          <w:szCs w:val="24"/>
        </w:rPr>
        <w:t>Bronhoalveolar</w:t>
      </w:r>
      <w:proofErr w:type="spellEnd"/>
      <w:r w:rsidRPr="00472C5A">
        <w:rPr>
          <w:rFonts w:ascii="Times New Roman" w:hAnsi="Times New Roman" w:hint="eastAsia"/>
          <w:kern w:val="0"/>
          <w:sz w:val="24"/>
          <w:szCs w:val="24"/>
        </w:rPr>
        <w:t xml:space="preserve"> </w:t>
      </w:r>
      <w:proofErr w:type="spellStart"/>
      <w:r w:rsidRPr="00472C5A">
        <w:rPr>
          <w:rFonts w:ascii="Times New Roman" w:hAnsi="Times New Roman" w:hint="eastAsia"/>
          <w:kern w:val="0"/>
          <w:sz w:val="24"/>
          <w:szCs w:val="24"/>
        </w:rPr>
        <w:t>lavage</w:t>
      </w:r>
      <w:proofErr w:type="spellEnd"/>
      <w:r w:rsidRPr="00472C5A">
        <w:rPr>
          <w:rFonts w:ascii="Times New Roman" w:hAnsi="Times New Roman" w:hint="eastAsia"/>
          <w:kern w:val="0"/>
          <w:sz w:val="24"/>
          <w:szCs w:val="24"/>
        </w:rPr>
        <w:t xml:space="preserve"> fluid (</w:t>
      </w:r>
      <w:r w:rsidRPr="00472C5A">
        <w:rPr>
          <w:rFonts w:ascii="Times New Roman" w:hAnsi="Times New Roman"/>
          <w:kern w:val="0"/>
          <w:sz w:val="24"/>
          <w:szCs w:val="24"/>
        </w:rPr>
        <w:t>BALF</w:t>
      </w:r>
      <w:r w:rsidRPr="00472C5A">
        <w:rPr>
          <w:rFonts w:ascii="Times New Roman" w:hAnsi="Times New Roman" w:hint="eastAsia"/>
          <w:kern w:val="0"/>
          <w:sz w:val="24"/>
          <w:szCs w:val="24"/>
        </w:rPr>
        <w:t>)</w:t>
      </w:r>
      <w:r w:rsidRPr="00472C5A">
        <w:rPr>
          <w:rFonts w:ascii="Times New Roman" w:hAnsi="Times New Roman"/>
          <w:kern w:val="0"/>
          <w:sz w:val="24"/>
          <w:szCs w:val="24"/>
        </w:rPr>
        <w:t xml:space="preserve"> was obtained by cannulating the trachea with a 20-</w:t>
      </w:r>
      <w:r w:rsidRPr="00472C5A">
        <w:rPr>
          <w:rFonts w:ascii="Times New Roman" w:hAnsi="Times New Roman"/>
          <w:sz w:val="24"/>
          <w:szCs w:val="24"/>
        </w:rPr>
        <w:t xml:space="preserve"> gauge catheter. An aliquot of saline (0.9% </w:t>
      </w:r>
      <w:proofErr w:type="spellStart"/>
      <w:r w:rsidRPr="00472C5A">
        <w:rPr>
          <w:rFonts w:ascii="Times New Roman" w:hAnsi="Times New Roman"/>
          <w:sz w:val="24"/>
          <w:szCs w:val="24"/>
        </w:rPr>
        <w:t>NaCl</w:t>
      </w:r>
      <w:proofErr w:type="spellEnd"/>
      <w:r w:rsidRPr="00472C5A">
        <w:rPr>
          <w:rFonts w:ascii="Times New Roman" w:hAnsi="Times New Roman"/>
          <w:sz w:val="24"/>
          <w:szCs w:val="24"/>
        </w:rPr>
        <w:t xml:space="preserve">) was injected into the lung, and a total volume of 5 ml was recovered. The cell-free supernatants were stored at </w:t>
      </w:r>
      <w:r w:rsidR="002A065E">
        <w:t>−</w:t>
      </w:r>
      <w:r w:rsidRPr="00472C5A">
        <w:rPr>
          <w:rFonts w:ascii="Times New Roman" w:hAnsi="Times New Roman"/>
          <w:sz w:val="24"/>
          <w:szCs w:val="24"/>
        </w:rPr>
        <w:t xml:space="preserve">80°C until further analysis. </w:t>
      </w:r>
      <w:r w:rsidRPr="00472C5A">
        <w:rPr>
          <w:rFonts w:ascii="Times New Roman" w:hAnsi="Times New Roman"/>
          <w:kern w:val="0"/>
          <w:sz w:val="24"/>
          <w:szCs w:val="24"/>
        </w:rPr>
        <w:t>The recovered fluid was filtered, and 100 µml of this filtered sample was mixed with 100 µml</w:t>
      </w:r>
      <w:r w:rsidRPr="00472C5A">
        <w:rPr>
          <w:rFonts w:ascii="Times New Roman" w:hAnsi="Times New Roman"/>
          <w:sz w:val="24"/>
          <w:szCs w:val="24"/>
        </w:rPr>
        <w:t xml:space="preserve"> of </w:t>
      </w:r>
      <w:proofErr w:type="spellStart"/>
      <w:r w:rsidRPr="00472C5A">
        <w:rPr>
          <w:rFonts w:ascii="Times New Roman" w:hAnsi="Times New Roman"/>
          <w:kern w:val="0"/>
          <w:sz w:val="24"/>
          <w:szCs w:val="24"/>
        </w:rPr>
        <w:t>Türk's</w:t>
      </w:r>
      <w:proofErr w:type="spellEnd"/>
      <w:r w:rsidRPr="00472C5A">
        <w:rPr>
          <w:rFonts w:ascii="Times New Roman" w:hAnsi="Times New Roman"/>
          <w:kern w:val="0"/>
          <w:sz w:val="24"/>
          <w:szCs w:val="24"/>
        </w:rPr>
        <w:t xml:space="preserve"> Solution, then the cells were counted under a microscope (OLYMPUS BX51, Tokyo, Japan). Differential cell counts were determined using the cell suspensions displayed on glass slides using a </w:t>
      </w:r>
      <w:proofErr w:type="spellStart"/>
      <w:r w:rsidRPr="00472C5A">
        <w:rPr>
          <w:rFonts w:ascii="Times New Roman" w:hAnsi="Times New Roman"/>
          <w:kern w:val="0"/>
          <w:sz w:val="24"/>
          <w:szCs w:val="24"/>
        </w:rPr>
        <w:t>cytocentrifuge</w:t>
      </w:r>
      <w:proofErr w:type="spellEnd"/>
      <w:r w:rsidRPr="00472C5A">
        <w:rPr>
          <w:rFonts w:ascii="Times New Roman" w:hAnsi="Times New Roman"/>
          <w:kern w:val="0"/>
          <w:sz w:val="24"/>
          <w:szCs w:val="24"/>
        </w:rPr>
        <w:t xml:space="preserve"> (</w:t>
      </w:r>
      <w:proofErr w:type="spellStart"/>
      <w:r w:rsidRPr="00472C5A">
        <w:rPr>
          <w:rFonts w:ascii="Times New Roman" w:hAnsi="Times New Roman"/>
          <w:kern w:val="0"/>
          <w:sz w:val="24"/>
          <w:szCs w:val="24"/>
        </w:rPr>
        <w:t>Cytospin</w:t>
      </w:r>
      <w:proofErr w:type="spellEnd"/>
      <w:r w:rsidRPr="00472C5A">
        <w:rPr>
          <w:rFonts w:ascii="Times New Roman" w:hAnsi="Times New Roman"/>
          <w:kern w:val="0"/>
          <w:sz w:val="24"/>
          <w:szCs w:val="24"/>
        </w:rPr>
        <w:t xml:space="preserve"> 4; </w:t>
      </w:r>
      <w:proofErr w:type="spellStart"/>
      <w:r w:rsidRPr="00472C5A">
        <w:rPr>
          <w:rFonts w:ascii="Times New Roman" w:hAnsi="Times New Roman"/>
          <w:kern w:val="0"/>
          <w:sz w:val="24"/>
          <w:szCs w:val="24"/>
        </w:rPr>
        <w:t>Termo</w:t>
      </w:r>
      <w:proofErr w:type="spellEnd"/>
      <w:r w:rsidRPr="00472C5A">
        <w:rPr>
          <w:rFonts w:ascii="Times New Roman" w:hAnsi="Times New Roman"/>
          <w:kern w:val="0"/>
          <w:sz w:val="24"/>
          <w:szCs w:val="24"/>
        </w:rPr>
        <w:t>, Kanagawa, Japan). The cells on a slide were dried, fixed and then stained by the Diff-Quick (</w:t>
      </w:r>
      <w:proofErr w:type="spellStart"/>
      <w:r w:rsidRPr="00472C5A">
        <w:rPr>
          <w:rFonts w:ascii="Times New Roman" w:hAnsi="Times New Roman"/>
          <w:kern w:val="0"/>
          <w:sz w:val="24"/>
          <w:szCs w:val="24"/>
        </w:rPr>
        <w:t>Sysmex</w:t>
      </w:r>
      <w:proofErr w:type="spellEnd"/>
      <w:r w:rsidRPr="00472C5A">
        <w:rPr>
          <w:rFonts w:ascii="Times New Roman" w:hAnsi="Times New Roman"/>
          <w:kern w:val="0"/>
          <w:sz w:val="24"/>
          <w:szCs w:val="24"/>
        </w:rPr>
        <w:t>, Hyogo, Japan) method, then one hundred cells were identified under a microscope. The total protein concentration was also measured using a BIO-RAD Protein Assay Kit</w:t>
      </w:r>
      <w:r w:rsidRPr="00472C5A" w:rsidDel="003D3371">
        <w:rPr>
          <w:rFonts w:ascii="Times New Roman" w:hAnsi="Times New Roman"/>
          <w:kern w:val="0"/>
          <w:sz w:val="24"/>
          <w:szCs w:val="24"/>
        </w:rPr>
        <w:t xml:space="preserve"> </w:t>
      </w:r>
      <w:r w:rsidRPr="00472C5A">
        <w:rPr>
          <w:rFonts w:ascii="Times New Roman" w:hAnsi="Times New Roman"/>
          <w:kern w:val="0"/>
          <w:sz w:val="24"/>
          <w:szCs w:val="24"/>
        </w:rPr>
        <w:t>ІІ (500-0002JA, Hercules, CA).</w:t>
      </w:r>
    </w:p>
    <w:p w:rsidR="002C4F26" w:rsidRPr="00DB0596" w:rsidRDefault="002C4F26" w:rsidP="00311DFC">
      <w:pPr>
        <w:rPr>
          <w:rFonts w:ascii="Times New Roman" w:eastAsiaTheme="minorEastAsia" w:hAnsi="Times New Roman"/>
          <w:kern w:val="0"/>
          <w:sz w:val="24"/>
          <w:szCs w:val="24"/>
        </w:rPr>
      </w:pPr>
    </w:p>
    <w:p w:rsidR="002C4F26" w:rsidRPr="00DB0596" w:rsidRDefault="002C4F26" w:rsidP="00311DFC">
      <w:pPr>
        <w:tabs>
          <w:tab w:val="left" w:pos="824"/>
        </w:tabs>
        <w:rPr>
          <w:rFonts w:ascii="Times New Roman" w:hAnsi="Times New Roman"/>
          <w:b/>
          <w:sz w:val="27"/>
          <w:szCs w:val="27"/>
        </w:rPr>
      </w:pPr>
      <w:r w:rsidRPr="00DB0596">
        <w:rPr>
          <w:rFonts w:ascii="Times New Roman" w:hAnsi="Times New Roman"/>
          <w:b/>
          <w:sz w:val="27"/>
          <w:szCs w:val="27"/>
        </w:rPr>
        <w:t xml:space="preserve">Real-time polymerase chain reaction </w:t>
      </w:r>
    </w:p>
    <w:p w:rsidR="002C4F26" w:rsidRPr="008D6A55" w:rsidRDefault="002C4F26" w:rsidP="00311DFC">
      <w:pPr>
        <w:autoSpaceDE w:val="0"/>
        <w:autoSpaceDN w:val="0"/>
        <w:adjustRightInd w:val="0"/>
        <w:jc w:val="left"/>
        <w:rPr>
          <w:rFonts w:ascii="Times New Roman" w:eastAsia="MinionPro-Regular" w:hAnsi="Times New Roman"/>
          <w:color w:val="231F20"/>
          <w:kern w:val="0"/>
          <w:sz w:val="27"/>
          <w:szCs w:val="27"/>
        </w:rPr>
      </w:pPr>
      <w:r w:rsidRPr="00311DFC">
        <w:rPr>
          <w:rFonts w:ascii="Times New Roman" w:hAnsi="Times New Roman"/>
          <w:sz w:val="24"/>
          <w:szCs w:val="24"/>
        </w:rPr>
        <w:t xml:space="preserve">For RNA isolation, the right lungs were stored at </w:t>
      </w:r>
      <w:r w:rsidR="001D5C3E">
        <w:t>−</w:t>
      </w:r>
      <w:r w:rsidRPr="00311DFC">
        <w:rPr>
          <w:rFonts w:ascii="Times New Roman" w:hAnsi="Times New Roman"/>
          <w:sz w:val="24"/>
          <w:szCs w:val="24"/>
        </w:rPr>
        <w:t>20°C</w:t>
      </w:r>
      <w:r w:rsidRPr="00311DFC">
        <w:rPr>
          <w:rFonts w:ascii="Times New Roman" w:hAnsi="Times New Roman"/>
          <w:color w:val="548DD4"/>
          <w:kern w:val="0"/>
          <w:sz w:val="24"/>
          <w:szCs w:val="24"/>
        </w:rPr>
        <w:t xml:space="preserve"> </w:t>
      </w:r>
      <w:r w:rsidRPr="00311DFC">
        <w:rPr>
          <w:rFonts w:ascii="Times New Roman" w:hAnsi="Times New Roman"/>
          <w:kern w:val="0"/>
          <w:sz w:val="24"/>
          <w:szCs w:val="24"/>
        </w:rPr>
        <w:t>immediately after removal from each mouse.</w:t>
      </w:r>
      <w:r w:rsidRPr="00311DFC">
        <w:rPr>
          <w:rFonts w:ascii="Times New Roman" w:hAnsi="Times New Roman"/>
          <w:color w:val="548DD4"/>
          <w:kern w:val="0"/>
          <w:sz w:val="24"/>
          <w:szCs w:val="24"/>
        </w:rPr>
        <w:t xml:space="preserve"> </w:t>
      </w:r>
      <w:r w:rsidRPr="00311DFC">
        <w:rPr>
          <w:rFonts w:ascii="Times New Roman" w:hAnsi="Times New Roman"/>
          <w:sz w:val="24"/>
          <w:szCs w:val="24"/>
        </w:rPr>
        <w:t xml:space="preserve">The total RNA was extracted from homogenized right lung tissues using the Isogen reagent (Nippon Gene, Tokyo, Japan), and was reverse-transcribed according to the instructions provided by the manufacturer. </w:t>
      </w:r>
      <w:r w:rsidRPr="00311DFC">
        <w:rPr>
          <w:rFonts w:ascii="Times New Roman" w:hAnsi="Times New Roman"/>
          <w:sz w:val="24"/>
          <w:szCs w:val="24"/>
          <w:lang w:val="en-GB"/>
        </w:rPr>
        <w:t xml:space="preserve">A volume of pooled RNA (1 </w:t>
      </w:r>
      <w:r w:rsidRPr="00311DFC">
        <w:rPr>
          <w:rFonts w:ascii="Times New Roman" w:hAnsi="Times New Roman"/>
          <w:sz w:val="24"/>
          <w:szCs w:val="24"/>
          <w:lang w:val="en-GB"/>
        </w:rPr>
        <w:sym w:font="Symbol" w:char="F06D"/>
      </w:r>
      <w:r w:rsidRPr="00311DFC">
        <w:rPr>
          <w:rFonts w:ascii="Times New Roman" w:hAnsi="Times New Roman"/>
          <w:sz w:val="24"/>
          <w:szCs w:val="24"/>
          <w:lang w:val="en-GB"/>
        </w:rPr>
        <w:t xml:space="preserve">l) was </w:t>
      </w:r>
      <w:r w:rsidRPr="00311DFC">
        <w:rPr>
          <w:rFonts w:ascii="Times New Roman" w:hAnsi="Times New Roman"/>
          <w:sz w:val="24"/>
          <w:szCs w:val="24"/>
          <w:lang w:val="en-GB"/>
        </w:rPr>
        <w:lastRenderedPageBreak/>
        <w:t xml:space="preserve">reverse-transcribed in a total reaction volume of 21 </w:t>
      </w:r>
      <w:r w:rsidRPr="00311DFC">
        <w:rPr>
          <w:rFonts w:ascii="Times New Roman" w:hAnsi="Times New Roman"/>
          <w:sz w:val="24"/>
          <w:szCs w:val="24"/>
          <w:lang w:val="en-GB"/>
        </w:rPr>
        <w:sym w:font="Symbol" w:char="F06D"/>
      </w:r>
      <w:r w:rsidRPr="00311DFC">
        <w:rPr>
          <w:rFonts w:ascii="Times New Roman" w:hAnsi="Times New Roman"/>
          <w:sz w:val="24"/>
          <w:szCs w:val="24"/>
          <w:lang w:val="en-GB"/>
        </w:rPr>
        <w:t xml:space="preserve">l containing 0.5 </w:t>
      </w:r>
      <w:r w:rsidRPr="00311DFC">
        <w:rPr>
          <w:rFonts w:ascii="Times New Roman" w:hAnsi="Times New Roman"/>
          <w:bCs/>
          <w:kern w:val="0"/>
          <w:sz w:val="24"/>
          <w:szCs w:val="24"/>
          <w:lang w:val="en-GB"/>
        </w:rPr>
        <w:sym w:font="Symbol" w:char="F06D"/>
      </w:r>
      <w:r w:rsidRPr="00311DFC">
        <w:rPr>
          <w:rFonts w:ascii="Times New Roman" w:hAnsi="Times New Roman"/>
          <w:sz w:val="24"/>
          <w:szCs w:val="24"/>
          <w:lang w:val="en-GB"/>
        </w:rPr>
        <w:t xml:space="preserve">g of random </w:t>
      </w:r>
      <w:proofErr w:type="spellStart"/>
      <w:r w:rsidRPr="00311DFC">
        <w:rPr>
          <w:rFonts w:ascii="Times New Roman" w:hAnsi="Times New Roman"/>
          <w:sz w:val="24"/>
          <w:szCs w:val="24"/>
          <w:lang w:val="en-GB"/>
        </w:rPr>
        <w:t>hexamer</w:t>
      </w:r>
      <w:proofErr w:type="spellEnd"/>
      <w:r w:rsidRPr="00311DFC">
        <w:rPr>
          <w:rFonts w:ascii="Times New Roman" w:hAnsi="Times New Roman"/>
          <w:sz w:val="24"/>
          <w:szCs w:val="24"/>
          <w:lang w:val="en-GB"/>
        </w:rPr>
        <w:t xml:space="preserve"> primers, 20 units </w:t>
      </w:r>
      <w:proofErr w:type="spellStart"/>
      <w:r w:rsidRPr="00311DFC">
        <w:rPr>
          <w:rFonts w:ascii="Times New Roman" w:hAnsi="Times New Roman"/>
          <w:sz w:val="24"/>
          <w:szCs w:val="24"/>
          <w:lang w:val="en-GB"/>
        </w:rPr>
        <w:t>RNasin</w:t>
      </w:r>
      <w:proofErr w:type="spellEnd"/>
      <w:r w:rsidRPr="00311DFC">
        <w:rPr>
          <w:rFonts w:ascii="Times New Roman" w:hAnsi="Times New Roman"/>
          <w:sz w:val="24"/>
          <w:szCs w:val="24"/>
          <w:lang w:val="en-GB"/>
        </w:rPr>
        <w:t xml:space="preserve"> </w:t>
      </w:r>
      <w:proofErr w:type="spellStart"/>
      <w:r w:rsidRPr="00311DFC">
        <w:rPr>
          <w:rFonts w:ascii="Times New Roman" w:hAnsi="Times New Roman"/>
          <w:sz w:val="24"/>
          <w:szCs w:val="24"/>
          <w:lang w:val="en-GB"/>
        </w:rPr>
        <w:t>ribonuclease</w:t>
      </w:r>
      <w:proofErr w:type="spellEnd"/>
      <w:r w:rsidRPr="00311DFC">
        <w:rPr>
          <w:rFonts w:ascii="Times New Roman" w:hAnsi="Times New Roman"/>
          <w:sz w:val="24"/>
          <w:szCs w:val="24"/>
          <w:lang w:val="en-GB"/>
        </w:rPr>
        <w:t xml:space="preserve"> inhibitor and </w:t>
      </w:r>
      <w:proofErr w:type="spellStart"/>
      <w:r w:rsidRPr="00311DFC">
        <w:rPr>
          <w:rFonts w:ascii="Times New Roman" w:hAnsi="Times New Roman"/>
          <w:sz w:val="24"/>
          <w:szCs w:val="24"/>
          <w:lang w:val="en-GB"/>
        </w:rPr>
        <w:t>SuperScript</w:t>
      </w:r>
      <w:proofErr w:type="spellEnd"/>
      <w:r w:rsidRPr="00311DFC">
        <w:rPr>
          <w:rFonts w:ascii="Times New Roman" w:hAnsi="Times New Roman"/>
          <w:sz w:val="24"/>
          <w:szCs w:val="24"/>
          <w:lang w:val="en-GB"/>
        </w:rPr>
        <w:t xml:space="preserve"> III First-Strand Synthesis System (Invitrogen), according to the supplier’s instructions. The resulting cDNA was subjected to quantitative real-time polymerase chain reaction (QRT-PCR). </w:t>
      </w:r>
      <w:r w:rsidRPr="00311DFC">
        <w:rPr>
          <w:rFonts w:ascii="Times New Roman" w:hAnsi="Times New Roman"/>
          <w:sz w:val="24"/>
          <w:szCs w:val="24"/>
        </w:rPr>
        <w:t>The QRT-PCR amplification was performed by real-time quantitative polymerase chain reaction (PCR) on an ABI prism 7000 sequence detection system (</w:t>
      </w:r>
      <w:r w:rsidRPr="00311DFC">
        <w:rPr>
          <w:rFonts w:ascii="Times New Roman" w:hAnsi="Times New Roman"/>
          <w:color w:val="231F20"/>
          <w:kern w:val="0"/>
          <w:sz w:val="24"/>
          <w:szCs w:val="24"/>
        </w:rPr>
        <w:t>Applied Biosystems, Foster City, CA)</w:t>
      </w:r>
      <w:r w:rsidRPr="00311DFC">
        <w:rPr>
          <w:rFonts w:ascii="Times New Roman" w:hAnsi="Times New Roman"/>
          <w:sz w:val="24"/>
          <w:szCs w:val="24"/>
        </w:rPr>
        <w:t>. The PCR conditions were:</w:t>
      </w:r>
      <w:r w:rsidRPr="00311DFC">
        <w:rPr>
          <w:rFonts w:ascii="Times New Roman" w:hAnsi="Times New Roman"/>
          <w:color w:val="548DD4"/>
          <w:sz w:val="24"/>
          <w:szCs w:val="24"/>
        </w:rPr>
        <w:t xml:space="preserve"> </w:t>
      </w:r>
      <w:r w:rsidRPr="00311DFC">
        <w:rPr>
          <w:rFonts w:ascii="Times New Roman" w:hAnsi="Times New Roman"/>
          <w:kern w:val="0"/>
          <w:sz w:val="24"/>
          <w:szCs w:val="24"/>
        </w:rPr>
        <w:t>95</w:t>
      </w:r>
      <w:r w:rsidRPr="00311DFC">
        <w:rPr>
          <w:rFonts w:ascii="Times New Roman" w:hAnsi="Times New Roman"/>
          <w:sz w:val="24"/>
          <w:szCs w:val="24"/>
        </w:rPr>
        <w:t>°C</w:t>
      </w:r>
      <w:r w:rsidRPr="00311DFC">
        <w:rPr>
          <w:rFonts w:ascii="Times New Roman" w:hAnsi="Times New Roman"/>
          <w:kern w:val="0"/>
          <w:sz w:val="24"/>
          <w:szCs w:val="24"/>
        </w:rPr>
        <w:t xml:space="preserve"> for 15 min, followed by 40 cycles of 15 s at 94</w:t>
      </w:r>
      <w:r w:rsidRPr="00311DFC">
        <w:rPr>
          <w:rFonts w:ascii="Times New Roman" w:hAnsi="Times New Roman"/>
          <w:sz w:val="24"/>
          <w:szCs w:val="24"/>
        </w:rPr>
        <w:t>°C</w:t>
      </w:r>
      <w:r w:rsidRPr="00311DFC">
        <w:rPr>
          <w:rFonts w:ascii="Times New Roman" w:hAnsi="Times New Roman"/>
          <w:kern w:val="0"/>
          <w:sz w:val="24"/>
          <w:szCs w:val="24"/>
        </w:rPr>
        <w:t xml:space="preserve"> and 60 s at 60</w:t>
      </w:r>
      <w:r w:rsidRPr="00311DFC">
        <w:rPr>
          <w:rFonts w:ascii="Times New Roman" w:hAnsi="Times New Roman"/>
          <w:sz w:val="24"/>
          <w:szCs w:val="24"/>
        </w:rPr>
        <w:t>°C</w:t>
      </w:r>
      <w:r w:rsidRPr="00311DFC">
        <w:rPr>
          <w:rFonts w:ascii="Times New Roman" w:hAnsi="Times New Roman"/>
          <w:kern w:val="0"/>
          <w:sz w:val="24"/>
          <w:szCs w:val="24"/>
        </w:rPr>
        <w:t>.</w:t>
      </w:r>
      <w:r w:rsidRPr="00311DFC">
        <w:rPr>
          <w:rFonts w:ascii="Times New Roman" w:eastAsia="MinionPro-Regular" w:hAnsi="Times New Roman"/>
          <w:color w:val="231F20"/>
          <w:kern w:val="0"/>
          <w:sz w:val="24"/>
          <w:szCs w:val="24"/>
        </w:rPr>
        <w:t xml:space="preserve"> The value of each hybridized probe was normalized to that of GAPDH in each template, which was set as an internal control. The primers for TGF-β1, CCL-2, connective tissue growth factor (CTGF), collagen I and GAPDH mRNA were included in the </w:t>
      </w:r>
      <w:proofErr w:type="spellStart"/>
      <w:r w:rsidRPr="00311DFC">
        <w:rPr>
          <w:rFonts w:ascii="Times New Roman" w:eastAsia="MinionPro-Regular" w:hAnsi="Times New Roman"/>
          <w:color w:val="231F20"/>
          <w:kern w:val="0"/>
          <w:sz w:val="24"/>
          <w:szCs w:val="24"/>
        </w:rPr>
        <w:t>Taq</w:t>
      </w:r>
      <w:proofErr w:type="spellEnd"/>
      <w:r w:rsidRPr="00311DFC">
        <w:rPr>
          <w:rFonts w:ascii="Times New Roman" w:eastAsia="MinionPro-Regular" w:hAnsi="Times New Roman"/>
          <w:color w:val="231F20"/>
          <w:kern w:val="0"/>
          <w:sz w:val="24"/>
          <w:szCs w:val="24"/>
        </w:rPr>
        <w:t>-Man Gene Expression Assays (Applied Biosystems, Foster City, CA). The sequences of the specific primers used for interleukin (</w:t>
      </w:r>
      <w:r w:rsidRPr="00311DFC">
        <w:rPr>
          <w:rFonts w:ascii="Times New Roman" w:hAnsi="Times New Roman"/>
          <w:kern w:val="0"/>
          <w:sz w:val="24"/>
          <w:szCs w:val="24"/>
        </w:rPr>
        <w:t>IL)-6, IL-1</w:t>
      </w:r>
      <w:r w:rsidRPr="00311DFC">
        <w:rPr>
          <w:rFonts w:ascii="Times New Roman" w:eastAsia="MinionPro-Regular" w:hAnsi="Times New Roman"/>
          <w:color w:val="231F20"/>
          <w:kern w:val="0"/>
          <w:sz w:val="24"/>
          <w:szCs w:val="24"/>
        </w:rPr>
        <w:t>β, tumor necrosis factor (TNF)-α and interferon (IFN)-γ mRNA</w:t>
      </w:r>
      <w:r w:rsidRPr="00311DFC">
        <w:rPr>
          <w:rFonts w:ascii="Times New Roman" w:hAnsi="Times New Roman"/>
          <w:sz w:val="24"/>
          <w:szCs w:val="24"/>
        </w:rPr>
        <w:t xml:space="preserve"> are summarized in Table </w:t>
      </w:r>
      <w:r w:rsidR="00311DFC">
        <w:rPr>
          <w:rFonts w:ascii="Times New Roman" w:hAnsi="Times New Roman"/>
          <w:sz w:val="24"/>
          <w:szCs w:val="24"/>
        </w:rPr>
        <w:t>S</w:t>
      </w:r>
      <w:r w:rsidRPr="00311DFC">
        <w:rPr>
          <w:rFonts w:ascii="Times New Roman" w:hAnsi="Times New Roman"/>
          <w:sz w:val="24"/>
          <w:szCs w:val="24"/>
        </w:rPr>
        <w:t>1.</w:t>
      </w:r>
    </w:p>
    <w:p w:rsidR="00F51559" w:rsidRPr="008D6A55" w:rsidRDefault="00F51559" w:rsidP="00311DFC">
      <w:pPr>
        <w:rPr>
          <w:rFonts w:ascii="Times New Roman" w:hAnsi="Times New Roman"/>
          <w:sz w:val="27"/>
          <w:szCs w:val="27"/>
        </w:rPr>
      </w:pPr>
    </w:p>
    <w:p w:rsidR="00F51559" w:rsidRPr="008D6A55" w:rsidRDefault="00F51559" w:rsidP="00311DFC">
      <w:pPr>
        <w:tabs>
          <w:tab w:val="left" w:pos="3546"/>
        </w:tabs>
        <w:rPr>
          <w:rFonts w:ascii="Times New Roman" w:hAnsi="Times New Roman"/>
          <w:color w:val="FF0000"/>
          <w:sz w:val="27"/>
          <w:szCs w:val="27"/>
        </w:rPr>
      </w:pPr>
      <w:r w:rsidRPr="008D6A55">
        <w:rPr>
          <w:rFonts w:ascii="Times New Roman" w:hAnsi="Times New Roman"/>
          <w:b/>
          <w:sz w:val="27"/>
          <w:szCs w:val="27"/>
        </w:rPr>
        <w:t>References</w:t>
      </w:r>
    </w:p>
    <w:p w:rsidR="00F17018" w:rsidRPr="00F17018" w:rsidRDefault="005C5C7E" w:rsidP="00F17018">
      <w:pPr>
        <w:pStyle w:val="EndNoteBibliography"/>
        <w:rPr>
          <w:rFonts w:ascii="Times New Roman" w:hAnsi="Times New Roman"/>
          <w:sz w:val="24"/>
          <w:szCs w:val="24"/>
        </w:rPr>
      </w:pPr>
      <w:r w:rsidRPr="00F17018">
        <w:rPr>
          <w:rFonts w:ascii="Times New Roman" w:hAnsi="Times New Roman"/>
          <w:sz w:val="24"/>
          <w:szCs w:val="24"/>
        </w:rPr>
        <w:fldChar w:fldCharType="begin"/>
      </w:r>
      <w:r w:rsidR="00F51559" w:rsidRPr="00F17018">
        <w:rPr>
          <w:rFonts w:ascii="Times New Roman" w:hAnsi="Times New Roman"/>
          <w:sz w:val="24"/>
          <w:szCs w:val="24"/>
        </w:rPr>
        <w:instrText xml:space="preserve"> ADDIN EN.REFLIST </w:instrText>
      </w:r>
      <w:r w:rsidRPr="00F17018">
        <w:rPr>
          <w:rFonts w:ascii="Times New Roman" w:hAnsi="Times New Roman"/>
          <w:sz w:val="24"/>
          <w:szCs w:val="24"/>
        </w:rPr>
        <w:fldChar w:fldCharType="separate"/>
      </w:r>
      <w:bookmarkStart w:id="0" w:name="_ENREF_1"/>
      <w:r w:rsidR="00F17018" w:rsidRPr="00F17018">
        <w:rPr>
          <w:rFonts w:ascii="Times New Roman" w:hAnsi="Times New Roman"/>
          <w:sz w:val="24"/>
          <w:szCs w:val="24"/>
        </w:rPr>
        <w:t>1.</w:t>
      </w:r>
      <w:r w:rsidR="00A76DE4">
        <w:rPr>
          <w:rFonts w:ascii="Times New Roman" w:hAnsi="Times New Roman"/>
          <w:sz w:val="24"/>
          <w:szCs w:val="24"/>
        </w:rPr>
        <w:t xml:space="preserve"> </w:t>
      </w:r>
      <w:r w:rsidR="00F17018" w:rsidRPr="00F17018">
        <w:rPr>
          <w:rFonts w:ascii="Times New Roman" w:hAnsi="Times New Roman"/>
          <w:sz w:val="24"/>
          <w:szCs w:val="24"/>
        </w:rPr>
        <w:t xml:space="preserve">Mizuta M, Hirano S, Hiwatashi N, Tateya I, Kanemaru S, Nakamura T, Ito J: </w:t>
      </w:r>
      <w:r w:rsidR="00F17018" w:rsidRPr="00F17018">
        <w:rPr>
          <w:rFonts w:ascii="Times New Roman" w:hAnsi="Times New Roman"/>
          <w:b/>
          <w:sz w:val="24"/>
          <w:szCs w:val="24"/>
        </w:rPr>
        <w:t>Effect of astaxanthin on vocal fold wound healing.</w:t>
      </w:r>
      <w:r w:rsidR="00F17018" w:rsidRPr="00F17018">
        <w:rPr>
          <w:rFonts w:ascii="Times New Roman" w:hAnsi="Times New Roman"/>
          <w:sz w:val="24"/>
          <w:szCs w:val="24"/>
        </w:rPr>
        <w:t xml:space="preserve"> </w:t>
      </w:r>
      <w:r w:rsidR="00F17018" w:rsidRPr="00F17018">
        <w:rPr>
          <w:rFonts w:ascii="Times New Roman" w:hAnsi="Times New Roman"/>
          <w:i/>
          <w:sz w:val="24"/>
          <w:szCs w:val="24"/>
        </w:rPr>
        <w:t xml:space="preserve">Laryngoscope </w:t>
      </w:r>
      <w:r w:rsidR="00F17018" w:rsidRPr="00F17018">
        <w:rPr>
          <w:rFonts w:ascii="Times New Roman" w:hAnsi="Times New Roman"/>
          <w:sz w:val="24"/>
          <w:szCs w:val="24"/>
        </w:rPr>
        <w:t xml:space="preserve">2014, </w:t>
      </w:r>
      <w:r w:rsidR="00F17018" w:rsidRPr="00F17018">
        <w:rPr>
          <w:rFonts w:ascii="Times New Roman" w:hAnsi="Times New Roman"/>
          <w:b/>
          <w:sz w:val="24"/>
          <w:szCs w:val="24"/>
        </w:rPr>
        <w:t>124:</w:t>
      </w:r>
      <w:r w:rsidR="00F17018" w:rsidRPr="00F17018">
        <w:rPr>
          <w:rFonts w:ascii="Times New Roman" w:hAnsi="Times New Roman"/>
          <w:sz w:val="24"/>
          <w:szCs w:val="24"/>
        </w:rPr>
        <w:t>E1-7.</w:t>
      </w:r>
      <w:bookmarkEnd w:id="0"/>
    </w:p>
    <w:p w:rsidR="00F17018" w:rsidRPr="00F17018" w:rsidRDefault="00F17018" w:rsidP="00F17018">
      <w:pPr>
        <w:pStyle w:val="EndNoteBibliography"/>
        <w:rPr>
          <w:rFonts w:ascii="Times New Roman" w:hAnsi="Times New Roman"/>
          <w:sz w:val="24"/>
          <w:szCs w:val="24"/>
        </w:rPr>
      </w:pPr>
      <w:bookmarkStart w:id="1" w:name="_ENREF_2"/>
      <w:r w:rsidRPr="00F17018">
        <w:rPr>
          <w:rFonts w:ascii="Times New Roman" w:hAnsi="Times New Roman"/>
          <w:sz w:val="24"/>
          <w:szCs w:val="24"/>
        </w:rPr>
        <w:t>2.</w:t>
      </w:r>
      <w:r w:rsidR="00A76DE4">
        <w:rPr>
          <w:rFonts w:ascii="Times New Roman" w:hAnsi="Times New Roman"/>
          <w:sz w:val="24"/>
          <w:szCs w:val="24"/>
        </w:rPr>
        <w:t xml:space="preserve"> </w:t>
      </w:r>
      <w:r w:rsidRPr="00F17018">
        <w:rPr>
          <w:rFonts w:ascii="Times New Roman" w:hAnsi="Times New Roman"/>
          <w:sz w:val="24"/>
          <w:szCs w:val="24"/>
        </w:rPr>
        <w:t xml:space="preserve">Furuno Y, Morishita T, Toyohira Y, Yamada S, Ueno S, Morisada N, Sugita K, Noguchi K, Sakanashi M, Miyata H, Tanimoto A, Sasaguri Y, Shimokawa H, Otsuji Y, Yanagihara N, Tamura M, Tsutsui M: </w:t>
      </w:r>
      <w:r w:rsidRPr="00F17018">
        <w:rPr>
          <w:rFonts w:ascii="Times New Roman" w:hAnsi="Times New Roman"/>
          <w:b/>
          <w:sz w:val="24"/>
          <w:szCs w:val="24"/>
        </w:rPr>
        <w:t>Crucial vasculoprotective role of the whole nitric oxide synthase system in vascular lesion formation in mice: Involvement of bone marrow-derived cells.</w:t>
      </w:r>
      <w:r w:rsidRPr="00F17018">
        <w:rPr>
          <w:rFonts w:ascii="Times New Roman" w:hAnsi="Times New Roman"/>
          <w:sz w:val="24"/>
          <w:szCs w:val="24"/>
        </w:rPr>
        <w:t xml:space="preserve"> </w:t>
      </w:r>
      <w:r w:rsidRPr="00F17018">
        <w:rPr>
          <w:rFonts w:ascii="Times New Roman" w:hAnsi="Times New Roman"/>
          <w:i/>
          <w:sz w:val="24"/>
          <w:szCs w:val="24"/>
        </w:rPr>
        <w:t xml:space="preserve">Nitric Oxide </w:t>
      </w:r>
      <w:r w:rsidRPr="00F17018">
        <w:rPr>
          <w:rFonts w:ascii="Times New Roman" w:hAnsi="Times New Roman"/>
          <w:sz w:val="24"/>
          <w:szCs w:val="24"/>
        </w:rPr>
        <w:t xml:space="preserve">2011, </w:t>
      </w:r>
      <w:r w:rsidRPr="00F17018">
        <w:rPr>
          <w:rFonts w:ascii="Times New Roman" w:hAnsi="Times New Roman"/>
          <w:b/>
          <w:sz w:val="24"/>
          <w:szCs w:val="24"/>
        </w:rPr>
        <w:t>25:</w:t>
      </w:r>
      <w:r w:rsidRPr="00F17018">
        <w:rPr>
          <w:rFonts w:ascii="Times New Roman" w:hAnsi="Times New Roman"/>
          <w:sz w:val="24"/>
          <w:szCs w:val="24"/>
        </w:rPr>
        <w:t>350-359.</w:t>
      </w:r>
      <w:bookmarkEnd w:id="1"/>
    </w:p>
    <w:p w:rsidR="00F17018" w:rsidRPr="00F17018" w:rsidRDefault="00F17018" w:rsidP="00F17018">
      <w:pPr>
        <w:pStyle w:val="EndNoteBibliography"/>
        <w:rPr>
          <w:rFonts w:ascii="Times New Roman" w:hAnsi="Times New Roman"/>
          <w:sz w:val="24"/>
          <w:szCs w:val="24"/>
        </w:rPr>
      </w:pPr>
      <w:bookmarkStart w:id="2" w:name="_ENREF_3"/>
      <w:r w:rsidRPr="00F17018">
        <w:rPr>
          <w:rFonts w:ascii="Times New Roman" w:hAnsi="Times New Roman"/>
          <w:sz w:val="24"/>
          <w:szCs w:val="24"/>
        </w:rPr>
        <w:t>3.</w:t>
      </w:r>
      <w:r w:rsidR="00A76DE4">
        <w:rPr>
          <w:rFonts w:ascii="Times New Roman" w:hAnsi="Times New Roman"/>
          <w:sz w:val="24"/>
          <w:szCs w:val="24"/>
        </w:rPr>
        <w:t xml:space="preserve"> </w:t>
      </w:r>
      <w:r w:rsidRPr="00F17018">
        <w:rPr>
          <w:rFonts w:ascii="Times New Roman" w:hAnsi="Times New Roman"/>
          <w:sz w:val="24"/>
          <w:szCs w:val="24"/>
        </w:rPr>
        <w:t xml:space="preserve">Tasaki T, Yamada S, Guo X, Tanimoto A, Wang KY, Nabeshima A, Kitada S, Noguchi H, Kimura S, Shimajiri S, Kohno K, Ichijo H, Sasaguri Y: </w:t>
      </w:r>
      <w:r w:rsidRPr="00F17018">
        <w:rPr>
          <w:rFonts w:ascii="Times New Roman" w:hAnsi="Times New Roman"/>
          <w:b/>
          <w:sz w:val="24"/>
          <w:szCs w:val="24"/>
        </w:rPr>
        <w:t>Apoptosis signal-regulating kinase 1 deficiency attenuates vascular injury-induced neointimal hyperplasia by suppressing apoptosis in smooth muscle cells.</w:t>
      </w:r>
      <w:r w:rsidRPr="00F17018">
        <w:rPr>
          <w:rFonts w:ascii="Times New Roman" w:hAnsi="Times New Roman"/>
          <w:sz w:val="24"/>
          <w:szCs w:val="24"/>
        </w:rPr>
        <w:t xml:space="preserve"> </w:t>
      </w:r>
      <w:r w:rsidRPr="00F17018">
        <w:rPr>
          <w:rFonts w:ascii="Times New Roman" w:hAnsi="Times New Roman"/>
          <w:i/>
          <w:sz w:val="24"/>
          <w:szCs w:val="24"/>
        </w:rPr>
        <w:t xml:space="preserve">Am J Pathol </w:t>
      </w:r>
      <w:r w:rsidRPr="00F17018">
        <w:rPr>
          <w:rFonts w:ascii="Times New Roman" w:hAnsi="Times New Roman"/>
          <w:sz w:val="24"/>
          <w:szCs w:val="24"/>
        </w:rPr>
        <w:t xml:space="preserve">2013, </w:t>
      </w:r>
      <w:r w:rsidRPr="00F17018">
        <w:rPr>
          <w:rFonts w:ascii="Times New Roman" w:hAnsi="Times New Roman"/>
          <w:b/>
          <w:sz w:val="24"/>
          <w:szCs w:val="24"/>
        </w:rPr>
        <w:t>182:</w:t>
      </w:r>
      <w:r w:rsidRPr="00F17018">
        <w:rPr>
          <w:rFonts w:ascii="Times New Roman" w:hAnsi="Times New Roman"/>
          <w:sz w:val="24"/>
          <w:szCs w:val="24"/>
        </w:rPr>
        <w:t>597-609.</w:t>
      </w:r>
      <w:bookmarkEnd w:id="2"/>
    </w:p>
    <w:p w:rsidR="00F17018" w:rsidRPr="00F17018" w:rsidRDefault="00F17018" w:rsidP="00F17018">
      <w:pPr>
        <w:pStyle w:val="EndNoteBibliography"/>
        <w:rPr>
          <w:rFonts w:ascii="Times New Roman" w:hAnsi="Times New Roman"/>
          <w:sz w:val="24"/>
          <w:szCs w:val="24"/>
        </w:rPr>
      </w:pPr>
      <w:bookmarkStart w:id="3" w:name="_ENREF_4"/>
      <w:r w:rsidRPr="00F17018">
        <w:rPr>
          <w:rFonts w:ascii="Times New Roman" w:hAnsi="Times New Roman"/>
          <w:sz w:val="24"/>
          <w:szCs w:val="24"/>
        </w:rPr>
        <w:t>4.</w:t>
      </w:r>
      <w:r w:rsidR="00A76DE4">
        <w:rPr>
          <w:rFonts w:ascii="Times New Roman" w:hAnsi="Times New Roman"/>
          <w:sz w:val="24"/>
          <w:szCs w:val="24"/>
        </w:rPr>
        <w:t xml:space="preserve"> </w:t>
      </w:r>
      <w:bookmarkStart w:id="4" w:name="_GoBack"/>
      <w:bookmarkEnd w:id="4"/>
      <w:r w:rsidRPr="00F17018">
        <w:rPr>
          <w:rFonts w:ascii="Times New Roman" w:hAnsi="Times New Roman"/>
          <w:sz w:val="24"/>
          <w:szCs w:val="24"/>
        </w:rPr>
        <w:t xml:space="preserve">Tokuda A, Itakura M, Onai N, Kimura H, Kuriyama T, Matsushima K: </w:t>
      </w:r>
      <w:r w:rsidRPr="00F17018">
        <w:rPr>
          <w:rFonts w:ascii="Times New Roman" w:hAnsi="Times New Roman"/>
          <w:b/>
          <w:sz w:val="24"/>
          <w:szCs w:val="24"/>
        </w:rPr>
        <w:t>Pivotal role of CCR1-positive leukocytes in bleomycin-induced lung fibrosis in mice.</w:t>
      </w:r>
      <w:r w:rsidRPr="00F17018">
        <w:rPr>
          <w:rFonts w:ascii="Times New Roman" w:hAnsi="Times New Roman"/>
          <w:sz w:val="24"/>
          <w:szCs w:val="24"/>
        </w:rPr>
        <w:t xml:space="preserve"> </w:t>
      </w:r>
      <w:r w:rsidRPr="00F17018">
        <w:rPr>
          <w:rFonts w:ascii="Times New Roman" w:hAnsi="Times New Roman"/>
          <w:i/>
          <w:sz w:val="24"/>
          <w:szCs w:val="24"/>
        </w:rPr>
        <w:t xml:space="preserve">J Immunol </w:t>
      </w:r>
      <w:r w:rsidRPr="00F17018">
        <w:rPr>
          <w:rFonts w:ascii="Times New Roman" w:hAnsi="Times New Roman"/>
          <w:sz w:val="24"/>
          <w:szCs w:val="24"/>
        </w:rPr>
        <w:t xml:space="preserve">2000, </w:t>
      </w:r>
      <w:r w:rsidRPr="00F17018">
        <w:rPr>
          <w:rFonts w:ascii="Times New Roman" w:hAnsi="Times New Roman"/>
          <w:b/>
          <w:sz w:val="24"/>
          <w:szCs w:val="24"/>
        </w:rPr>
        <w:t>164:</w:t>
      </w:r>
      <w:r w:rsidRPr="00F17018">
        <w:rPr>
          <w:rFonts w:ascii="Times New Roman" w:hAnsi="Times New Roman"/>
          <w:sz w:val="24"/>
          <w:szCs w:val="24"/>
        </w:rPr>
        <w:t>2745-2751.</w:t>
      </w:r>
      <w:bookmarkEnd w:id="3"/>
    </w:p>
    <w:p w:rsidR="00F51559" w:rsidRPr="008D6A55" w:rsidRDefault="005C5C7E" w:rsidP="00F17018">
      <w:pPr>
        <w:rPr>
          <w:rFonts w:ascii="Times New Roman" w:hAnsi="Times New Roman"/>
          <w:sz w:val="27"/>
          <w:szCs w:val="27"/>
        </w:rPr>
      </w:pPr>
      <w:r w:rsidRPr="00F17018">
        <w:rPr>
          <w:rFonts w:ascii="Times New Roman" w:hAnsi="Times New Roman"/>
          <w:sz w:val="24"/>
          <w:szCs w:val="24"/>
        </w:rPr>
        <w:fldChar w:fldCharType="end"/>
      </w:r>
      <w:r w:rsidR="00F51559" w:rsidRPr="008D6A55">
        <w:rPr>
          <w:rFonts w:ascii="Times New Roman" w:hAnsi="Times New Roman"/>
          <w:sz w:val="27"/>
          <w:szCs w:val="27"/>
        </w:rPr>
        <w:br w:type="page"/>
      </w:r>
    </w:p>
    <w:p w:rsidR="00195B22" w:rsidRPr="00F17018" w:rsidRDefault="009859A9" w:rsidP="00311DFC">
      <w:pPr>
        <w:rPr>
          <w:rFonts w:ascii="Times New Roman" w:hAnsi="Times New Roman"/>
          <w:b/>
          <w:sz w:val="27"/>
          <w:szCs w:val="27"/>
        </w:rPr>
      </w:pPr>
      <w:r>
        <w:rPr>
          <w:rFonts w:ascii="Times New Roman" w:hAnsi="Times New Roman"/>
          <w:b/>
          <w:sz w:val="27"/>
          <w:szCs w:val="27"/>
        </w:rPr>
        <w:lastRenderedPageBreak/>
        <w:t>F</w:t>
      </w:r>
      <w:r w:rsidR="00F51559" w:rsidRPr="00F17018">
        <w:rPr>
          <w:rFonts w:ascii="Times New Roman" w:hAnsi="Times New Roman"/>
          <w:b/>
          <w:sz w:val="27"/>
          <w:szCs w:val="27"/>
        </w:rPr>
        <w:t xml:space="preserve">igure </w:t>
      </w:r>
      <w:r w:rsidR="00311DFC" w:rsidRPr="00F17018">
        <w:rPr>
          <w:rFonts w:ascii="Times New Roman" w:hAnsi="Times New Roman"/>
          <w:b/>
          <w:sz w:val="27"/>
          <w:szCs w:val="27"/>
        </w:rPr>
        <w:t>S</w:t>
      </w:r>
      <w:r w:rsidR="00F51559" w:rsidRPr="00F17018">
        <w:rPr>
          <w:rFonts w:ascii="Times New Roman" w:hAnsi="Times New Roman"/>
          <w:b/>
          <w:sz w:val="27"/>
          <w:szCs w:val="27"/>
        </w:rPr>
        <w:t>1</w:t>
      </w:r>
      <w:r w:rsidR="00195B22" w:rsidRPr="00F17018">
        <w:rPr>
          <w:rFonts w:ascii="Times New Roman" w:hAnsi="Times New Roman"/>
          <w:b/>
          <w:sz w:val="27"/>
          <w:szCs w:val="27"/>
        </w:rPr>
        <w:t xml:space="preserve"> Immunostaining for nNOS, iNOS, eNOS in the lung of </w:t>
      </w:r>
      <w:r>
        <w:rPr>
          <w:rFonts w:ascii="Times New Roman" w:hAnsi="Times New Roman"/>
          <w:b/>
          <w:sz w:val="27"/>
          <w:szCs w:val="27"/>
        </w:rPr>
        <w:t xml:space="preserve">the </w:t>
      </w:r>
      <w:r w:rsidR="00195B22" w:rsidRPr="00F17018">
        <w:rPr>
          <w:rFonts w:ascii="Times New Roman" w:hAnsi="Times New Roman"/>
          <w:b/>
          <w:sz w:val="27"/>
          <w:szCs w:val="27"/>
        </w:rPr>
        <w:t>WT and n/</w:t>
      </w:r>
      <w:proofErr w:type="spellStart"/>
      <w:r w:rsidR="00195B22" w:rsidRPr="00F17018">
        <w:rPr>
          <w:rFonts w:ascii="Times New Roman" w:hAnsi="Times New Roman"/>
          <w:b/>
          <w:sz w:val="27"/>
          <w:szCs w:val="27"/>
        </w:rPr>
        <w:t>i</w:t>
      </w:r>
      <w:proofErr w:type="spellEnd"/>
      <w:r w:rsidR="00195B22" w:rsidRPr="00F17018">
        <w:rPr>
          <w:rFonts w:ascii="Times New Roman" w:hAnsi="Times New Roman"/>
          <w:b/>
          <w:sz w:val="27"/>
          <w:szCs w:val="27"/>
        </w:rPr>
        <w:t>/</w:t>
      </w:r>
      <w:proofErr w:type="spellStart"/>
      <w:r w:rsidR="00195B22" w:rsidRPr="00F17018">
        <w:rPr>
          <w:rFonts w:ascii="Times New Roman" w:hAnsi="Times New Roman"/>
          <w:b/>
          <w:sz w:val="27"/>
          <w:szCs w:val="27"/>
        </w:rPr>
        <w:t>eNOS</w:t>
      </w:r>
      <w:proofErr w:type="spellEnd"/>
      <w:r w:rsidR="00195B22" w:rsidRPr="00F17018">
        <w:rPr>
          <w:rFonts w:ascii="Times New Roman" w:hAnsi="Times New Roman"/>
          <w:b/>
          <w:sz w:val="27"/>
          <w:szCs w:val="27"/>
          <w:vertAlign w:val="superscript"/>
        </w:rPr>
        <w:t>−/−</w:t>
      </w:r>
      <w:r w:rsidR="00195B22" w:rsidRPr="00F17018">
        <w:rPr>
          <w:rFonts w:ascii="Times New Roman" w:hAnsi="Times New Roman"/>
          <w:b/>
          <w:sz w:val="27"/>
          <w:szCs w:val="27"/>
        </w:rPr>
        <w:t xml:space="preserve"> mice</w:t>
      </w:r>
      <w:r w:rsidR="00F17018" w:rsidRPr="00F17018">
        <w:rPr>
          <w:rFonts w:ascii="Times New Roman" w:hAnsi="Times New Roman"/>
          <w:b/>
          <w:sz w:val="27"/>
          <w:szCs w:val="27"/>
        </w:rPr>
        <w:t xml:space="preserve"> treated with normal saline or </w:t>
      </w:r>
      <w:r>
        <w:rPr>
          <w:rFonts w:ascii="Times New Roman" w:hAnsi="Times New Roman"/>
          <w:b/>
          <w:sz w:val="27"/>
          <w:szCs w:val="27"/>
        </w:rPr>
        <w:t>BLM</w:t>
      </w:r>
      <w:r w:rsidR="00F17018" w:rsidRPr="00F17018">
        <w:rPr>
          <w:rFonts w:ascii="Times New Roman" w:hAnsi="Times New Roman"/>
          <w:b/>
          <w:sz w:val="27"/>
          <w:szCs w:val="27"/>
        </w:rPr>
        <w:t>.</w:t>
      </w:r>
    </w:p>
    <w:p w:rsidR="00F51559" w:rsidRPr="00311DFC" w:rsidRDefault="003D2D9C" w:rsidP="00311DFC">
      <w:pPr>
        <w:rPr>
          <w:rFonts w:ascii="Times New Roman" w:hAnsi="Times New Roman"/>
        </w:rPr>
      </w:pPr>
      <w:r w:rsidRPr="00311DFC">
        <w:rPr>
          <w:rFonts w:ascii="Times New Roman" w:hAnsi="Times New Roman"/>
          <w:noProof/>
          <w:lang w:eastAsia="en-US"/>
        </w:rPr>
        <w:drawing>
          <wp:inline distT="0" distB="0" distL="0" distR="0">
            <wp:extent cx="5400040" cy="32083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3208350"/>
                    </a:xfrm>
                    <a:prstGeom prst="rect">
                      <a:avLst/>
                    </a:prstGeom>
                    <a:noFill/>
                    <a:ln>
                      <a:noFill/>
                    </a:ln>
                  </pic:spPr>
                </pic:pic>
              </a:graphicData>
            </a:graphic>
          </wp:inline>
        </w:drawing>
      </w:r>
    </w:p>
    <w:p w:rsidR="00F51559" w:rsidRPr="00311DFC" w:rsidRDefault="00F51559" w:rsidP="00311DFC">
      <w:pPr>
        <w:autoSpaceDE w:val="0"/>
        <w:autoSpaceDN w:val="0"/>
        <w:adjustRightInd w:val="0"/>
        <w:ind w:firstLineChars="50" w:firstLine="120"/>
        <w:jc w:val="left"/>
        <w:rPr>
          <w:rFonts w:ascii="Times New Roman" w:eastAsia="AdvGulliv-R" w:hAnsi="Times New Roman"/>
          <w:kern w:val="0"/>
          <w:sz w:val="24"/>
          <w:szCs w:val="24"/>
        </w:rPr>
      </w:pPr>
      <w:r w:rsidRPr="00311DFC">
        <w:rPr>
          <w:rFonts w:ascii="Times New Roman" w:eastAsia="AdvGulliv-R" w:hAnsi="Times New Roman"/>
          <w:kern w:val="0"/>
          <w:sz w:val="24"/>
          <w:szCs w:val="24"/>
        </w:rPr>
        <w:t xml:space="preserve">Among the WT mice, immunoreactivity for nNOS was almost completely absent in the </w:t>
      </w:r>
      <w:r w:rsidR="003D2D9C" w:rsidRPr="00311DFC">
        <w:rPr>
          <w:rFonts w:ascii="Times New Roman" w:eastAsia="AdvGulliv-R" w:hAnsi="Times New Roman"/>
          <w:kern w:val="0"/>
          <w:sz w:val="24"/>
          <w:szCs w:val="24"/>
        </w:rPr>
        <w:t>normal saline (</w:t>
      </w:r>
      <w:r w:rsidRPr="00311DFC">
        <w:rPr>
          <w:rFonts w:ascii="Times New Roman" w:eastAsia="AdvGulliv-R" w:hAnsi="Times New Roman"/>
          <w:kern w:val="0"/>
          <w:sz w:val="24"/>
          <w:szCs w:val="24"/>
        </w:rPr>
        <w:t>NS</w:t>
      </w:r>
      <w:r w:rsidR="003D2D9C" w:rsidRPr="00311DFC">
        <w:rPr>
          <w:rFonts w:ascii="Times New Roman" w:eastAsia="AdvGulliv-R" w:hAnsi="Times New Roman"/>
          <w:kern w:val="0"/>
          <w:sz w:val="24"/>
          <w:szCs w:val="24"/>
        </w:rPr>
        <w:t>)</w:t>
      </w:r>
      <w:r w:rsidRPr="00311DFC">
        <w:rPr>
          <w:rFonts w:ascii="Times New Roman" w:eastAsia="AdvGulliv-R" w:hAnsi="Times New Roman"/>
          <w:kern w:val="0"/>
          <w:sz w:val="24"/>
          <w:szCs w:val="24"/>
        </w:rPr>
        <w:t xml:space="preserve">-treated mice, while it was faintly observed in the </w:t>
      </w:r>
      <w:r w:rsidR="00F17018">
        <w:rPr>
          <w:rFonts w:ascii="Times New Roman" w:eastAsia="AdvGulliv-R" w:hAnsi="Times New Roman"/>
          <w:kern w:val="0"/>
          <w:sz w:val="24"/>
          <w:szCs w:val="24"/>
        </w:rPr>
        <w:t>bleomycin (</w:t>
      </w:r>
      <w:r w:rsidRPr="00311DFC">
        <w:rPr>
          <w:rFonts w:ascii="Times New Roman" w:eastAsia="AdvGulliv-R" w:hAnsi="Times New Roman"/>
          <w:kern w:val="0"/>
          <w:sz w:val="24"/>
          <w:szCs w:val="24"/>
        </w:rPr>
        <w:t>BLM</w:t>
      </w:r>
      <w:r w:rsidR="00F17018">
        <w:rPr>
          <w:rFonts w:ascii="Times New Roman" w:eastAsia="AdvGulliv-R" w:hAnsi="Times New Roman"/>
          <w:kern w:val="0"/>
          <w:sz w:val="24"/>
          <w:szCs w:val="24"/>
        </w:rPr>
        <w:t>)</w:t>
      </w:r>
      <w:r w:rsidRPr="00311DFC">
        <w:rPr>
          <w:rFonts w:ascii="Times New Roman" w:eastAsia="AdvGulliv-R" w:hAnsi="Times New Roman"/>
          <w:kern w:val="0"/>
          <w:sz w:val="24"/>
          <w:szCs w:val="24"/>
        </w:rPr>
        <w:t>-treated mice in the macrophages and alveolar epithelium. Immunoreactivity for iNOS was observed in the BLM-treated WT mice</w:t>
      </w:r>
      <w:r w:rsidR="003D2D9C" w:rsidRPr="00311DFC">
        <w:rPr>
          <w:rFonts w:ascii="Times New Roman" w:eastAsia="AdvGulliv-R" w:hAnsi="Times New Roman"/>
          <w:kern w:val="0"/>
          <w:sz w:val="24"/>
          <w:szCs w:val="24"/>
        </w:rPr>
        <w:t xml:space="preserve"> in the macrophages and alveolar epithelium</w:t>
      </w:r>
      <w:r w:rsidRPr="00311DFC">
        <w:rPr>
          <w:rFonts w:ascii="Times New Roman" w:eastAsia="AdvGulliv-R" w:hAnsi="Times New Roman"/>
          <w:kern w:val="0"/>
          <w:sz w:val="24"/>
          <w:szCs w:val="24"/>
        </w:rPr>
        <w:t xml:space="preserve">, but it was also almost absent in the NS-treated mice. </w:t>
      </w:r>
      <w:r w:rsidR="003D2D9C" w:rsidRPr="00311DFC">
        <w:rPr>
          <w:rFonts w:ascii="Times New Roman" w:eastAsia="AdvGulliv-R" w:hAnsi="Times New Roman"/>
          <w:kern w:val="0"/>
          <w:sz w:val="24"/>
          <w:szCs w:val="24"/>
        </w:rPr>
        <w:t xml:space="preserve">The </w:t>
      </w:r>
      <w:r w:rsidRPr="00311DFC">
        <w:rPr>
          <w:rFonts w:ascii="Times New Roman" w:eastAsia="AdvGulliv-R" w:hAnsi="Times New Roman"/>
          <w:kern w:val="0"/>
          <w:sz w:val="24"/>
          <w:szCs w:val="24"/>
        </w:rPr>
        <w:t>eNOS immunoreactivity was also faintly noted in the NS- and BLM-treated mice in the macrophages and alveolar epithelium. In contrast, no immunoreactivity was noted in the lungs of the NS- or BLM-treated n/</w:t>
      </w:r>
      <w:proofErr w:type="spellStart"/>
      <w:r w:rsidRPr="00311DFC">
        <w:rPr>
          <w:rFonts w:ascii="Times New Roman" w:eastAsia="AdvGulliv-R" w:hAnsi="Times New Roman"/>
          <w:kern w:val="0"/>
          <w:sz w:val="24"/>
          <w:szCs w:val="24"/>
        </w:rPr>
        <w:t>i</w:t>
      </w:r>
      <w:proofErr w:type="spellEnd"/>
      <w:r w:rsidRPr="00311DFC">
        <w:rPr>
          <w:rFonts w:ascii="Times New Roman" w:eastAsia="AdvGulliv-R" w:hAnsi="Times New Roman"/>
          <w:kern w:val="0"/>
          <w:sz w:val="24"/>
          <w:szCs w:val="24"/>
        </w:rPr>
        <w:t>/</w:t>
      </w:r>
      <w:proofErr w:type="spellStart"/>
      <w:r w:rsidRPr="00311DFC">
        <w:rPr>
          <w:rFonts w:ascii="Times New Roman" w:eastAsia="AdvGulliv-R" w:hAnsi="Times New Roman"/>
          <w:kern w:val="0"/>
          <w:sz w:val="24"/>
          <w:szCs w:val="24"/>
        </w:rPr>
        <w:t>eNOS</w:t>
      </w:r>
      <w:proofErr w:type="spellEnd"/>
      <w:r w:rsidRPr="00311DFC">
        <w:rPr>
          <w:rFonts w:ascii="Times New Roman" w:eastAsia="AdvGulliv-R" w:hAnsi="Times New Roman"/>
          <w:kern w:val="0"/>
          <w:sz w:val="24"/>
          <w:szCs w:val="24"/>
          <w:vertAlign w:val="superscript"/>
        </w:rPr>
        <w:t>-/-</w:t>
      </w:r>
      <w:r w:rsidRPr="00311DFC">
        <w:rPr>
          <w:rFonts w:ascii="Times New Roman" w:eastAsia="AdvGulliv-R" w:hAnsi="Times New Roman"/>
          <w:kern w:val="0"/>
          <w:sz w:val="24"/>
          <w:szCs w:val="24"/>
        </w:rPr>
        <w:t xml:space="preserve"> mice.</w:t>
      </w:r>
      <w:r w:rsidR="00D10881" w:rsidRPr="00311DFC">
        <w:rPr>
          <w:rFonts w:ascii="Times New Roman" w:hAnsi="Times New Roman"/>
          <w:sz w:val="24"/>
          <w:szCs w:val="24"/>
        </w:rPr>
        <w:t xml:space="preserve"> Scale bar=100</w:t>
      </w:r>
      <w:r w:rsidR="00D10881" w:rsidRPr="00311DFC">
        <w:rPr>
          <w:rFonts w:ascii="Times New Roman" w:hAnsi="Times New Roman"/>
          <w:kern w:val="0"/>
          <w:sz w:val="24"/>
          <w:szCs w:val="24"/>
        </w:rPr>
        <w:t>µ</w:t>
      </w:r>
      <w:r w:rsidR="00D10881" w:rsidRPr="00311DFC">
        <w:rPr>
          <w:rFonts w:ascii="Times New Roman" w:hAnsi="Times New Roman"/>
          <w:sz w:val="24"/>
          <w:szCs w:val="24"/>
        </w:rPr>
        <w:t>m.</w:t>
      </w:r>
    </w:p>
    <w:p w:rsidR="00F51559" w:rsidRPr="00311DFC" w:rsidRDefault="00F51559" w:rsidP="00F51559">
      <w:pPr>
        <w:autoSpaceDE w:val="0"/>
        <w:autoSpaceDN w:val="0"/>
        <w:adjustRightInd w:val="0"/>
        <w:spacing w:line="360" w:lineRule="auto"/>
        <w:ind w:firstLineChars="50" w:firstLine="120"/>
        <w:jc w:val="left"/>
        <w:rPr>
          <w:rFonts w:ascii="Times New Roman" w:eastAsia="AdvGulliv-R" w:hAnsi="Times New Roman"/>
          <w:kern w:val="0"/>
          <w:sz w:val="24"/>
          <w:szCs w:val="24"/>
          <w:u w:val="single"/>
        </w:rPr>
      </w:pPr>
    </w:p>
    <w:p w:rsidR="00F51559" w:rsidRPr="00311DFC" w:rsidRDefault="00F51559" w:rsidP="00F51559">
      <w:pPr>
        <w:autoSpaceDE w:val="0"/>
        <w:autoSpaceDN w:val="0"/>
        <w:adjustRightInd w:val="0"/>
        <w:spacing w:line="360" w:lineRule="auto"/>
        <w:ind w:firstLineChars="50" w:firstLine="120"/>
        <w:jc w:val="left"/>
        <w:rPr>
          <w:rFonts w:ascii="Times New Roman" w:eastAsia="AdvGulliv-R" w:hAnsi="Times New Roman"/>
          <w:kern w:val="0"/>
          <w:sz w:val="24"/>
          <w:szCs w:val="24"/>
          <w:u w:val="single"/>
        </w:rPr>
      </w:pPr>
    </w:p>
    <w:p w:rsidR="00F51559" w:rsidRPr="00311DFC" w:rsidRDefault="00F51559" w:rsidP="00F51559">
      <w:pPr>
        <w:autoSpaceDE w:val="0"/>
        <w:autoSpaceDN w:val="0"/>
        <w:adjustRightInd w:val="0"/>
        <w:spacing w:line="360" w:lineRule="auto"/>
        <w:ind w:firstLineChars="50" w:firstLine="120"/>
        <w:jc w:val="left"/>
        <w:rPr>
          <w:rFonts w:ascii="Times New Roman" w:eastAsia="AdvGulliv-R" w:hAnsi="Times New Roman"/>
          <w:kern w:val="0"/>
          <w:sz w:val="24"/>
          <w:szCs w:val="24"/>
          <w:u w:val="single"/>
        </w:rPr>
      </w:pPr>
    </w:p>
    <w:p w:rsidR="00F51559" w:rsidRDefault="00F51559" w:rsidP="00F51559">
      <w:pPr>
        <w:autoSpaceDE w:val="0"/>
        <w:autoSpaceDN w:val="0"/>
        <w:adjustRightInd w:val="0"/>
        <w:spacing w:line="360" w:lineRule="auto"/>
        <w:jc w:val="left"/>
        <w:rPr>
          <w:rFonts w:ascii="Times New Roman" w:eastAsia="AdvGulliv-R" w:hAnsi="Times New Roman"/>
          <w:kern w:val="0"/>
          <w:sz w:val="24"/>
          <w:szCs w:val="24"/>
          <w:u w:val="single"/>
        </w:rPr>
      </w:pPr>
    </w:p>
    <w:p w:rsidR="008D6A55" w:rsidRDefault="008D6A55" w:rsidP="00F51559">
      <w:pPr>
        <w:autoSpaceDE w:val="0"/>
        <w:autoSpaceDN w:val="0"/>
        <w:adjustRightInd w:val="0"/>
        <w:spacing w:line="360" w:lineRule="auto"/>
        <w:jc w:val="left"/>
        <w:rPr>
          <w:rFonts w:ascii="Times New Roman" w:eastAsia="AdvGulliv-R" w:hAnsi="Times New Roman"/>
          <w:kern w:val="0"/>
          <w:sz w:val="24"/>
          <w:szCs w:val="24"/>
          <w:u w:val="single"/>
        </w:rPr>
      </w:pPr>
    </w:p>
    <w:p w:rsidR="008D6A55" w:rsidRDefault="008D6A55" w:rsidP="00F51559">
      <w:pPr>
        <w:autoSpaceDE w:val="0"/>
        <w:autoSpaceDN w:val="0"/>
        <w:adjustRightInd w:val="0"/>
        <w:spacing w:line="360" w:lineRule="auto"/>
        <w:jc w:val="left"/>
        <w:rPr>
          <w:rFonts w:ascii="Times New Roman" w:eastAsia="AdvGulliv-R" w:hAnsi="Times New Roman"/>
          <w:kern w:val="0"/>
          <w:sz w:val="24"/>
          <w:szCs w:val="24"/>
          <w:u w:val="single"/>
        </w:rPr>
      </w:pPr>
    </w:p>
    <w:p w:rsidR="008D6A55" w:rsidRDefault="008D6A55" w:rsidP="00F51559">
      <w:pPr>
        <w:autoSpaceDE w:val="0"/>
        <w:autoSpaceDN w:val="0"/>
        <w:adjustRightInd w:val="0"/>
        <w:spacing w:line="360" w:lineRule="auto"/>
        <w:jc w:val="left"/>
        <w:rPr>
          <w:rFonts w:ascii="Times New Roman" w:eastAsia="AdvGulliv-R" w:hAnsi="Times New Roman"/>
          <w:kern w:val="0"/>
          <w:sz w:val="24"/>
          <w:szCs w:val="24"/>
          <w:u w:val="single"/>
        </w:rPr>
      </w:pPr>
    </w:p>
    <w:p w:rsidR="00F51559" w:rsidRPr="00F17018" w:rsidRDefault="00F51559" w:rsidP="00F51559">
      <w:pPr>
        <w:autoSpaceDE w:val="0"/>
        <w:autoSpaceDN w:val="0"/>
        <w:adjustRightInd w:val="0"/>
        <w:spacing w:line="360" w:lineRule="auto"/>
        <w:jc w:val="left"/>
        <w:rPr>
          <w:rFonts w:ascii="Times New Roman" w:eastAsia="AdvGulliv-R" w:hAnsi="Times New Roman"/>
          <w:b/>
          <w:kern w:val="0"/>
          <w:sz w:val="27"/>
          <w:szCs w:val="27"/>
          <w:u w:val="single"/>
        </w:rPr>
      </w:pPr>
      <w:r w:rsidRPr="00F17018">
        <w:rPr>
          <w:rFonts w:ascii="Times New Roman" w:eastAsia="MS PGothic" w:hAnsi="Times New Roman"/>
          <w:b/>
          <w:color w:val="000000"/>
          <w:kern w:val="0"/>
          <w:sz w:val="27"/>
          <w:szCs w:val="27"/>
        </w:rPr>
        <w:lastRenderedPageBreak/>
        <w:t xml:space="preserve">Table </w:t>
      </w:r>
      <w:r w:rsidR="00311DFC" w:rsidRPr="00F17018">
        <w:rPr>
          <w:rFonts w:ascii="Times New Roman" w:eastAsia="MS PGothic" w:hAnsi="Times New Roman"/>
          <w:b/>
          <w:color w:val="000000"/>
          <w:kern w:val="0"/>
          <w:sz w:val="27"/>
          <w:szCs w:val="27"/>
        </w:rPr>
        <w:t>S</w:t>
      </w:r>
      <w:r w:rsidRPr="00F17018">
        <w:rPr>
          <w:rFonts w:ascii="Times New Roman" w:eastAsia="MS PGothic" w:hAnsi="Times New Roman"/>
          <w:b/>
          <w:color w:val="000000"/>
          <w:kern w:val="0"/>
          <w:sz w:val="27"/>
          <w:szCs w:val="27"/>
        </w:rPr>
        <w:t xml:space="preserve">1. Primers and </w:t>
      </w:r>
      <w:r w:rsidR="009859A9">
        <w:rPr>
          <w:rFonts w:ascii="Times New Roman" w:eastAsia="MS PGothic" w:hAnsi="Times New Roman" w:hint="eastAsia"/>
          <w:b/>
          <w:color w:val="000000"/>
          <w:kern w:val="0"/>
          <w:sz w:val="27"/>
          <w:szCs w:val="27"/>
        </w:rPr>
        <w:t>p</w:t>
      </w:r>
      <w:r w:rsidRPr="00F17018">
        <w:rPr>
          <w:rFonts w:ascii="Times New Roman" w:eastAsia="MS PGothic" w:hAnsi="Times New Roman"/>
          <w:b/>
          <w:color w:val="000000"/>
          <w:kern w:val="0"/>
          <w:sz w:val="27"/>
          <w:szCs w:val="27"/>
        </w:rPr>
        <w:t xml:space="preserve">robes </w:t>
      </w:r>
      <w:r w:rsidR="009859A9">
        <w:rPr>
          <w:rFonts w:ascii="Times New Roman" w:eastAsia="MS PGothic" w:hAnsi="Times New Roman"/>
          <w:b/>
          <w:color w:val="000000"/>
          <w:kern w:val="0"/>
          <w:sz w:val="27"/>
          <w:szCs w:val="27"/>
        </w:rPr>
        <w:t>u</w:t>
      </w:r>
      <w:r w:rsidRPr="00F17018">
        <w:rPr>
          <w:rFonts w:ascii="Times New Roman" w:eastAsia="MS PGothic" w:hAnsi="Times New Roman"/>
          <w:b/>
          <w:color w:val="000000"/>
          <w:kern w:val="0"/>
          <w:sz w:val="27"/>
          <w:szCs w:val="27"/>
        </w:rPr>
        <w:t xml:space="preserve">sed for </w:t>
      </w:r>
      <w:r w:rsidR="009859A9">
        <w:rPr>
          <w:rFonts w:ascii="Times New Roman" w:eastAsia="MS PGothic" w:hAnsi="Times New Roman"/>
          <w:b/>
          <w:color w:val="000000"/>
          <w:kern w:val="0"/>
          <w:sz w:val="27"/>
          <w:szCs w:val="27"/>
        </w:rPr>
        <w:t>r</w:t>
      </w:r>
      <w:r w:rsidRPr="00F17018">
        <w:rPr>
          <w:rFonts w:ascii="Times New Roman" w:eastAsia="MS PGothic" w:hAnsi="Times New Roman"/>
          <w:b/>
          <w:color w:val="000000"/>
          <w:kern w:val="0"/>
          <w:sz w:val="27"/>
          <w:szCs w:val="27"/>
        </w:rPr>
        <w:t>eal-</w:t>
      </w:r>
      <w:r w:rsidR="009859A9">
        <w:rPr>
          <w:rFonts w:ascii="Times New Roman" w:eastAsia="MS PGothic" w:hAnsi="Times New Roman"/>
          <w:b/>
          <w:color w:val="000000"/>
          <w:kern w:val="0"/>
          <w:sz w:val="27"/>
          <w:szCs w:val="27"/>
        </w:rPr>
        <w:t>t</w:t>
      </w:r>
      <w:r w:rsidRPr="00F17018">
        <w:rPr>
          <w:rFonts w:ascii="Times New Roman" w:eastAsia="MS PGothic" w:hAnsi="Times New Roman"/>
          <w:b/>
          <w:color w:val="000000"/>
          <w:kern w:val="0"/>
          <w:sz w:val="27"/>
          <w:szCs w:val="27"/>
        </w:rPr>
        <w:t>ime PCR</w:t>
      </w:r>
    </w:p>
    <w:tbl>
      <w:tblPr>
        <w:tblW w:w="5000" w:type="pct"/>
        <w:tblCellMar>
          <w:left w:w="99" w:type="dxa"/>
          <w:right w:w="99" w:type="dxa"/>
        </w:tblCellMar>
        <w:tblLook w:val="04A0"/>
      </w:tblPr>
      <w:tblGrid>
        <w:gridCol w:w="746"/>
        <w:gridCol w:w="1932"/>
        <w:gridCol w:w="6024"/>
      </w:tblGrid>
      <w:tr w:rsidR="00F51559" w:rsidRPr="00311DFC" w:rsidTr="00F576DD">
        <w:trPr>
          <w:trHeight w:val="53"/>
        </w:trPr>
        <w:tc>
          <w:tcPr>
            <w:tcW w:w="429" w:type="pct"/>
            <w:tcBorders>
              <w:top w:val="single" w:sz="4" w:space="0" w:color="auto"/>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proofErr w:type="spellStart"/>
            <w:r w:rsidRPr="00311DFC">
              <w:rPr>
                <w:rFonts w:ascii="Times New Roman" w:eastAsia="MS PGothic" w:hAnsi="Times New Roman"/>
                <w:color w:val="000000"/>
                <w:kern w:val="0"/>
                <w:sz w:val="24"/>
                <w:szCs w:val="24"/>
              </w:rPr>
              <w:t>Oligo</w:t>
            </w:r>
            <w:proofErr w:type="spellEnd"/>
          </w:p>
        </w:tc>
        <w:tc>
          <w:tcPr>
            <w:tcW w:w="4571" w:type="pct"/>
            <w:gridSpan w:val="2"/>
            <w:tcBorders>
              <w:top w:val="single" w:sz="4" w:space="0" w:color="auto"/>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center"/>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Sequence</w:t>
            </w:r>
          </w:p>
        </w:tc>
      </w:tr>
      <w:tr w:rsidR="00F51559" w:rsidRPr="00311DFC" w:rsidTr="00F51559">
        <w:trPr>
          <w:trHeight w:val="315"/>
        </w:trPr>
        <w:tc>
          <w:tcPr>
            <w:tcW w:w="1539" w:type="pct"/>
            <w:gridSpan w:val="2"/>
            <w:tcBorders>
              <w:top w:val="single" w:sz="4" w:space="0" w:color="auto"/>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IL-6</w:t>
            </w:r>
          </w:p>
        </w:tc>
        <w:tc>
          <w:tcPr>
            <w:tcW w:w="3461" w:type="pct"/>
            <w:tcBorders>
              <w:top w:val="single" w:sz="4" w:space="0" w:color="auto"/>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Forward</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5´-TTACACATGTTCTCTGGGAAATCG-3´</w:t>
            </w: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Reverse</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5´-TTGGTAGCATCCATCATTTCTTTG-3´</w:t>
            </w: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Probe </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5´-TGAGAAAAGAGTTGTGCAATGGCAATTCTGAT-3´ </w:t>
            </w:r>
          </w:p>
        </w:tc>
      </w:tr>
      <w:tr w:rsidR="00F51559" w:rsidRPr="00311DFC" w:rsidTr="00F51559">
        <w:trPr>
          <w:trHeight w:val="315"/>
        </w:trPr>
        <w:tc>
          <w:tcPr>
            <w:tcW w:w="1539" w:type="pct"/>
            <w:gridSpan w:val="2"/>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IL-1β</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Forward</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5´-TGCACTACAGGCTCCGAGATG-3´</w:t>
            </w: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Reverse</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5´-GTACAAAGCTCATGGAGAATATCACTTG-3´</w:t>
            </w: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Probe </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5´-TGTCGGACCCATATGAGCTGAAAGCTCTC-3´</w:t>
            </w:r>
          </w:p>
        </w:tc>
      </w:tr>
      <w:tr w:rsidR="00F51559" w:rsidRPr="00311DFC" w:rsidTr="00F51559">
        <w:trPr>
          <w:trHeight w:val="315"/>
        </w:trPr>
        <w:tc>
          <w:tcPr>
            <w:tcW w:w="1539" w:type="pct"/>
            <w:gridSpan w:val="2"/>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TNF-α</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Forward</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5´-CCCAGACCCTCACACTCAGATC-3´</w:t>
            </w: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Reverse</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5´-TGCTCCTCCACTTGGTGGTT-3´</w:t>
            </w: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Probe </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5´-ATTCGAGTGACAAGCCTGTAGCCCACG-3´</w:t>
            </w:r>
          </w:p>
        </w:tc>
      </w:tr>
      <w:tr w:rsidR="00F51559" w:rsidRPr="00311DFC" w:rsidTr="00F51559">
        <w:trPr>
          <w:trHeight w:val="315"/>
        </w:trPr>
        <w:tc>
          <w:tcPr>
            <w:tcW w:w="1539" w:type="pct"/>
            <w:gridSpan w:val="2"/>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231F20"/>
                <w:kern w:val="0"/>
                <w:sz w:val="24"/>
                <w:szCs w:val="24"/>
              </w:rPr>
            </w:pPr>
            <w:r w:rsidRPr="00311DFC">
              <w:rPr>
                <w:rFonts w:ascii="Times New Roman" w:eastAsia="MS PGothic" w:hAnsi="Times New Roman"/>
                <w:color w:val="231F20"/>
                <w:kern w:val="0"/>
                <w:sz w:val="24"/>
                <w:szCs w:val="24"/>
              </w:rPr>
              <w:t xml:space="preserve">IFN-γ </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Forward</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5´-CATTCATGAGTATTGCCAAGTTTGAC-3´</w:t>
            </w:r>
          </w:p>
        </w:tc>
      </w:tr>
      <w:tr w:rsidR="00F51559" w:rsidRPr="00311DFC" w:rsidTr="00F51559">
        <w:trPr>
          <w:trHeight w:val="315"/>
        </w:trPr>
        <w:tc>
          <w:tcPr>
            <w:tcW w:w="429"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Reverse</w:t>
            </w:r>
          </w:p>
        </w:tc>
        <w:tc>
          <w:tcPr>
            <w:tcW w:w="3461" w:type="pct"/>
            <w:tcBorders>
              <w:top w:val="nil"/>
              <w:left w:val="nil"/>
              <w:bottom w:val="nil"/>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5´-GCTTCCTGAGGCTGGATTCC-3´</w:t>
            </w:r>
          </w:p>
        </w:tc>
      </w:tr>
      <w:tr w:rsidR="00F51559" w:rsidRPr="00311DFC" w:rsidTr="00F51559">
        <w:trPr>
          <w:trHeight w:val="315"/>
        </w:trPr>
        <w:tc>
          <w:tcPr>
            <w:tcW w:w="429" w:type="pct"/>
            <w:tcBorders>
              <w:top w:val="nil"/>
              <w:left w:val="nil"/>
              <w:bottom w:val="single" w:sz="4" w:space="0" w:color="auto"/>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　</w:t>
            </w:r>
          </w:p>
        </w:tc>
        <w:tc>
          <w:tcPr>
            <w:tcW w:w="1110" w:type="pct"/>
            <w:tcBorders>
              <w:top w:val="nil"/>
              <w:left w:val="nil"/>
              <w:bottom w:val="single" w:sz="4" w:space="0" w:color="auto"/>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 xml:space="preserve">Probe </w:t>
            </w:r>
          </w:p>
        </w:tc>
        <w:tc>
          <w:tcPr>
            <w:tcW w:w="3461" w:type="pct"/>
            <w:tcBorders>
              <w:top w:val="nil"/>
              <w:left w:val="nil"/>
              <w:bottom w:val="single" w:sz="4" w:space="0" w:color="auto"/>
              <w:right w:val="nil"/>
            </w:tcBorders>
            <w:shd w:val="clear" w:color="000000" w:fill="FFFFFF"/>
            <w:noWrap/>
            <w:vAlign w:val="center"/>
            <w:hideMark/>
          </w:tcPr>
          <w:p w:rsidR="00F51559" w:rsidRPr="00311DFC" w:rsidRDefault="00F51559" w:rsidP="00F576DD">
            <w:pPr>
              <w:widowControl/>
              <w:snapToGrid w:val="0"/>
              <w:spacing w:line="240" w:lineRule="atLeast"/>
              <w:jc w:val="left"/>
              <w:rPr>
                <w:rFonts w:ascii="Times New Roman" w:eastAsia="MS PGothic" w:hAnsi="Times New Roman"/>
                <w:color w:val="000000"/>
                <w:kern w:val="0"/>
                <w:sz w:val="24"/>
                <w:szCs w:val="24"/>
              </w:rPr>
            </w:pPr>
            <w:r w:rsidRPr="00311DFC">
              <w:rPr>
                <w:rFonts w:ascii="Times New Roman" w:eastAsia="MS PGothic" w:hAnsi="Times New Roman"/>
                <w:color w:val="000000"/>
                <w:kern w:val="0"/>
                <w:sz w:val="24"/>
                <w:szCs w:val="24"/>
              </w:rPr>
              <w:t>5´-CCACAGGTCCAGCGCCAAGCATT-3´</w:t>
            </w:r>
          </w:p>
        </w:tc>
      </w:tr>
    </w:tbl>
    <w:p w:rsidR="00F51559" w:rsidRPr="00311DFC" w:rsidRDefault="00F51559">
      <w:pPr>
        <w:rPr>
          <w:rFonts w:ascii="Times New Roman" w:hAnsi="Times New Roman"/>
        </w:rPr>
      </w:pPr>
    </w:p>
    <w:sectPr w:rsidR="00F51559" w:rsidRPr="00311DFC" w:rsidSect="00AB409D">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D61" w:rsidRDefault="00B32D61" w:rsidP="00DD3002">
      <w:r>
        <w:separator/>
      </w:r>
    </w:p>
  </w:endnote>
  <w:endnote w:type="continuationSeparator" w:id="0">
    <w:p w:rsidR="00B32D61" w:rsidRDefault="00B32D61" w:rsidP="00DD3002">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平成明朝">
    <w:altName w:val="MS Mincho"/>
    <w:panose1 w:val="00000000000000000000"/>
    <w:charset w:val="80"/>
    <w:family w:val="roman"/>
    <w:notTrueType/>
    <w:pitch w:val="fixed"/>
    <w:sig w:usb0="00000000" w:usb1="08070000" w:usb2="00000010" w:usb3="00000000" w:csb0="00020000" w:csb1="00000000"/>
  </w:font>
  <w:font w:name="MinionPro-Regular">
    <w:altName w:val="MS Mincho"/>
    <w:panose1 w:val="00000000000000000000"/>
    <w:charset w:val="80"/>
    <w:family w:val="auto"/>
    <w:notTrueType/>
    <w:pitch w:val="default"/>
    <w:sig w:usb0="00000000" w:usb1="08070000" w:usb2="00000010" w:usb3="00000000" w:csb0="00020000" w:csb1="00000000"/>
  </w:font>
  <w:font w:name="AdvGulliv-R">
    <w:altName w:val="MS Mincho"/>
    <w:panose1 w:val="00000000000000000000"/>
    <w:charset w:val="86"/>
    <w:family w:val="auto"/>
    <w:notTrueType/>
    <w:pitch w:val="default"/>
    <w:sig w:usb0="00000001" w:usb1="080F0000" w:usb2="00000010" w:usb3="00000000" w:csb0="0006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392362"/>
      <w:docPartObj>
        <w:docPartGallery w:val="Page Numbers (Bottom of Page)"/>
        <w:docPartUnique/>
      </w:docPartObj>
    </w:sdtPr>
    <w:sdtContent>
      <w:p w:rsidR="006B5852" w:rsidRDefault="005C5C7E">
        <w:pPr>
          <w:pStyle w:val="Footer"/>
          <w:jc w:val="center"/>
        </w:pPr>
        <w:r>
          <w:fldChar w:fldCharType="begin"/>
        </w:r>
        <w:r w:rsidR="006B5852">
          <w:instrText>PAGE   \* MERGEFORMAT</w:instrText>
        </w:r>
        <w:r>
          <w:fldChar w:fldCharType="separate"/>
        </w:r>
        <w:r w:rsidR="00DF2393" w:rsidRPr="00DF2393">
          <w:rPr>
            <w:noProof/>
            <w:lang w:val="ja-JP"/>
          </w:rPr>
          <w:t>5</w:t>
        </w:r>
        <w:r>
          <w:fldChar w:fldCharType="end"/>
        </w:r>
      </w:p>
    </w:sdtContent>
  </w:sdt>
  <w:p w:rsidR="006B5852" w:rsidRDefault="006B58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D61" w:rsidRDefault="00B32D61" w:rsidP="00DD3002">
      <w:r>
        <w:separator/>
      </w:r>
    </w:p>
  </w:footnote>
  <w:footnote w:type="continuationSeparator" w:id="0">
    <w:p w:rsidR="00B32D61" w:rsidRDefault="00B32D61" w:rsidP="00DD30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hideSpellingErrors/>
  <w:hideGrammaticalErrors/>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EN.InstantFormat" w:val="&lt;ENInstantFormat&gt;&lt;Enabled&gt;1&lt;/Enabled&gt;&lt;ScanUnformatted&gt;1&lt;/ScanUnformatted&gt;&lt;ScanChanges&gt;1&lt;/ScanChanges&gt;&lt;Suspended&gt;0&lt;/Suspended&gt;&lt;/ENInstantFormat&gt;"/>
    <w:docVar w:name="EN.Layout" w:val="&lt;ENLayout&gt;&lt;Style&gt;Respiratory Research&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2C4F26"/>
    <w:rsid w:val="00033516"/>
    <w:rsid w:val="0004750E"/>
    <w:rsid w:val="00074618"/>
    <w:rsid w:val="000B24A8"/>
    <w:rsid w:val="000D7F75"/>
    <w:rsid w:val="0013777A"/>
    <w:rsid w:val="00195B22"/>
    <w:rsid w:val="001D5C3E"/>
    <w:rsid w:val="001F0032"/>
    <w:rsid w:val="00231F52"/>
    <w:rsid w:val="00261F07"/>
    <w:rsid w:val="002A065E"/>
    <w:rsid w:val="002C4F26"/>
    <w:rsid w:val="00311DFC"/>
    <w:rsid w:val="00362BA6"/>
    <w:rsid w:val="003953D1"/>
    <w:rsid w:val="003B62A2"/>
    <w:rsid w:val="003D14BB"/>
    <w:rsid w:val="003D2D9C"/>
    <w:rsid w:val="004577A2"/>
    <w:rsid w:val="00472C5A"/>
    <w:rsid w:val="00472DB1"/>
    <w:rsid w:val="00522FA4"/>
    <w:rsid w:val="00533784"/>
    <w:rsid w:val="005C5C7E"/>
    <w:rsid w:val="005F4E4C"/>
    <w:rsid w:val="006074E6"/>
    <w:rsid w:val="00621030"/>
    <w:rsid w:val="006378C1"/>
    <w:rsid w:val="00676B5C"/>
    <w:rsid w:val="006822BB"/>
    <w:rsid w:val="006B5852"/>
    <w:rsid w:val="006C369C"/>
    <w:rsid w:val="00825C73"/>
    <w:rsid w:val="0082635E"/>
    <w:rsid w:val="008B6289"/>
    <w:rsid w:val="008D6A55"/>
    <w:rsid w:val="0094406E"/>
    <w:rsid w:val="00954915"/>
    <w:rsid w:val="009859A9"/>
    <w:rsid w:val="009C119B"/>
    <w:rsid w:val="00A1593E"/>
    <w:rsid w:val="00A76DE4"/>
    <w:rsid w:val="00B209A0"/>
    <w:rsid w:val="00B32D61"/>
    <w:rsid w:val="00B7179D"/>
    <w:rsid w:val="00B7611C"/>
    <w:rsid w:val="00B86D51"/>
    <w:rsid w:val="00BA25F3"/>
    <w:rsid w:val="00BB7C49"/>
    <w:rsid w:val="00C02D59"/>
    <w:rsid w:val="00C73C48"/>
    <w:rsid w:val="00CB69ED"/>
    <w:rsid w:val="00CC0459"/>
    <w:rsid w:val="00D10881"/>
    <w:rsid w:val="00D532AF"/>
    <w:rsid w:val="00DA411D"/>
    <w:rsid w:val="00DB0596"/>
    <w:rsid w:val="00DB2A48"/>
    <w:rsid w:val="00DD3002"/>
    <w:rsid w:val="00DF2393"/>
    <w:rsid w:val="00EB6A3C"/>
    <w:rsid w:val="00EC0193"/>
    <w:rsid w:val="00EC1580"/>
    <w:rsid w:val="00F17018"/>
    <w:rsid w:val="00F47E0B"/>
    <w:rsid w:val="00F5155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F26"/>
    <w:pPr>
      <w:widowControl w:val="0"/>
      <w:jc w:val="both"/>
    </w:pPr>
    <w:rPr>
      <w:rFonts w:ascii="Century" w:eastAsia="MS Mincho" w:hAnsi="Century"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0"/>
    <w:rsid w:val="002C4F26"/>
    <w:pPr>
      <w:jc w:val="center"/>
    </w:pPr>
    <w:rPr>
      <w:noProof/>
      <w:sz w:val="20"/>
    </w:rPr>
  </w:style>
  <w:style w:type="character" w:customStyle="1" w:styleId="EndNoteBibliographyTitle0">
    <w:name w:val="EndNote Bibliography Title (文字)"/>
    <w:basedOn w:val="DefaultParagraphFont"/>
    <w:link w:val="EndNoteBibliographyTitle"/>
    <w:rsid w:val="002C4F26"/>
    <w:rPr>
      <w:rFonts w:ascii="Century" w:eastAsia="MS Mincho" w:hAnsi="Century" w:cs="Times New Roman"/>
      <w:noProof/>
      <w:sz w:val="20"/>
    </w:rPr>
  </w:style>
  <w:style w:type="paragraph" w:customStyle="1" w:styleId="EndNoteBibliography">
    <w:name w:val="EndNote Bibliography"/>
    <w:basedOn w:val="Normal"/>
    <w:link w:val="EndNoteBibliography0"/>
    <w:rsid w:val="002C4F26"/>
    <w:rPr>
      <w:noProof/>
      <w:sz w:val="20"/>
    </w:rPr>
  </w:style>
  <w:style w:type="character" w:customStyle="1" w:styleId="EndNoteBibliography0">
    <w:name w:val="EndNote Bibliography (文字)"/>
    <w:basedOn w:val="DefaultParagraphFont"/>
    <w:link w:val="EndNoteBibliography"/>
    <w:rsid w:val="002C4F26"/>
    <w:rPr>
      <w:rFonts w:ascii="Century" w:eastAsia="MS Mincho" w:hAnsi="Century" w:cs="Times New Roman"/>
      <w:noProof/>
      <w:sz w:val="20"/>
    </w:rPr>
  </w:style>
  <w:style w:type="paragraph" w:styleId="Header">
    <w:name w:val="header"/>
    <w:basedOn w:val="Normal"/>
    <w:link w:val="HeaderChar"/>
    <w:uiPriority w:val="99"/>
    <w:unhideWhenUsed/>
    <w:rsid w:val="00DD3002"/>
    <w:pPr>
      <w:tabs>
        <w:tab w:val="center" w:pos="4252"/>
        <w:tab w:val="right" w:pos="8504"/>
      </w:tabs>
      <w:snapToGrid w:val="0"/>
    </w:pPr>
  </w:style>
  <w:style w:type="character" w:customStyle="1" w:styleId="HeaderChar">
    <w:name w:val="Header Char"/>
    <w:basedOn w:val="DefaultParagraphFont"/>
    <w:link w:val="Header"/>
    <w:uiPriority w:val="99"/>
    <w:rsid w:val="00DD3002"/>
    <w:rPr>
      <w:rFonts w:ascii="Century" w:eastAsia="MS Mincho" w:hAnsi="Century" w:cs="Times New Roman"/>
    </w:rPr>
  </w:style>
  <w:style w:type="paragraph" w:styleId="Footer">
    <w:name w:val="footer"/>
    <w:basedOn w:val="Normal"/>
    <w:link w:val="FooterChar"/>
    <w:uiPriority w:val="99"/>
    <w:unhideWhenUsed/>
    <w:rsid w:val="00DD3002"/>
    <w:pPr>
      <w:tabs>
        <w:tab w:val="center" w:pos="4252"/>
        <w:tab w:val="right" w:pos="8504"/>
      </w:tabs>
      <w:snapToGrid w:val="0"/>
    </w:pPr>
  </w:style>
  <w:style w:type="character" w:customStyle="1" w:styleId="FooterChar">
    <w:name w:val="Footer Char"/>
    <w:basedOn w:val="DefaultParagraphFont"/>
    <w:link w:val="Footer"/>
    <w:uiPriority w:val="99"/>
    <w:rsid w:val="00DD3002"/>
    <w:rPr>
      <w:rFonts w:ascii="Century" w:eastAsia="MS Mincho" w:hAnsi="Century" w:cs="Times New Roman"/>
    </w:rPr>
  </w:style>
  <w:style w:type="paragraph" w:styleId="BalloonText">
    <w:name w:val="Balloon Text"/>
    <w:basedOn w:val="Normal"/>
    <w:link w:val="BalloonTextChar"/>
    <w:uiPriority w:val="99"/>
    <w:semiHidden/>
    <w:unhideWhenUsed/>
    <w:rsid w:val="0007461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74618"/>
    <w:rPr>
      <w:rFonts w:asciiTheme="majorHAnsi" w:eastAsiaTheme="majorEastAsia" w:hAnsiTheme="majorHAnsi" w:cstheme="majorBidi"/>
      <w:sz w:val="18"/>
      <w:szCs w:val="18"/>
    </w:rPr>
  </w:style>
  <w:style w:type="paragraph" w:styleId="BodyText">
    <w:name w:val="Body Text"/>
    <w:basedOn w:val="Normal"/>
    <w:link w:val="BodyTextChar"/>
    <w:semiHidden/>
    <w:unhideWhenUsed/>
    <w:rsid w:val="005F4E4C"/>
    <w:rPr>
      <w:rFonts w:ascii="Times New Roman" w:eastAsia="平成明朝" w:hAnsi="Times New Roman"/>
      <w:b/>
      <w:sz w:val="28"/>
      <w:szCs w:val="20"/>
    </w:rPr>
  </w:style>
  <w:style w:type="character" w:customStyle="1" w:styleId="BodyTextChar">
    <w:name w:val="Body Text Char"/>
    <w:basedOn w:val="DefaultParagraphFont"/>
    <w:link w:val="BodyText"/>
    <w:semiHidden/>
    <w:rsid w:val="005F4E4C"/>
    <w:rPr>
      <w:rFonts w:ascii="Times New Roman" w:eastAsia="平成明朝" w:hAnsi="Times New Roman" w:cs="Times New Roman"/>
      <w:b/>
      <w:sz w:val="28"/>
      <w:szCs w:val="20"/>
    </w:rPr>
  </w:style>
</w:styles>
</file>

<file path=word/webSettings.xml><?xml version="1.0" encoding="utf-8"?>
<w:webSettings xmlns:r="http://schemas.openxmlformats.org/officeDocument/2006/relationships" xmlns:w="http://schemas.openxmlformats.org/wordprocessingml/2006/main">
  <w:divs>
    <w:div w:id="602542572">
      <w:bodyDiv w:val="1"/>
      <w:marLeft w:val="0"/>
      <w:marRight w:val="0"/>
      <w:marTop w:val="0"/>
      <w:marBottom w:val="0"/>
      <w:divBdr>
        <w:top w:val="none" w:sz="0" w:space="0" w:color="auto"/>
        <w:left w:val="none" w:sz="0" w:space="0" w:color="auto"/>
        <w:bottom w:val="none" w:sz="0" w:space="0" w:color="auto"/>
        <w:right w:val="none" w:sz="0" w:space="0" w:color="auto"/>
      </w:divBdr>
    </w:div>
    <w:div w:id="72452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0E566-05EB-41A9-86A5-CBB51DE1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2141</Words>
  <Characters>12208</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wdesales</cp:lastModifiedBy>
  <cp:revision>12</cp:revision>
  <cp:lastPrinted>2014-02-10T07:04:00Z</cp:lastPrinted>
  <dcterms:created xsi:type="dcterms:W3CDTF">2014-08-02T02:40:00Z</dcterms:created>
  <dcterms:modified xsi:type="dcterms:W3CDTF">2014-08-04T03:39:00Z</dcterms:modified>
</cp:coreProperties>
</file>