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6B9" w:rsidRPr="00A95D30" w:rsidRDefault="00F256B9" w:rsidP="00F256B9">
      <w:pPr>
        <w:pStyle w:val="NormalWeb"/>
        <w:spacing w:line="48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A95D30">
        <w:rPr>
          <w:rFonts w:ascii="Times New Roman" w:hAnsi="Times New Roman"/>
          <w:b/>
          <w:iCs/>
          <w:sz w:val="24"/>
          <w:szCs w:val="24"/>
        </w:rPr>
        <w:t>Additional File 1: Online supplement</w:t>
      </w:r>
    </w:p>
    <w:p w:rsidR="00F256B9" w:rsidRPr="00A95D30" w:rsidRDefault="00F256B9" w:rsidP="00F256B9">
      <w:pPr>
        <w:pStyle w:val="NormalWeb"/>
        <w:spacing w:line="480" w:lineRule="auto"/>
        <w:rPr>
          <w:rFonts w:ascii="Times New Roman" w:hAnsi="Times New Roman"/>
          <w:b/>
          <w:iCs/>
          <w:sz w:val="24"/>
          <w:szCs w:val="24"/>
        </w:rPr>
      </w:pPr>
      <w:r w:rsidRPr="00A95D30">
        <w:rPr>
          <w:rFonts w:ascii="Times New Roman" w:hAnsi="Times New Roman"/>
          <w:b/>
          <w:iCs/>
          <w:sz w:val="24"/>
          <w:szCs w:val="24"/>
        </w:rPr>
        <w:t xml:space="preserve">TDI </w:t>
      </w:r>
      <w:r w:rsidR="00B22469" w:rsidRPr="00A95D30">
        <w:rPr>
          <w:rFonts w:ascii="Times New Roman" w:hAnsi="Times New Roman"/>
          <w:b/>
          <w:iCs/>
          <w:sz w:val="24"/>
          <w:szCs w:val="24"/>
        </w:rPr>
        <w:t>three dimension scores</w:t>
      </w:r>
    </w:p>
    <w:p w:rsidR="00F256B9" w:rsidRPr="00A95D30" w:rsidRDefault="00F256B9" w:rsidP="00F256B9">
      <w:pPr>
        <w:spacing w:after="120" w:line="480" w:lineRule="auto"/>
        <w:rPr>
          <w:rFonts w:ascii="Times New Roman" w:hAnsi="Times New Roman" w:cs="Times New Roman"/>
          <w:sz w:val="24"/>
          <w:szCs w:val="24"/>
        </w:rPr>
      </w:pPr>
      <w:r w:rsidRPr="00A95D30">
        <w:rPr>
          <w:rFonts w:ascii="Times New Roman" w:hAnsi="Times New Roman" w:cs="Times New Roman"/>
          <w:sz w:val="24"/>
          <w:szCs w:val="24"/>
        </w:rPr>
        <w:t xml:space="preserve">FDC 400/12 µg significantly improved TDI three dimension scores (change in functional impairment, change in magnitude of task and change in magnitude of effort) at </w:t>
      </w:r>
      <w:proofErr w:type="spellStart"/>
      <w:r w:rsidRPr="00A95D30">
        <w:rPr>
          <w:rFonts w:ascii="Times New Roman" w:hAnsi="Times New Roman" w:cs="Times New Roman"/>
          <w:sz w:val="24"/>
          <w:szCs w:val="24"/>
        </w:rPr>
        <w:t>all time</w:t>
      </w:r>
      <w:proofErr w:type="spellEnd"/>
      <w:r w:rsidRPr="00A95D30">
        <w:rPr>
          <w:rFonts w:ascii="Times New Roman" w:hAnsi="Times New Roman" w:cs="Times New Roman"/>
          <w:sz w:val="24"/>
          <w:szCs w:val="24"/>
        </w:rPr>
        <w:t xml:space="preserve"> points compared with placebo (all p&lt;0.001) and formoterol (all p&lt;0.05) and at Weeks 12 and 24 compared with aclidinium (all p&lt;0.05).</w:t>
      </w:r>
    </w:p>
    <w:p w:rsidR="000E5164" w:rsidRPr="00A95D30" w:rsidRDefault="000E5164" w:rsidP="00F256B9">
      <w:pPr>
        <w:spacing w:after="12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95D30">
        <w:rPr>
          <w:rFonts w:ascii="Times New Roman" w:hAnsi="Times New Roman" w:cs="Times New Roman"/>
          <w:b/>
          <w:sz w:val="24"/>
          <w:szCs w:val="24"/>
        </w:rPr>
        <w:t>TDI stratified by GOLD group</w:t>
      </w:r>
    </w:p>
    <w:p w:rsidR="000E5164" w:rsidRPr="00A95D30" w:rsidRDefault="00874D58" w:rsidP="000E516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95D30">
        <w:rPr>
          <w:rFonts w:ascii="Times New Roman" w:hAnsi="Times New Roman" w:cs="Times New Roman"/>
          <w:sz w:val="24"/>
          <w:szCs w:val="24"/>
        </w:rPr>
        <w:t>Sub-a</w:t>
      </w:r>
      <w:r w:rsidR="00BA2712" w:rsidRPr="00A95D30">
        <w:rPr>
          <w:rFonts w:ascii="Times New Roman" w:hAnsi="Times New Roman" w:cs="Times New Roman"/>
          <w:sz w:val="24"/>
          <w:szCs w:val="24"/>
        </w:rPr>
        <w:t xml:space="preserve">nalyses of TDI by GOLD group </w:t>
      </w:r>
      <w:r w:rsidRPr="00A95D30">
        <w:rPr>
          <w:rFonts w:ascii="Times New Roman" w:hAnsi="Times New Roman" w:cs="Times New Roman"/>
          <w:sz w:val="24"/>
          <w:szCs w:val="24"/>
        </w:rPr>
        <w:t>had low</w:t>
      </w:r>
      <w:r w:rsidR="00BA2712" w:rsidRPr="00A95D30">
        <w:rPr>
          <w:rFonts w:ascii="Times New Roman" w:hAnsi="Times New Roman" w:cs="Times New Roman"/>
          <w:sz w:val="24"/>
          <w:szCs w:val="24"/>
        </w:rPr>
        <w:t xml:space="preserve"> statistical power due to </w:t>
      </w:r>
      <w:r w:rsidRPr="00A95D30">
        <w:rPr>
          <w:rFonts w:ascii="Times New Roman" w:hAnsi="Times New Roman" w:cs="Times New Roman"/>
          <w:sz w:val="24"/>
          <w:szCs w:val="24"/>
        </w:rPr>
        <w:t>the reduction in</w:t>
      </w:r>
      <w:r w:rsidR="00BA2712" w:rsidRPr="00A95D30">
        <w:rPr>
          <w:rFonts w:ascii="Times New Roman" w:hAnsi="Times New Roman" w:cs="Times New Roman"/>
          <w:sz w:val="24"/>
          <w:szCs w:val="24"/>
        </w:rPr>
        <w:t xml:space="preserve"> patient numbers</w:t>
      </w:r>
      <w:r w:rsidRPr="00A95D30">
        <w:rPr>
          <w:rFonts w:ascii="Times New Roman" w:hAnsi="Times New Roman" w:cs="Times New Roman"/>
          <w:sz w:val="24"/>
          <w:szCs w:val="24"/>
        </w:rPr>
        <w:t xml:space="preserve"> that is a consequence of stratification; patient numbers</w:t>
      </w:r>
      <w:r w:rsidR="00207B13" w:rsidRPr="00A95D30">
        <w:rPr>
          <w:rFonts w:ascii="Times New Roman" w:hAnsi="Times New Roman" w:cs="Times New Roman"/>
          <w:sz w:val="24"/>
          <w:szCs w:val="24"/>
        </w:rPr>
        <w:t xml:space="preserve"> were particularly low in GOLD g</w:t>
      </w:r>
      <w:r w:rsidRPr="00A95D30">
        <w:rPr>
          <w:rFonts w:ascii="Times New Roman" w:hAnsi="Times New Roman" w:cs="Times New Roman"/>
          <w:sz w:val="24"/>
          <w:szCs w:val="24"/>
        </w:rPr>
        <w:t>roups A and C</w:t>
      </w:r>
      <w:r w:rsidR="00BA2712" w:rsidRPr="00A95D30">
        <w:rPr>
          <w:rFonts w:ascii="Times New Roman" w:hAnsi="Times New Roman" w:cs="Times New Roman"/>
          <w:sz w:val="24"/>
          <w:szCs w:val="24"/>
        </w:rPr>
        <w:t xml:space="preserve"> (number of patients </w:t>
      </w:r>
      <w:r w:rsidR="002B3310" w:rsidRPr="00A95D30">
        <w:rPr>
          <w:rFonts w:ascii="Times New Roman" w:hAnsi="Times New Roman" w:cs="Times New Roman"/>
          <w:sz w:val="24"/>
          <w:szCs w:val="24"/>
        </w:rPr>
        <w:t xml:space="preserve">in the ITT population </w:t>
      </w:r>
      <w:r w:rsidR="00770829" w:rsidRPr="00A95D30">
        <w:rPr>
          <w:rFonts w:ascii="Times New Roman" w:hAnsi="Times New Roman" w:cs="Times New Roman"/>
          <w:sz w:val="24"/>
          <w:szCs w:val="24"/>
        </w:rPr>
        <w:t>who</w:t>
      </w:r>
      <w:r w:rsidR="002B3310" w:rsidRPr="00A95D30">
        <w:rPr>
          <w:rFonts w:ascii="Times New Roman" w:hAnsi="Times New Roman" w:cs="Times New Roman"/>
          <w:sz w:val="24"/>
          <w:szCs w:val="24"/>
        </w:rPr>
        <w:t xml:space="preserve"> had sufficient data for GOLD classification and had T</w:t>
      </w:r>
      <w:r w:rsidR="007647B2" w:rsidRPr="00A95D30">
        <w:rPr>
          <w:rFonts w:ascii="Times New Roman" w:hAnsi="Times New Roman" w:cs="Times New Roman"/>
          <w:sz w:val="24"/>
          <w:szCs w:val="24"/>
        </w:rPr>
        <w:t xml:space="preserve">DI </w:t>
      </w:r>
      <w:r w:rsidR="00BA2712" w:rsidRPr="00A95D30">
        <w:rPr>
          <w:rFonts w:ascii="Times New Roman" w:hAnsi="Times New Roman" w:cs="Times New Roman"/>
          <w:sz w:val="24"/>
          <w:szCs w:val="24"/>
        </w:rPr>
        <w:t xml:space="preserve">data </w:t>
      </w:r>
      <w:r w:rsidR="002B3310" w:rsidRPr="00A95D30">
        <w:rPr>
          <w:rFonts w:ascii="Times New Roman" w:hAnsi="Times New Roman" w:cs="Times New Roman"/>
          <w:sz w:val="24"/>
          <w:szCs w:val="24"/>
        </w:rPr>
        <w:t xml:space="preserve">available </w:t>
      </w:r>
      <w:r w:rsidR="00207B13" w:rsidRPr="00A95D30">
        <w:rPr>
          <w:rFonts w:ascii="Times New Roman" w:hAnsi="Times New Roman" w:cs="Times New Roman"/>
          <w:sz w:val="24"/>
          <w:szCs w:val="24"/>
        </w:rPr>
        <w:t xml:space="preserve">at Week 24: group A: n=252; group B: n=1258; group C: n=89; group D: n=1117). </w:t>
      </w:r>
      <w:r w:rsidR="000E5164" w:rsidRPr="00A95D30">
        <w:rPr>
          <w:rFonts w:ascii="Times New Roman" w:hAnsi="Times New Roman" w:cs="Times New Roman"/>
          <w:sz w:val="24"/>
          <w:szCs w:val="24"/>
        </w:rPr>
        <w:t xml:space="preserve">When </w:t>
      </w:r>
      <w:r w:rsidR="003875C1" w:rsidRPr="00A95D30">
        <w:rPr>
          <w:rFonts w:ascii="Times New Roman" w:hAnsi="Times New Roman" w:cs="Times New Roman"/>
          <w:sz w:val="24"/>
          <w:szCs w:val="24"/>
        </w:rPr>
        <w:t xml:space="preserve">TDI data were </w:t>
      </w:r>
      <w:r w:rsidR="000E5164" w:rsidRPr="00A95D30">
        <w:rPr>
          <w:rFonts w:ascii="Times New Roman" w:hAnsi="Times New Roman" w:cs="Times New Roman"/>
          <w:sz w:val="24"/>
          <w:szCs w:val="24"/>
        </w:rPr>
        <w:t>stratified by GOLD group, FDC 400/12 µg significantly improved TDI focal score compared with placebo in GOLD groups A, B and D, but not group C (Figure S1). FDC 400/12 µg also significantly improved TDI focal score compared with aclidinium monotherapy in GOLD groups A and D (Figure S1).</w:t>
      </w:r>
    </w:p>
    <w:p w:rsidR="00F256B9" w:rsidRPr="00A95D30" w:rsidRDefault="00B22469" w:rsidP="00F256B9">
      <w:pPr>
        <w:pStyle w:val="NormalWeb"/>
        <w:spacing w:line="480" w:lineRule="auto"/>
        <w:rPr>
          <w:rFonts w:ascii="Times New Roman" w:hAnsi="Times New Roman"/>
          <w:b/>
          <w:iCs/>
          <w:sz w:val="24"/>
          <w:szCs w:val="24"/>
        </w:rPr>
      </w:pPr>
      <w:r w:rsidRPr="00A95D30">
        <w:rPr>
          <w:rFonts w:ascii="Times New Roman" w:hAnsi="Times New Roman"/>
          <w:b/>
          <w:iCs/>
          <w:sz w:val="24"/>
          <w:szCs w:val="24"/>
        </w:rPr>
        <w:t>E-RS domain scores and responders</w:t>
      </w:r>
    </w:p>
    <w:p w:rsidR="00F256B9" w:rsidRPr="00A95D30" w:rsidRDefault="00B22469" w:rsidP="00F256B9">
      <w:pPr>
        <w:pStyle w:val="NormalWeb"/>
        <w:spacing w:line="480" w:lineRule="auto"/>
        <w:rPr>
          <w:rFonts w:ascii="Times New Roman" w:hAnsi="Times New Roman"/>
          <w:iCs/>
          <w:sz w:val="24"/>
          <w:szCs w:val="24"/>
        </w:rPr>
      </w:pPr>
      <w:r w:rsidRPr="00A95D30">
        <w:rPr>
          <w:rFonts w:ascii="Times New Roman" w:hAnsi="Times New Roman"/>
          <w:sz w:val="24"/>
          <w:szCs w:val="24"/>
        </w:rPr>
        <w:t xml:space="preserve">Over 24 weeks, </w:t>
      </w:r>
      <w:r w:rsidR="00F256B9" w:rsidRPr="00A95D30">
        <w:rPr>
          <w:rFonts w:ascii="Times New Roman" w:hAnsi="Times New Roman"/>
          <w:sz w:val="24"/>
          <w:szCs w:val="24"/>
        </w:rPr>
        <w:t>FDC 400/12 µg significantly improved scores in the E-RS breathlessness, cough and sputum and chest</w:t>
      </w:r>
      <w:r w:rsidR="003024F8" w:rsidRPr="00A95D30">
        <w:rPr>
          <w:rFonts w:ascii="Times New Roman" w:hAnsi="Times New Roman"/>
          <w:sz w:val="24"/>
          <w:szCs w:val="24"/>
        </w:rPr>
        <w:t xml:space="preserve"> symptoms</w:t>
      </w:r>
      <w:r w:rsidR="00F256B9" w:rsidRPr="00A95D30">
        <w:rPr>
          <w:rFonts w:ascii="Times New Roman" w:hAnsi="Times New Roman"/>
          <w:sz w:val="24"/>
          <w:szCs w:val="24"/>
        </w:rPr>
        <w:t xml:space="preserve"> domains versus placebo (p&lt;0.001</w:t>
      </w:r>
      <w:r w:rsidR="008705AC" w:rsidRPr="00A95D30">
        <w:rPr>
          <w:rFonts w:ascii="Times New Roman" w:hAnsi="Times New Roman"/>
          <w:sz w:val="24"/>
          <w:szCs w:val="24"/>
        </w:rPr>
        <w:t xml:space="preserve">; Figure </w:t>
      </w:r>
      <w:r w:rsidR="000E5164" w:rsidRPr="00A95D30">
        <w:rPr>
          <w:rFonts w:ascii="Times New Roman" w:hAnsi="Times New Roman"/>
          <w:sz w:val="24"/>
          <w:szCs w:val="24"/>
        </w:rPr>
        <w:t>S2</w:t>
      </w:r>
      <w:r w:rsidR="00F256B9" w:rsidRPr="00A95D30">
        <w:rPr>
          <w:rFonts w:ascii="Times New Roman" w:hAnsi="Times New Roman"/>
          <w:sz w:val="24"/>
          <w:szCs w:val="24"/>
        </w:rPr>
        <w:t>). Additionally, E-RS scores in the breathlessness domain were significantly improved with FDC 400/12 µg versus formoterol (p&lt;0.01) and aclidinium (p</w:t>
      </w:r>
      <w:r w:rsidR="00D84084" w:rsidRPr="00A95D30">
        <w:rPr>
          <w:rFonts w:ascii="Times New Roman" w:hAnsi="Times New Roman"/>
          <w:sz w:val="24"/>
          <w:szCs w:val="24"/>
        </w:rPr>
        <w:t>=</w:t>
      </w:r>
      <w:r w:rsidR="00F256B9" w:rsidRPr="00A95D30">
        <w:rPr>
          <w:rFonts w:ascii="Times New Roman" w:hAnsi="Times New Roman"/>
          <w:sz w:val="24"/>
          <w:szCs w:val="24"/>
        </w:rPr>
        <w:t xml:space="preserve">0.001), and E-RS scores in the chest </w:t>
      </w:r>
      <w:r w:rsidR="003024F8" w:rsidRPr="00A95D30">
        <w:rPr>
          <w:rFonts w:ascii="Times New Roman" w:hAnsi="Times New Roman"/>
          <w:sz w:val="24"/>
          <w:szCs w:val="24"/>
        </w:rPr>
        <w:t xml:space="preserve">symptoms </w:t>
      </w:r>
      <w:r w:rsidR="00F256B9" w:rsidRPr="00A95D30">
        <w:rPr>
          <w:rFonts w:ascii="Times New Roman" w:hAnsi="Times New Roman"/>
          <w:sz w:val="24"/>
          <w:szCs w:val="24"/>
        </w:rPr>
        <w:t xml:space="preserve">domain were significantly improved versus aclidinium (p&lt;0.05) but not </w:t>
      </w:r>
      <w:r w:rsidR="00F256B9" w:rsidRPr="00A95D30">
        <w:rPr>
          <w:rFonts w:ascii="Times New Roman" w:hAnsi="Times New Roman"/>
          <w:sz w:val="24"/>
          <w:szCs w:val="24"/>
        </w:rPr>
        <w:lastRenderedPageBreak/>
        <w:t xml:space="preserve">formoterol (Figure </w:t>
      </w:r>
      <w:r w:rsidR="000E5164" w:rsidRPr="00A95D30">
        <w:rPr>
          <w:rFonts w:ascii="Times New Roman" w:hAnsi="Times New Roman"/>
          <w:sz w:val="24"/>
          <w:szCs w:val="24"/>
        </w:rPr>
        <w:t>S2</w:t>
      </w:r>
      <w:r w:rsidR="00F256B9" w:rsidRPr="00A95D30">
        <w:rPr>
          <w:rFonts w:ascii="Times New Roman" w:hAnsi="Times New Roman"/>
          <w:sz w:val="24"/>
          <w:szCs w:val="24"/>
        </w:rPr>
        <w:t>).</w:t>
      </w:r>
      <w:r w:rsidR="005E4973" w:rsidRPr="00A95D30">
        <w:rPr>
          <w:rFonts w:ascii="Times New Roman" w:hAnsi="Times New Roman"/>
          <w:sz w:val="24"/>
          <w:szCs w:val="24"/>
        </w:rPr>
        <w:t xml:space="preserve"> </w:t>
      </w:r>
      <w:r w:rsidR="003024F8" w:rsidRPr="00A95D30">
        <w:rPr>
          <w:rFonts w:ascii="Times New Roman" w:hAnsi="Times New Roman"/>
          <w:sz w:val="24"/>
          <w:szCs w:val="24"/>
        </w:rPr>
        <w:t xml:space="preserve">A greater number of patients in the FDC 400/12 µg group achieved the </w:t>
      </w:r>
      <w:r w:rsidRPr="00A95D30">
        <w:rPr>
          <w:rFonts w:ascii="Times New Roman" w:hAnsi="Times New Roman"/>
          <w:sz w:val="24"/>
          <w:szCs w:val="24"/>
        </w:rPr>
        <w:t xml:space="preserve">proposed </w:t>
      </w:r>
      <w:r w:rsidR="003024F8" w:rsidRPr="00A95D30">
        <w:rPr>
          <w:rFonts w:ascii="Times New Roman" w:hAnsi="Times New Roman"/>
          <w:sz w:val="24"/>
          <w:szCs w:val="24"/>
        </w:rPr>
        <w:t>MCID</w:t>
      </w:r>
      <w:r w:rsidRPr="00A95D30">
        <w:rPr>
          <w:rFonts w:ascii="Times New Roman" w:hAnsi="Times New Roman"/>
          <w:sz w:val="24"/>
          <w:szCs w:val="24"/>
        </w:rPr>
        <w:t>s</w:t>
      </w:r>
      <w:r w:rsidR="003024F8" w:rsidRPr="00A95D30">
        <w:rPr>
          <w:rFonts w:ascii="Times New Roman" w:hAnsi="Times New Roman"/>
          <w:sz w:val="24"/>
          <w:szCs w:val="24"/>
        </w:rPr>
        <w:t xml:space="preserve"> in the b</w:t>
      </w:r>
      <w:r w:rsidR="00E216C9" w:rsidRPr="00A95D30">
        <w:rPr>
          <w:rFonts w:ascii="Times New Roman" w:hAnsi="Times New Roman"/>
          <w:sz w:val="24"/>
          <w:szCs w:val="24"/>
        </w:rPr>
        <w:t>reathlessness, cough and sputum</w:t>
      </w:r>
      <w:r w:rsidR="003024F8" w:rsidRPr="00A95D30">
        <w:rPr>
          <w:rFonts w:ascii="Times New Roman" w:hAnsi="Times New Roman"/>
          <w:sz w:val="24"/>
          <w:szCs w:val="24"/>
        </w:rPr>
        <w:t xml:space="preserve"> and chest symptoms domains</w:t>
      </w:r>
      <w:r w:rsidRPr="00A95D30">
        <w:rPr>
          <w:rFonts w:ascii="Times New Roman" w:hAnsi="Times New Roman"/>
          <w:sz w:val="24"/>
          <w:szCs w:val="24"/>
        </w:rPr>
        <w:t xml:space="preserve"> compared with placebo and monotherapy</w:t>
      </w:r>
      <w:r w:rsidR="00E216C9" w:rsidRPr="00A95D30">
        <w:rPr>
          <w:rFonts w:ascii="Times New Roman" w:hAnsi="Times New Roman"/>
          <w:sz w:val="24"/>
          <w:szCs w:val="24"/>
        </w:rPr>
        <w:t>,</w:t>
      </w:r>
      <w:r w:rsidRPr="00A95D30">
        <w:rPr>
          <w:rFonts w:ascii="Times New Roman" w:hAnsi="Times New Roman"/>
          <w:sz w:val="24"/>
          <w:szCs w:val="24"/>
        </w:rPr>
        <w:t xml:space="preserve"> and FDC 400/12 µg significantly increased the odds of achieving the MCID in each domain versus placebo</w:t>
      </w:r>
      <w:r w:rsidR="005E4973" w:rsidRPr="00A95D30">
        <w:rPr>
          <w:rFonts w:ascii="Times New Roman" w:hAnsi="Times New Roman"/>
          <w:sz w:val="24"/>
          <w:szCs w:val="24"/>
        </w:rPr>
        <w:t xml:space="preserve"> </w:t>
      </w:r>
      <w:r w:rsidRPr="00A95D30">
        <w:rPr>
          <w:rFonts w:ascii="Times New Roman" w:hAnsi="Times New Roman"/>
          <w:sz w:val="24"/>
          <w:szCs w:val="24"/>
        </w:rPr>
        <w:t>(</w:t>
      </w:r>
      <w:r w:rsidR="005E4973" w:rsidRPr="00A95D30">
        <w:rPr>
          <w:rFonts w:ascii="Times New Roman" w:hAnsi="Times New Roman"/>
          <w:sz w:val="24"/>
          <w:szCs w:val="24"/>
        </w:rPr>
        <w:t xml:space="preserve">Table </w:t>
      </w:r>
      <w:r w:rsidR="000E5164" w:rsidRPr="00A95D30">
        <w:rPr>
          <w:rFonts w:ascii="Times New Roman" w:hAnsi="Times New Roman"/>
          <w:sz w:val="24"/>
          <w:szCs w:val="24"/>
        </w:rPr>
        <w:t>S1</w:t>
      </w:r>
      <w:r w:rsidRPr="00A95D30">
        <w:rPr>
          <w:rFonts w:ascii="Times New Roman" w:hAnsi="Times New Roman"/>
          <w:sz w:val="24"/>
          <w:szCs w:val="24"/>
        </w:rPr>
        <w:t>)</w:t>
      </w:r>
      <w:r w:rsidR="005E4973" w:rsidRPr="00A95D30">
        <w:rPr>
          <w:rFonts w:ascii="Times New Roman" w:hAnsi="Times New Roman"/>
          <w:sz w:val="24"/>
          <w:szCs w:val="24"/>
        </w:rPr>
        <w:t>.</w:t>
      </w:r>
    </w:p>
    <w:p w:rsidR="00F256B9" w:rsidRPr="00A95D30" w:rsidRDefault="00F256B9" w:rsidP="00F256B9">
      <w:pPr>
        <w:pStyle w:val="NormalWeb"/>
        <w:spacing w:line="480" w:lineRule="auto"/>
        <w:rPr>
          <w:rFonts w:ascii="Times New Roman" w:hAnsi="Times New Roman"/>
          <w:b/>
          <w:iCs/>
          <w:sz w:val="24"/>
          <w:szCs w:val="24"/>
        </w:rPr>
      </w:pPr>
      <w:r w:rsidRPr="00A95D30">
        <w:rPr>
          <w:rFonts w:ascii="Times New Roman" w:hAnsi="Times New Roman"/>
          <w:b/>
          <w:iCs/>
          <w:sz w:val="24"/>
          <w:szCs w:val="24"/>
        </w:rPr>
        <w:t>Individual night-time and early-morning symptoms</w:t>
      </w:r>
      <w:r w:rsidR="005E4973" w:rsidRPr="00A95D30">
        <w:rPr>
          <w:rFonts w:ascii="Times New Roman" w:hAnsi="Times New Roman"/>
          <w:b/>
          <w:iCs/>
          <w:sz w:val="24"/>
          <w:szCs w:val="24"/>
        </w:rPr>
        <w:t>, limitation of early-morning activities and nocturnal awakenings</w:t>
      </w:r>
    </w:p>
    <w:p w:rsidR="00F256B9" w:rsidRPr="00A95D30" w:rsidRDefault="00F256B9" w:rsidP="00F256B9">
      <w:pPr>
        <w:pStyle w:val="NormalWeb"/>
        <w:spacing w:line="480" w:lineRule="auto"/>
        <w:rPr>
          <w:rFonts w:ascii="Times New Roman" w:hAnsi="Times New Roman"/>
          <w:iCs/>
          <w:sz w:val="24"/>
          <w:szCs w:val="24"/>
        </w:rPr>
      </w:pPr>
      <w:r w:rsidRPr="00A95D30">
        <w:rPr>
          <w:rFonts w:ascii="Times New Roman" w:hAnsi="Times New Roman"/>
          <w:iCs/>
          <w:sz w:val="24"/>
          <w:szCs w:val="24"/>
        </w:rPr>
        <w:t xml:space="preserve">Improvements </w:t>
      </w:r>
      <w:r w:rsidR="00E216C9" w:rsidRPr="00A95D30">
        <w:rPr>
          <w:rFonts w:ascii="Times New Roman" w:hAnsi="Times New Roman"/>
          <w:iCs/>
          <w:sz w:val="24"/>
          <w:szCs w:val="24"/>
        </w:rPr>
        <w:t xml:space="preserve">in individual </w:t>
      </w:r>
      <w:r w:rsidRPr="00A95D30">
        <w:rPr>
          <w:rFonts w:ascii="Times New Roman" w:hAnsi="Times New Roman"/>
          <w:iCs/>
          <w:sz w:val="24"/>
          <w:szCs w:val="24"/>
        </w:rPr>
        <w:t>night-time</w:t>
      </w:r>
      <w:r w:rsidR="00E216C9" w:rsidRPr="00A95D30">
        <w:rPr>
          <w:rFonts w:ascii="Times New Roman" w:hAnsi="Times New Roman"/>
          <w:iCs/>
          <w:sz w:val="24"/>
          <w:szCs w:val="24"/>
        </w:rPr>
        <w:t xml:space="preserve"> and early-morning</w:t>
      </w:r>
      <w:r w:rsidRPr="00A95D30">
        <w:rPr>
          <w:rFonts w:ascii="Times New Roman" w:hAnsi="Times New Roman"/>
          <w:iCs/>
          <w:sz w:val="24"/>
          <w:szCs w:val="24"/>
        </w:rPr>
        <w:t xml:space="preserve"> symptoms (</w:t>
      </w:r>
      <w:r w:rsidRPr="00A95D30">
        <w:rPr>
          <w:rFonts w:ascii="Times New Roman" w:hAnsi="Times New Roman"/>
          <w:sz w:val="24"/>
          <w:szCs w:val="24"/>
        </w:rPr>
        <w:t>cough, wheezing, shortness of breath and difficulty bringing up phlegm)</w:t>
      </w:r>
      <w:r w:rsidRPr="00A95D30">
        <w:rPr>
          <w:rFonts w:ascii="Times New Roman" w:hAnsi="Times New Roman"/>
          <w:iCs/>
          <w:sz w:val="24"/>
          <w:szCs w:val="24"/>
        </w:rPr>
        <w:t xml:space="preserve"> were numerically greater with FDC 400/12 µg compared with each monotherapy, although not all comparisons reached statistical significance (night-time symptoms: p&lt;0.05 vs aclidinium for wheezing and vs both monotherapies for shortness of breath; early-morning symptoms: p&lt;0.05 vs aclidinium for cough and difficulty bringing up phlegm, and vs both monotherapies for wheezing and shortness of breath; no other comparisons reached statistical significance). Improvements in limitation of early-morning activities were significantly greater with FDC 400/12 µg compared with formoterol and aclidinium (both p&lt;0.05) and nocturnal awakenings were significantly improved with FDC 400/12 µg compared with aclidinium (p&lt;0.05) but not formoterol.</w:t>
      </w:r>
    </w:p>
    <w:p w:rsidR="000E5164" w:rsidRPr="00A95D30" w:rsidRDefault="000E5164">
      <w:pPr>
        <w:rPr>
          <w:rFonts w:ascii="Times New Roman" w:hAnsi="Times New Roman"/>
          <w:b/>
          <w:iCs/>
          <w:sz w:val="24"/>
          <w:szCs w:val="24"/>
        </w:rPr>
      </w:pPr>
      <w:r w:rsidRPr="00A95D30">
        <w:rPr>
          <w:rFonts w:ascii="Times New Roman" w:hAnsi="Times New Roman" w:cs="Times New Roman"/>
          <w:b/>
          <w:sz w:val="24"/>
          <w:szCs w:val="24"/>
        </w:rPr>
        <w:t>Rate of COPD exacerbations, stratified by GOLD group</w:t>
      </w:r>
      <w:r w:rsidRPr="00A95D30">
        <w:rPr>
          <w:rFonts w:ascii="Times New Roman" w:hAnsi="Times New Roman"/>
          <w:b/>
          <w:iCs/>
          <w:sz w:val="24"/>
          <w:szCs w:val="24"/>
        </w:rPr>
        <w:t xml:space="preserve"> </w:t>
      </w:r>
    </w:p>
    <w:p w:rsidR="00B22469" w:rsidRPr="00A95D30" w:rsidRDefault="00BA2712" w:rsidP="00FA4DBE">
      <w:pPr>
        <w:spacing w:line="480" w:lineRule="auto"/>
        <w:rPr>
          <w:rFonts w:ascii="Times New Roman" w:eastAsiaTheme="minorEastAsia" w:hAnsi="Times New Roman" w:cs="Times New Roman"/>
          <w:b/>
          <w:iCs/>
          <w:sz w:val="24"/>
          <w:szCs w:val="24"/>
          <w:lang w:val="en-AU"/>
        </w:rPr>
      </w:pPr>
      <w:r w:rsidRPr="00A95D30">
        <w:rPr>
          <w:rFonts w:ascii="Times New Roman" w:hAnsi="Times New Roman" w:cs="Times New Roman"/>
          <w:sz w:val="24"/>
          <w:szCs w:val="24"/>
        </w:rPr>
        <w:t xml:space="preserve">Similar to </w:t>
      </w:r>
      <w:r w:rsidR="002B3310" w:rsidRPr="00A95D30">
        <w:rPr>
          <w:rFonts w:ascii="Times New Roman" w:hAnsi="Times New Roman" w:cs="Times New Roman"/>
          <w:sz w:val="24"/>
          <w:szCs w:val="24"/>
        </w:rPr>
        <w:t xml:space="preserve">the </w:t>
      </w:r>
      <w:r w:rsidRPr="00A95D30">
        <w:rPr>
          <w:rFonts w:ascii="Times New Roman" w:hAnsi="Times New Roman" w:cs="Times New Roman"/>
          <w:sz w:val="24"/>
          <w:szCs w:val="24"/>
        </w:rPr>
        <w:t xml:space="preserve">TDI </w:t>
      </w:r>
      <w:r w:rsidR="00874D58" w:rsidRPr="00A95D30">
        <w:rPr>
          <w:rFonts w:ascii="Times New Roman" w:hAnsi="Times New Roman" w:cs="Times New Roman"/>
          <w:sz w:val="24"/>
          <w:szCs w:val="24"/>
        </w:rPr>
        <w:t>sub-</w:t>
      </w:r>
      <w:r w:rsidRPr="00A95D30">
        <w:rPr>
          <w:rFonts w:ascii="Times New Roman" w:hAnsi="Times New Roman" w:cs="Times New Roman"/>
          <w:sz w:val="24"/>
          <w:szCs w:val="24"/>
        </w:rPr>
        <w:t>analys</w:t>
      </w:r>
      <w:r w:rsidR="00874D58" w:rsidRPr="00A95D30">
        <w:rPr>
          <w:rFonts w:ascii="Times New Roman" w:hAnsi="Times New Roman" w:cs="Times New Roman"/>
          <w:sz w:val="24"/>
          <w:szCs w:val="24"/>
        </w:rPr>
        <w:t>i</w:t>
      </w:r>
      <w:r w:rsidRPr="00A95D30">
        <w:rPr>
          <w:rFonts w:ascii="Times New Roman" w:hAnsi="Times New Roman" w:cs="Times New Roman"/>
          <w:sz w:val="24"/>
          <w:szCs w:val="24"/>
        </w:rPr>
        <w:t xml:space="preserve">s, </w:t>
      </w:r>
      <w:r w:rsidR="00874D58" w:rsidRPr="00A95D30">
        <w:rPr>
          <w:rFonts w:ascii="Times New Roman" w:hAnsi="Times New Roman" w:cs="Times New Roman"/>
          <w:sz w:val="24"/>
          <w:szCs w:val="24"/>
        </w:rPr>
        <w:t xml:space="preserve">the </w:t>
      </w:r>
      <w:r w:rsidRPr="00A95D30">
        <w:rPr>
          <w:rFonts w:ascii="Times New Roman" w:hAnsi="Times New Roman" w:cs="Times New Roman"/>
          <w:sz w:val="24"/>
          <w:szCs w:val="24"/>
        </w:rPr>
        <w:t>analys</w:t>
      </w:r>
      <w:r w:rsidR="00874D58" w:rsidRPr="00A95D30">
        <w:rPr>
          <w:rFonts w:ascii="Times New Roman" w:hAnsi="Times New Roman" w:cs="Times New Roman"/>
          <w:sz w:val="24"/>
          <w:szCs w:val="24"/>
        </w:rPr>
        <w:t>i</w:t>
      </w:r>
      <w:r w:rsidRPr="00A95D30">
        <w:rPr>
          <w:rFonts w:ascii="Times New Roman" w:hAnsi="Times New Roman" w:cs="Times New Roman"/>
          <w:sz w:val="24"/>
          <w:szCs w:val="24"/>
        </w:rPr>
        <w:t>s</w:t>
      </w:r>
      <w:r w:rsidR="00874D58" w:rsidRPr="00A95D30">
        <w:rPr>
          <w:rFonts w:ascii="Times New Roman" w:hAnsi="Times New Roman" w:cs="Times New Roman"/>
          <w:sz w:val="24"/>
          <w:szCs w:val="24"/>
        </w:rPr>
        <w:t xml:space="preserve"> of exacerbations</w:t>
      </w:r>
      <w:r w:rsidRPr="00A95D30">
        <w:rPr>
          <w:rFonts w:ascii="Times New Roman" w:hAnsi="Times New Roman" w:cs="Times New Roman"/>
          <w:sz w:val="24"/>
          <w:szCs w:val="24"/>
        </w:rPr>
        <w:t xml:space="preserve"> stratified by GOLD group </w:t>
      </w:r>
      <w:r w:rsidR="00874D58" w:rsidRPr="00A95D30">
        <w:rPr>
          <w:rFonts w:ascii="Times New Roman" w:hAnsi="Times New Roman" w:cs="Times New Roman"/>
          <w:sz w:val="24"/>
          <w:szCs w:val="24"/>
        </w:rPr>
        <w:t>had low</w:t>
      </w:r>
      <w:r w:rsidRPr="00A95D30">
        <w:rPr>
          <w:rFonts w:ascii="Times New Roman" w:hAnsi="Times New Roman" w:cs="Times New Roman"/>
          <w:sz w:val="24"/>
          <w:szCs w:val="24"/>
        </w:rPr>
        <w:t xml:space="preserve"> statistical power due to </w:t>
      </w:r>
      <w:r w:rsidR="002B3310" w:rsidRPr="00A95D30">
        <w:rPr>
          <w:rFonts w:ascii="Times New Roman" w:hAnsi="Times New Roman" w:cs="Times New Roman"/>
          <w:sz w:val="24"/>
          <w:szCs w:val="24"/>
        </w:rPr>
        <w:t>low</w:t>
      </w:r>
      <w:r w:rsidRPr="00A95D30">
        <w:rPr>
          <w:rFonts w:ascii="Times New Roman" w:hAnsi="Times New Roman" w:cs="Times New Roman"/>
          <w:sz w:val="24"/>
          <w:szCs w:val="24"/>
        </w:rPr>
        <w:t xml:space="preserve"> patient numbers (</w:t>
      </w:r>
      <w:r w:rsidR="007647B2" w:rsidRPr="00A95D30">
        <w:rPr>
          <w:rFonts w:ascii="Times New Roman" w:hAnsi="Times New Roman" w:cs="Times New Roman"/>
          <w:sz w:val="24"/>
          <w:szCs w:val="24"/>
        </w:rPr>
        <w:t>number of patients in</w:t>
      </w:r>
      <w:r w:rsidR="002B3310" w:rsidRPr="00A95D30">
        <w:rPr>
          <w:rFonts w:ascii="Times New Roman" w:hAnsi="Times New Roman" w:cs="Times New Roman"/>
          <w:sz w:val="24"/>
          <w:szCs w:val="24"/>
        </w:rPr>
        <w:t xml:space="preserve"> the</w:t>
      </w:r>
      <w:r w:rsidR="007647B2" w:rsidRPr="00A95D30">
        <w:rPr>
          <w:rFonts w:ascii="Times New Roman" w:hAnsi="Times New Roman" w:cs="Times New Roman"/>
          <w:sz w:val="24"/>
          <w:szCs w:val="24"/>
        </w:rPr>
        <w:t xml:space="preserve"> ITT-exacerbations population</w:t>
      </w:r>
      <w:r w:rsidR="002B3310" w:rsidRPr="00A95D30">
        <w:rPr>
          <w:rFonts w:ascii="Times New Roman" w:hAnsi="Times New Roman" w:cs="Times New Roman"/>
          <w:sz w:val="24"/>
          <w:szCs w:val="24"/>
        </w:rPr>
        <w:t xml:space="preserve"> </w:t>
      </w:r>
      <w:r w:rsidR="00770829" w:rsidRPr="00A95D30">
        <w:rPr>
          <w:rFonts w:ascii="Times New Roman" w:hAnsi="Times New Roman" w:cs="Times New Roman"/>
          <w:sz w:val="24"/>
          <w:szCs w:val="24"/>
        </w:rPr>
        <w:t xml:space="preserve">who </w:t>
      </w:r>
      <w:r w:rsidR="002B3310" w:rsidRPr="00A95D30">
        <w:rPr>
          <w:rFonts w:ascii="Times New Roman" w:hAnsi="Times New Roman" w:cs="Times New Roman"/>
          <w:sz w:val="24"/>
          <w:szCs w:val="24"/>
        </w:rPr>
        <w:t>had sufficient data for GOLD classification</w:t>
      </w:r>
      <w:r w:rsidR="00207B13" w:rsidRPr="00A95D30">
        <w:rPr>
          <w:rFonts w:ascii="Times New Roman" w:hAnsi="Times New Roman" w:cs="Times New Roman"/>
          <w:sz w:val="24"/>
          <w:szCs w:val="24"/>
        </w:rPr>
        <w:t>: g</w:t>
      </w:r>
      <w:r w:rsidR="007647B2" w:rsidRPr="00A95D30">
        <w:rPr>
          <w:rFonts w:ascii="Times New Roman" w:hAnsi="Times New Roman" w:cs="Times New Roman"/>
          <w:sz w:val="24"/>
          <w:szCs w:val="24"/>
        </w:rPr>
        <w:t xml:space="preserve">roup </w:t>
      </w:r>
      <w:r w:rsidRPr="00A95D30">
        <w:rPr>
          <w:rFonts w:ascii="Times New Roman" w:hAnsi="Times New Roman" w:cs="Times New Roman"/>
          <w:sz w:val="24"/>
          <w:szCs w:val="24"/>
        </w:rPr>
        <w:t xml:space="preserve">A: </w:t>
      </w:r>
      <w:r w:rsidR="007647B2" w:rsidRPr="00A95D30">
        <w:rPr>
          <w:rFonts w:ascii="Times New Roman" w:hAnsi="Times New Roman" w:cs="Times New Roman"/>
          <w:sz w:val="24"/>
          <w:szCs w:val="24"/>
        </w:rPr>
        <w:t>n=306</w:t>
      </w:r>
      <w:r w:rsidRPr="00A95D30">
        <w:rPr>
          <w:rFonts w:ascii="Times New Roman" w:hAnsi="Times New Roman" w:cs="Times New Roman"/>
          <w:sz w:val="24"/>
          <w:szCs w:val="24"/>
        </w:rPr>
        <w:t xml:space="preserve">; </w:t>
      </w:r>
      <w:r w:rsidR="00207B13" w:rsidRPr="00A95D30">
        <w:rPr>
          <w:rFonts w:ascii="Times New Roman" w:hAnsi="Times New Roman" w:cs="Times New Roman"/>
          <w:sz w:val="24"/>
          <w:szCs w:val="24"/>
        </w:rPr>
        <w:t>g</w:t>
      </w:r>
      <w:r w:rsidR="007647B2" w:rsidRPr="00A95D30">
        <w:rPr>
          <w:rFonts w:ascii="Times New Roman" w:hAnsi="Times New Roman" w:cs="Times New Roman"/>
          <w:sz w:val="24"/>
          <w:szCs w:val="24"/>
        </w:rPr>
        <w:t xml:space="preserve">roup </w:t>
      </w:r>
      <w:r w:rsidRPr="00A95D30">
        <w:rPr>
          <w:rFonts w:ascii="Times New Roman" w:hAnsi="Times New Roman" w:cs="Times New Roman"/>
          <w:sz w:val="24"/>
          <w:szCs w:val="24"/>
        </w:rPr>
        <w:t xml:space="preserve">B: </w:t>
      </w:r>
      <w:r w:rsidR="007647B2" w:rsidRPr="00A95D30">
        <w:rPr>
          <w:rFonts w:ascii="Times New Roman" w:hAnsi="Times New Roman" w:cs="Times New Roman"/>
          <w:sz w:val="24"/>
          <w:szCs w:val="24"/>
        </w:rPr>
        <w:t>n=1522</w:t>
      </w:r>
      <w:r w:rsidRPr="00A95D30">
        <w:rPr>
          <w:rFonts w:ascii="Times New Roman" w:hAnsi="Times New Roman" w:cs="Times New Roman"/>
          <w:sz w:val="24"/>
          <w:szCs w:val="24"/>
        </w:rPr>
        <w:t xml:space="preserve">; </w:t>
      </w:r>
      <w:r w:rsidR="00207B13" w:rsidRPr="00A95D30">
        <w:rPr>
          <w:rFonts w:ascii="Times New Roman" w:hAnsi="Times New Roman" w:cs="Times New Roman"/>
          <w:sz w:val="24"/>
          <w:szCs w:val="24"/>
        </w:rPr>
        <w:t>g</w:t>
      </w:r>
      <w:r w:rsidR="007647B2" w:rsidRPr="00A95D30">
        <w:rPr>
          <w:rFonts w:ascii="Times New Roman" w:hAnsi="Times New Roman" w:cs="Times New Roman"/>
          <w:sz w:val="24"/>
          <w:szCs w:val="24"/>
        </w:rPr>
        <w:t xml:space="preserve">roup </w:t>
      </w:r>
      <w:r w:rsidRPr="00A95D30">
        <w:rPr>
          <w:rFonts w:ascii="Times New Roman" w:hAnsi="Times New Roman" w:cs="Times New Roman"/>
          <w:sz w:val="24"/>
          <w:szCs w:val="24"/>
        </w:rPr>
        <w:t xml:space="preserve">C: </w:t>
      </w:r>
      <w:r w:rsidR="007647B2" w:rsidRPr="00A95D30">
        <w:rPr>
          <w:rFonts w:ascii="Times New Roman" w:hAnsi="Times New Roman" w:cs="Times New Roman"/>
          <w:sz w:val="24"/>
          <w:szCs w:val="24"/>
        </w:rPr>
        <w:t>n=99</w:t>
      </w:r>
      <w:r w:rsidRPr="00A95D30">
        <w:rPr>
          <w:rFonts w:ascii="Times New Roman" w:hAnsi="Times New Roman" w:cs="Times New Roman"/>
          <w:sz w:val="24"/>
          <w:szCs w:val="24"/>
        </w:rPr>
        <w:t xml:space="preserve">; </w:t>
      </w:r>
      <w:r w:rsidR="00207B13" w:rsidRPr="00A95D30">
        <w:rPr>
          <w:rFonts w:ascii="Times New Roman" w:hAnsi="Times New Roman" w:cs="Times New Roman"/>
          <w:sz w:val="24"/>
          <w:szCs w:val="24"/>
        </w:rPr>
        <w:t>g</w:t>
      </w:r>
      <w:r w:rsidR="007647B2" w:rsidRPr="00A95D30">
        <w:rPr>
          <w:rFonts w:ascii="Times New Roman" w:hAnsi="Times New Roman" w:cs="Times New Roman"/>
          <w:sz w:val="24"/>
          <w:szCs w:val="24"/>
        </w:rPr>
        <w:t xml:space="preserve">roup </w:t>
      </w:r>
      <w:r w:rsidRPr="00A95D30">
        <w:rPr>
          <w:rFonts w:ascii="Times New Roman" w:hAnsi="Times New Roman" w:cs="Times New Roman"/>
          <w:sz w:val="24"/>
          <w:szCs w:val="24"/>
        </w:rPr>
        <w:t xml:space="preserve">D: </w:t>
      </w:r>
      <w:r w:rsidR="007647B2" w:rsidRPr="00A95D30">
        <w:rPr>
          <w:rFonts w:ascii="Times New Roman" w:hAnsi="Times New Roman" w:cs="Times New Roman"/>
          <w:sz w:val="24"/>
          <w:szCs w:val="24"/>
        </w:rPr>
        <w:t>n=1392</w:t>
      </w:r>
      <w:r w:rsidR="00207B13" w:rsidRPr="00A95D30">
        <w:rPr>
          <w:rFonts w:ascii="Times New Roman" w:hAnsi="Times New Roman" w:cs="Times New Roman"/>
          <w:sz w:val="24"/>
          <w:szCs w:val="24"/>
        </w:rPr>
        <w:t xml:space="preserve">). </w:t>
      </w:r>
      <w:r w:rsidR="000E5164" w:rsidRPr="00A95D30">
        <w:rPr>
          <w:rFonts w:ascii="Times New Roman" w:hAnsi="Times New Roman" w:cs="Times New Roman"/>
          <w:sz w:val="24"/>
          <w:szCs w:val="24"/>
        </w:rPr>
        <w:t xml:space="preserve">When </w:t>
      </w:r>
      <w:r w:rsidR="003F00BD" w:rsidRPr="00A95D30">
        <w:rPr>
          <w:rFonts w:ascii="Times New Roman" w:hAnsi="Times New Roman" w:cs="Times New Roman"/>
          <w:sz w:val="24"/>
          <w:szCs w:val="24"/>
        </w:rPr>
        <w:t>patients</w:t>
      </w:r>
      <w:r w:rsidR="003875C1" w:rsidRPr="00A95D30">
        <w:rPr>
          <w:rFonts w:ascii="Times New Roman" w:hAnsi="Times New Roman" w:cs="Times New Roman"/>
          <w:sz w:val="24"/>
          <w:szCs w:val="24"/>
        </w:rPr>
        <w:t xml:space="preserve"> were </w:t>
      </w:r>
      <w:r w:rsidR="000E5164" w:rsidRPr="00A95D30">
        <w:rPr>
          <w:rFonts w:ascii="Times New Roman" w:hAnsi="Times New Roman" w:cs="Times New Roman"/>
          <w:sz w:val="24"/>
          <w:szCs w:val="24"/>
        </w:rPr>
        <w:t xml:space="preserve">stratified by GOLD group, </w:t>
      </w:r>
      <w:r w:rsidR="002048D8" w:rsidRPr="00A95D30">
        <w:rPr>
          <w:rFonts w:ascii="Times New Roman" w:hAnsi="Times New Roman" w:cs="Times New Roman"/>
          <w:sz w:val="24"/>
          <w:szCs w:val="24"/>
        </w:rPr>
        <w:t xml:space="preserve">the rate of </w:t>
      </w:r>
      <w:r w:rsidR="003F00BD" w:rsidRPr="00A95D30">
        <w:rPr>
          <w:rFonts w:ascii="Times New Roman" w:hAnsi="Times New Roman" w:cs="Times New Roman"/>
          <w:sz w:val="24"/>
          <w:szCs w:val="24"/>
        </w:rPr>
        <w:t>HCRU exacerbations w</w:t>
      </w:r>
      <w:r w:rsidR="002048D8" w:rsidRPr="00A95D30">
        <w:rPr>
          <w:rFonts w:ascii="Times New Roman" w:hAnsi="Times New Roman" w:cs="Times New Roman"/>
          <w:sz w:val="24"/>
          <w:szCs w:val="24"/>
        </w:rPr>
        <w:t>as</w:t>
      </w:r>
      <w:r w:rsidR="003F00BD" w:rsidRPr="00A95D30">
        <w:rPr>
          <w:rFonts w:ascii="Times New Roman" w:hAnsi="Times New Roman" w:cs="Times New Roman"/>
          <w:sz w:val="24"/>
          <w:szCs w:val="24"/>
        </w:rPr>
        <w:t xml:space="preserve"> higher in GOLD groups B (0.28–0.38 exacerbations per patient per year) and D (0.53–0.79 exacerbations per patient per year) </w:t>
      </w:r>
      <w:r w:rsidR="003F00BD" w:rsidRPr="00A95D30">
        <w:rPr>
          <w:rFonts w:ascii="Times New Roman" w:hAnsi="Times New Roman" w:cs="Times New Roman"/>
          <w:sz w:val="24"/>
          <w:szCs w:val="24"/>
        </w:rPr>
        <w:lastRenderedPageBreak/>
        <w:t xml:space="preserve">compared with A (0.17–0.25 exacerbations per patient per year) and C (0.07–0.23 exacerbations per patient per year). A significant reduction in </w:t>
      </w:r>
      <w:r w:rsidR="002048D8" w:rsidRPr="00A95D30">
        <w:rPr>
          <w:rFonts w:ascii="Times New Roman" w:hAnsi="Times New Roman" w:cs="Times New Roman"/>
          <w:sz w:val="24"/>
          <w:szCs w:val="24"/>
        </w:rPr>
        <w:t xml:space="preserve">the </w:t>
      </w:r>
      <w:r w:rsidR="003F00BD" w:rsidRPr="00A95D30">
        <w:rPr>
          <w:rFonts w:ascii="Times New Roman" w:hAnsi="Times New Roman" w:cs="Times New Roman"/>
          <w:sz w:val="24"/>
          <w:szCs w:val="24"/>
        </w:rPr>
        <w:t>rate</w:t>
      </w:r>
      <w:r w:rsidR="002048D8" w:rsidRPr="00A95D30">
        <w:rPr>
          <w:rFonts w:ascii="Times New Roman" w:hAnsi="Times New Roman" w:cs="Times New Roman"/>
          <w:sz w:val="24"/>
          <w:szCs w:val="24"/>
        </w:rPr>
        <w:t xml:space="preserve"> of HCRU exacerbations of any severity was observed</w:t>
      </w:r>
      <w:r w:rsidR="003F00BD" w:rsidRPr="00A95D30">
        <w:rPr>
          <w:rFonts w:ascii="Times New Roman" w:hAnsi="Times New Roman" w:cs="Times New Roman"/>
          <w:sz w:val="24"/>
          <w:szCs w:val="24"/>
        </w:rPr>
        <w:t xml:space="preserve"> with </w:t>
      </w:r>
      <w:r w:rsidR="003F00BD" w:rsidRPr="00A95D30">
        <w:rPr>
          <w:rFonts w:ascii="Times New Roman" w:hAnsi="Times New Roman"/>
          <w:iCs/>
          <w:sz w:val="24"/>
          <w:szCs w:val="24"/>
        </w:rPr>
        <w:t>FDC 400/12 µg versus placebo</w:t>
      </w:r>
      <w:r w:rsidR="002048D8" w:rsidRPr="00A95D30">
        <w:rPr>
          <w:rFonts w:ascii="Times New Roman" w:hAnsi="Times New Roman"/>
          <w:iCs/>
          <w:sz w:val="24"/>
          <w:szCs w:val="24"/>
        </w:rPr>
        <w:t xml:space="preserve"> </w:t>
      </w:r>
      <w:r w:rsidR="003F00BD" w:rsidRPr="00A95D30">
        <w:rPr>
          <w:rFonts w:ascii="Times New Roman" w:hAnsi="Times New Roman"/>
          <w:iCs/>
          <w:sz w:val="24"/>
          <w:szCs w:val="24"/>
        </w:rPr>
        <w:t>in GOLD group D</w:t>
      </w:r>
      <w:r w:rsidR="002048D8" w:rsidRPr="00A95D30">
        <w:rPr>
          <w:rFonts w:ascii="Times New Roman" w:hAnsi="Times New Roman"/>
          <w:iCs/>
          <w:sz w:val="24"/>
          <w:szCs w:val="24"/>
        </w:rPr>
        <w:t xml:space="preserve"> (Figure S3A)</w:t>
      </w:r>
      <w:r w:rsidR="003F00BD" w:rsidRPr="00A95D30">
        <w:rPr>
          <w:rFonts w:ascii="Times New Roman" w:hAnsi="Times New Roman"/>
          <w:iCs/>
          <w:sz w:val="24"/>
          <w:szCs w:val="24"/>
        </w:rPr>
        <w:t>.</w:t>
      </w:r>
      <w:r w:rsidR="00207B13" w:rsidRPr="00A95D30">
        <w:rPr>
          <w:rFonts w:ascii="Times New Roman" w:hAnsi="Times New Roman"/>
          <w:iCs/>
          <w:sz w:val="24"/>
          <w:szCs w:val="24"/>
        </w:rPr>
        <w:t xml:space="preserve"> </w:t>
      </w:r>
      <w:r w:rsidR="002048D8" w:rsidRPr="00A95D30">
        <w:rPr>
          <w:rFonts w:ascii="Times New Roman" w:hAnsi="Times New Roman"/>
          <w:iCs/>
          <w:sz w:val="24"/>
          <w:szCs w:val="24"/>
        </w:rPr>
        <w:t>The rate of EXACT exacerbations was similar in GOLD groups A (0.73</w:t>
      </w:r>
      <w:r w:rsidR="00307B61" w:rsidRPr="00A95D30">
        <w:rPr>
          <w:rFonts w:ascii="Times New Roman" w:hAnsi="Times New Roman" w:cs="Times New Roman"/>
          <w:sz w:val="24"/>
          <w:szCs w:val="24"/>
        </w:rPr>
        <w:t>–</w:t>
      </w:r>
      <w:r w:rsidR="002048D8" w:rsidRPr="00A95D30">
        <w:rPr>
          <w:rFonts w:ascii="Times New Roman" w:hAnsi="Times New Roman"/>
          <w:iCs/>
          <w:sz w:val="24"/>
          <w:szCs w:val="24"/>
        </w:rPr>
        <w:t>1.55), B (1.11</w:t>
      </w:r>
      <w:r w:rsidR="00307B61" w:rsidRPr="00A95D30">
        <w:rPr>
          <w:rFonts w:ascii="Times New Roman" w:hAnsi="Times New Roman" w:cs="Times New Roman"/>
          <w:sz w:val="24"/>
          <w:szCs w:val="24"/>
        </w:rPr>
        <w:t>–</w:t>
      </w:r>
      <w:r w:rsidR="002048D8" w:rsidRPr="00A95D30">
        <w:rPr>
          <w:rFonts w:ascii="Times New Roman" w:hAnsi="Times New Roman"/>
          <w:iCs/>
          <w:sz w:val="24"/>
          <w:szCs w:val="24"/>
        </w:rPr>
        <w:t>1.67) and D (1.34</w:t>
      </w:r>
      <w:r w:rsidR="00307B61" w:rsidRPr="00A95D30">
        <w:rPr>
          <w:rFonts w:ascii="Times New Roman" w:hAnsi="Times New Roman" w:cs="Times New Roman"/>
          <w:sz w:val="24"/>
          <w:szCs w:val="24"/>
        </w:rPr>
        <w:t>–</w:t>
      </w:r>
      <w:r w:rsidR="002048D8" w:rsidRPr="00A95D30">
        <w:rPr>
          <w:rFonts w:ascii="Times New Roman" w:hAnsi="Times New Roman"/>
          <w:iCs/>
          <w:sz w:val="24"/>
          <w:szCs w:val="24"/>
        </w:rPr>
        <w:t>1.56), and lower in GOLD group C (0.49</w:t>
      </w:r>
      <w:r w:rsidR="00307B61" w:rsidRPr="00A95D30">
        <w:rPr>
          <w:rFonts w:ascii="Times New Roman" w:hAnsi="Times New Roman" w:cs="Times New Roman"/>
          <w:sz w:val="24"/>
          <w:szCs w:val="24"/>
        </w:rPr>
        <w:t>–</w:t>
      </w:r>
      <w:r w:rsidR="002048D8" w:rsidRPr="00A95D30">
        <w:rPr>
          <w:rFonts w:ascii="Times New Roman" w:hAnsi="Times New Roman"/>
          <w:iCs/>
          <w:sz w:val="24"/>
          <w:szCs w:val="24"/>
        </w:rPr>
        <w:t>0.89). FDC 400/12 µg significantly reduced the rate of EXACT exacerbations versus placebo in GOLD groups A and B</w:t>
      </w:r>
      <w:r w:rsidR="003F00BD" w:rsidRPr="00A95D30">
        <w:rPr>
          <w:rFonts w:ascii="Times New Roman" w:hAnsi="Times New Roman"/>
          <w:iCs/>
          <w:sz w:val="24"/>
          <w:szCs w:val="24"/>
        </w:rPr>
        <w:t xml:space="preserve"> (Figure</w:t>
      </w:r>
      <w:r w:rsidR="002048D8" w:rsidRPr="00A95D30">
        <w:rPr>
          <w:rFonts w:ascii="Times New Roman" w:hAnsi="Times New Roman"/>
          <w:iCs/>
          <w:sz w:val="24"/>
          <w:szCs w:val="24"/>
        </w:rPr>
        <w:t xml:space="preserve"> S3B).</w:t>
      </w:r>
      <w:r w:rsidR="00207B13" w:rsidRPr="00A95D30">
        <w:rPr>
          <w:rFonts w:ascii="Times New Roman" w:hAnsi="Times New Roman"/>
          <w:iCs/>
          <w:sz w:val="24"/>
          <w:szCs w:val="24"/>
        </w:rPr>
        <w:t xml:space="preserve"> </w:t>
      </w:r>
      <w:r w:rsidR="00D07563" w:rsidRPr="00A95D30">
        <w:rPr>
          <w:rFonts w:ascii="Times New Roman" w:hAnsi="Times New Roman"/>
          <w:iCs/>
          <w:sz w:val="24"/>
          <w:szCs w:val="24"/>
        </w:rPr>
        <w:t>Monotherapy data are presented in Figure S3.</w:t>
      </w:r>
      <w:r w:rsidR="00FA4DBE" w:rsidRPr="00A95D30">
        <w:rPr>
          <w:rFonts w:ascii="Times New Roman" w:hAnsi="Times New Roman"/>
          <w:iCs/>
          <w:sz w:val="24"/>
          <w:szCs w:val="24"/>
        </w:rPr>
        <w:t xml:space="preserve"> </w:t>
      </w:r>
      <w:r w:rsidR="003F00BD" w:rsidRPr="00A95D30">
        <w:rPr>
          <w:rFonts w:ascii="Times New Roman" w:hAnsi="Times New Roman"/>
          <w:iCs/>
          <w:sz w:val="24"/>
          <w:szCs w:val="24"/>
        </w:rPr>
        <w:t xml:space="preserve"> </w:t>
      </w:r>
      <w:r w:rsidR="00B22469" w:rsidRPr="00A95D30">
        <w:rPr>
          <w:rFonts w:ascii="Times New Roman" w:hAnsi="Times New Roman"/>
          <w:b/>
          <w:iCs/>
          <w:sz w:val="24"/>
          <w:szCs w:val="24"/>
        </w:rPr>
        <w:br w:type="page"/>
      </w:r>
    </w:p>
    <w:p w:rsidR="005E4973" w:rsidRPr="00A95D30" w:rsidRDefault="00E216C9" w:rsidP="005E4973">
      <w:pPr>
        <w:pStyle w:val="NormalWeb"/>
        <w:spacing w:after="0" w:afterAutospacing="0" w:line="480" w:lineRule="auto"/>
        <w:rPr>
          <w:rFonts w:ascii="Times New Roman" w:hAnsi="Times New Roman"/>
          <w:b/>
          <w:iCs/>
          <w:sz w:val="24"/>
          <w:szCs w:val="24"/>
        </w:rPr>
      </w:pPr>
      <w:r w:rsidRPr="00A95D30">
        <w:rPr>
          <w:rFonts w:ascii="Times New Roman" w:hAnsi="Times New Roman"/>
          <w:b/>
          <w:iCs/>
          <w:sz w:val="24"/>
          <w:szCs w:val="24"/>
        </w:rPr>
        <w:lastRenderedPageBreak/>
        <w:t>Table S1.</w:t>
      </w:r>
      <w:r w:rsidR="005E4973" w:rsidRPr="00A95D30">
        <w:rPr>
          <w:rFonts w:ascii="Times New Roman" w:hAnsi="Times New Roman"/>
          <w:b/>
          <w:iCs/>
          <w:sz w:val="24"/>
          <w:szCs w:val="24"/>
        </w:rPr>
        <w:t xml:space="preserve"> E-RS responders</w:t>
      </w:r>
    </w:p>
    <w:tbl>
      <w:tblPr>
        <w:tblW w:w="5002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73"/>
        <w:gridCol w:w="1369"/>
        <w:gridCol w:w="1369"/>
        <w:gridCol w:w="1394"/>
        <w:gridCol w:w="1341"/>
      </w:tblGrid>
      <w:tr w:rsidR="00A95D30" w:rsidRPr="00A95D30" w:rsidTr="00FE2EF8">
        <w:trPr>
          <w:trHeight w:val="19"/>
        </w:trPr>
        <w:tc>
          <w:tcPr>
            <w:tcW w:w="20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2EF8" w:rsidRPr="00A95D30" w:rsidRDefault="00FE2EF8" w:rsidP="000130ED">
            <w:pPr>
              <w:spacing w:before="4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D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Patients achieving the proposed MCID </w:t>
            </w:r>
            <w:r w:rsidR="00FE7319" w:rsidRPr="00A95D3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8D64F6" w:rsidRPr="00A95D30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ADDIN REFMGR.CITE &lt;Refman&gt;&lt;Cite&gt;&lt;Author&gt;Leidy&lt;/Author&gt;&lt;Year&gt;2014&lt;/Year&gt;&lt;RecNum&gt;16717&lt;/RecNum&gt;&lt;IDText&gt;Measuring respiratory symptoms of COPD: performance of the EXACT-Respiratory Symptoms Tool (E-RS) in three clinical trials&lt;/IDText&gt;&lt;MDL Ref_Type="Journal"&gt;&lt;Ref_Type&gt;Journal&lt;/Ref_Type&gt;&lt;Ref_ID&gt;16717&lt;/Ref_ID&gt;&lt;Title_Primary&gt;Measuring respiratory symptoms of COPD: performance of the EXACT-Respiratory Symptoms Tool (E-RS) in three clinical trials&lt;/Title_Primary&gt;&lt;Authors_Primary&gt;Leidy,N.K.&lt;/Authors_Primary&gt;&lt;Authors_Primary&gt;Murray,L.T.&lt;/Authors_Primary&gt;&lt;Authors_Primary&gt;Monz,B.U.&lt;/Authors_Primary&gt;&lt;Authors_Primary&gt;Nelsen,L.&lt;/Authors_Primary&gt;&lt;Authors_Primary&gt;Goldman,M.&lt;/Authors_Primary&gt;&lt;Authors_Primary&gt;Jones,P.W.&lt;/Authors_Primary&gt;&lt;Authors_Primary&gt;Dansie,E.J.&lt;/Authors_Primary&gt;&lt;Authors_Primary&gt;Sethi,S.&lt;/Authors_Primary&gt;&lt;Date_Primary&gt;2014/10/7&lt;/Date_Primary&gt;&lt;Keywords&gt;A&lt;/Keywords&gt;&lt;Keywords&gt;Clinical Trials&lt;/Keywords&gt;&lt;Keywords&gt;COPD&lt;/Keywords&gt;&lt;Keywords&gt;Cough&lt;/Keywords&gt;&lt;Keywords&gt;Exercise&lt;/Keywords&gt;&lt;Keywords&gt;Guidelines&lt;/Keywords&gt;&lt;Keywords&gt;Health Status&lt;/Keywords&gt;&lt;Keywords&gt;history&lt;/Keywords&gt;&lt;Keywords&gt;methods&lt;/Keywords&gt;&lt;Keywords&gt;Patients&lt;/Keywords&gt;&lt;Keywords&gt;Research&lt;/Keywords&gt;&lt;Keywords&gt;Sputum&lt;/Keywords&gt;&lt;Keywords&gt;treatment&lt;/Keywords&gt;&lt;Reprint&gt;Not in File&lt;/Reprint&gt;&lt;Start_Page&gt;124&lt;/Start_Page&gt;&lt;Periodical&gt;Respir Res&lt;/Periodical&gt;&lt;Volume&gt;15&lt;/Volume&gt;&lt;Issue&gt;1&lt;/Issue&gt;&lt;Web_URL&gt;PM:25287629&lt;/Web_URL&gt;&lt;ZZ_JournalStdAbbrev&gt;&lt;f name="System"&gt;Respir Res&lt;/f&gt;&lt;/ZZ_JournalStdAbbrev&gt;&lt;ZZ_WorkformID&gt;1&lt;/ZZ_WorkformID&gt;&lt;/MDL&gt;&lt;/Cite&gt;&lt;/Refman&gt;</w:instrText>
            </w:r>
            <w:r w:rsidR="00FE7319" w:rsidRPr="00A95D3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A95D30">
              <w:rPr>
                <w:rFonts w:ascii="Times New Roman" w:hAnsi="Times New Roman" w:cs="Times New Roman"/>
                <w:b/>
                <w:sz w:val="24"/>
                <w:szCs w:val="24"/>
              </w:rPr>
              <w:t>[1]</w:t>
            </w:r>
            <w:r w:rsidR="00FE7319" w:rsidRPr="00A95D3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A95D30">
              <w:rPr>
                <w:rFonts w:ascii="Times New Roman" w:hAnsi="Times New Roman" w:cs="Times New Roman"/>
                <w:b/>
                <w:sz w:val="24"/>
                <w:szCs w:val="24"/>
              </w:rPr>
              <w:t>, %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E2EF8" w:rsidRPr="00A95D30" w:rsidRDefault="00FE2EF8" w:rsidP="002048D8">
            <w:pPr>
              <w:spacing w:before="4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D30">
              <w:rPr>
                <w:rFonts w:ascii="Times New Roman" w:hAnsi="Times New Roman" w:cs="Times New Roman"/>
                <w:b/>
                <w:sz w:val="24"/>
                <w:szCs w:val="24"/>
              </w:rPr>
              <w:t>FDC</w:t>
            </w:r>
            <w:r w:rsidRPr="00A95D3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400/12 µg</w:t>
            </w:r>
            <w:r w:rsidRPr="00A95D3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(n=720)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E2EF8" w:rsidRPr="00A95D30" w:rsidRDefault="00FE2EF8" w:rsidP="002048D8">
            <w:pPr>
              <w:spacing w:before="4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D30">
              <w:rPr>
                <w:rFonts w:ascii="Times New Roman" w:hAnsi="Times New Roman" w:cs="Times New Roman"/>
                <w:b/>
                <w:sz w:val="24"/>
                <w:szCs w:val="24"/>
              </w:rPr>
              <w:t>Aclidinium</w:t>
            </w:r>
            <w:r w:rsidRPr="00A95D3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400 µg</w:t>
            </w:r>
            <w:r w:rsidRPr="00A95D3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(n=722)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E2EF8" w:rsidRPr="00A95D30" w:rsidRDefault="00FE2EF8" w:rsidP="002048D8">
            <w:pPr>
              <w:spacing w:before="4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D30">
              <w:rPr>
                <w:rFonts w:ascii="Times New Roman" w:hAnsi="Times New Roman" w:cs="Times New Roman"/>
                <w:b/>
                <w:sz w:val="24"/>
                <w:szCs w:val="24"/>
              </w:rPr>
              <w:t>Formoterol</w:t>
            </w:r>
            <w:r w:rsidRPr="00A95D3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12 µg</w:t>
            </w:r>
            <w:r w:rsidRPr="00A95D3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(n=716)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2EF8" w:rsidRPr="00A95D30" w:rsidRDefault="00FE2EF8" w:rsidP="002048D8">
            <w:pPr>
              <w:spacing w:before="4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D3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Placebo</w:t>
            </w:r>
            <w:r w:rsidRPr="00A95D3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(n=525)</w:t>
            </w:r>
          </w:p>
        </w:tc>
      </w:tr>
      <w:tr w:rsidR="00A95D30" w:rsidRPr="00A95D30" w:rsidTr="00FE2EF8">
        <w:trPr>
          <w:trHeight w:val="352"/>
        </w:trPr>
        <w:tc>
          <w:tcPr>
            <w:tcW w:w="20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2EF8" w:rsidRPr="00A95D30" w:rsidRDefault="00FE2EF8" w:rsidP="003024F8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0">
              <w:rPr>
                <w:rFonts w:ascii="Times New Roman" w:hAnsi="Times New Roman" w:cs="Times New Roman"/>
                <w:sz w:val="24"/>
                <w:szCs w:val="24"/>
              </w:rPr>
              <w:t>Breathlessness (MCID 1 unit)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2EF8" w:rsidRPr="00A95D30" w:rsidRDefault="00FE2EF8" w:rsidP="002048D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0">
              <w:rPr>
                <w:rFonts w:ascii="Times New Roman" w:hAnsi="Times New Roman" w:cs="Times New Roman"/>
                <w:sz w:val="24"/>
                <w:szCs w:val="24"/>
              </w:rPr>
              <w:t>47.0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2EF8" w:rsidRPr="00A95D30" w:rsidRDefault="00FE2EF8" w:rsidP="002048D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0">
              <w:rPr>
                <w:rFonts w:ascii="Times New Roman" w:hAnsi="Times New Roman" w:cs="Times New Roman"/>
                <w:sz w:val="24"/>
                <w:szCs w:val="24"/>
              </w:rPr>
              <w:t>40.4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2EF8" w:rsidRPr="00A95D30" w:rsidRDefault="00FE2EF8" w:rsidP="002048D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0">
              <w:rPr>
                <w:rFonts w:ascii="Times New Roman" w:hAnsi="Times New Roman" w:cs="Times New Roman"/>
                <w:sz w:val="24"/>
                <w:szCs w:val="24"/>
              </w:rPr>
              <w:t>37.9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EF8" w:rsidRPr="00A95D30" w:rsidRDefault="00FE2EF8" w:rsidP="002048D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0">
              <w:rPr>
                <w:rFonts w:ascii="Times New Roman" w:hAnsi="Times New Roman" w:cs="Times New Roman"/>
                <w:sz w:val="24"/>
                <w:szCs w:val="24"/>
              </w:rPr>
              <w:t>33.2</w:t>
            </w:r>
          </w:p>
        </w:tc>
      </w:tr>
      <w:tr w:rsidR="00A95D30" w:rsidRPr="00A95D30" w:rsidTr="00FE2EF8">
        <w:trPr>
          <w:trHeight w:val="352"/>
        </w:trPr>
        <w:tc>
          <w:tcPr>
            <w:tcW w:w="20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2EF8" w:rsidRPr="00A95D30" w:rsidRDefault="00FE2EF8" w:rsidP="002048D8">
            <w:pPr>
              <w:spacing w:after="12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0">
              <w:rPr>
                <w:rFonts w:ascii="Times New Roman" w:hAnsi="Times New Roman" w:cs="Times New Roman"/>
                <w:sz w:val="24"/>
                <w:szCs w:val="24"/>
              </w:rPr>
              <w:t>OR vs placebo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2EF8" w:rsidRPr="00A95D30" w:rsidRDefault="00FE2EF8" w:rsidP="002048D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0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r w:rsidRPr="00A95D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2EF8" w:rsidRPr="00A95D30" w:rsidRDefault="00FE2EF8" w:rsidP="002048D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0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Pr="00A95D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2EF8" w:rsidRPr="00A95D30" w:rsidRDefault="00FE2EF8" w:rsidP="002048D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EF8" w:rsidRPr="00A95D30" w:rsidRDefault="00FE2EF8" w:rsidP="002048D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D30" w:rsidRPr="00A95D30" w:rsidTr="00FE2EF8">
        <w:trPr>
          <w:trHeight w:val="352"/>
        </w:trPr>
        <w:tc>
          <w:tcPr>
            <w:tcW w:w="20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2EF8" w:rsidRPr="00A95D30" w:rsidRDefault="00FE2EF8" w:rsidP="005E4973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0">
              <w:rPr>
                <w:rFonts w:ascii="Times New Roman" w:hAnsi="Times New Roman" w:cs="Times New Roman"/>
                <w:sz w:val="24"/>
                <w:szCs w:val="24"/>
              </w:rPr>
              <w:t>Cough and sputum (MCID 0.7 units)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2EF8" w:rsidRPr="00A95D30" w:rsidRDefault="00FE2EF8" w:rsidP="002048D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0">
              <w:rPr>
                <w:rFonts w:ascii="Times New Roman" w:hAnsi="Times New Roman" w:cs="Times New Roman"/>
                <w:sz w:val="24"/>
                <w:szCs w:val="24"/>
              </w:rPr>
              <w:t>41.6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2EF8" w:rsidRPr="00A95D30" w:rsidRDefault="00FE2EF8" w:rsidP="002048D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0">
              <w:rPr>
                <w:rFonts w:ascii="Times New Roman" w:hAnsi="Times New Roman" w:cs="Times New Roman"/>
                <w:sz w:val="24"/>
                <w:szCs w:val="24"/>
              </w:rPr>
              <w:t>36.0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2EF8" w:rsidRPr="00A95D30" w:rsidRDefault="00FE2EF8" w:rsidP="002048D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0">
              <w:rPr>
                <w:rFonts w:ascii="Times New Roman" w:hAnsi="Times New Roman" w:cs="Times New Roman"/>
                <w:sz w:val="24"/>
                <w:szCs w:val="24"/>
              </w:rPr>
              <w:t>34.0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EF8" w:rsidRPr="00A95D30" w:rsidRDefault="00FE2EF8" w:rsidP="002048D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0">
              <w:rPr>
                <w:rFonts w:ascii="Times New Roman" w:hAnsi="Times New Roman" w:cs="Times New Roman"/>
                <w:sz w:val="24"/>
                <w:szCs w:val="24"/>
              </w:rPr>
              <w:t>30.7</w:t>
            </w:r>
          </w:p>
        </w:tc>
      </w:tr>
      <w:tr w:rsidR="00A95D30" w:rsidRPr="00A95D30" w:rsidTr="00FE2EF8">
        <w:trPr>
          <w:trHeight w:val="352"/>
        </w:trPr>
        <w:tc>
          <w:tcPr>
            <w:tcW w:w="20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2EF8" w:rsidRPr="00A95D30" w:rsidRDefault="00FE2EF8" w:rsidP="002048D8">
            <w:pPr>
              <w:spacing w:after="12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0">
              <w:rPr>
                <w:rFonts w:ascii="Times New Roman" w:hAnsi="Times New Roman" w:cs="Times New Roman"/>
                <w:sz w:val="24"/>
                <w:szCs w:val="24"/>
              </w:rPr>
              <w:t>OR vs placebo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2EF8" w:rsidRPr="00A95D30" w:rsidRDefault="00FE2EF8" w:rsidP="00A224FB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0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Pr="00A95D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2EF8" w:rsidRPr="00A95D30" w:rsidRDefault="00FE2EF8" w:rsidP="002048D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2EF8" w:rsidRPr="00A95D30" w:rsidRDefault="00FE2EF8" w:rsidP="002048D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EF8" w:rsidRPr="00A95D30" w:rsidRDefault="00FE2EF8" w:rsidP="002048D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D30" w:rsidRPr="00A95D30" w:rsidTr="00FE2EF8">
        <w:trPr>
          <w:trHeight w:val="352"/>
        </w:trPr>
        <w:tc>
          <w:tcPr>
            <w:tcW w:w="20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2EF8" w:rsidRPr="00A95D30" w:rsidRDefault="00FE2EF8" w:rsidP="005E4973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0">
              <w:rPr>
                <w:rFonts w:ascii="Times New Roman" w:hAnsi="Times New Roman" w:cs="Times New Roman"/>
                <w:sz w:val="24"/>
                <w:szCs w:val="24"/>
              </w:rPr>
              <w:t>Chest symptoms (MCID 0.7 units)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2EF8" w:rsidRPr="00A95D30" w:rsidRDefault="00FE2EF8" w:rsidP="002048D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0">
              <w:rPr>
                <w:rFonts w:ascii="Times New Roman" w:hAnsi="Times New Roman" w:cs="Times New Roman"/>
                <w:sz w:val="24"/>
                <w:szCs w:val="24"/>
              </w:rPr>
              <w:t>41.9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2EF8" w:rsidRPr="00A95D30" w:rsidRDefault="00FE2EF8" w:rsidP="002048D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0">
              <w:rPr>
                <w:rFonts w:ascii="Times New Roman" w:hAnsi="Times New Roman" w:cs="Times New Roman"/>
                <w:sz w:val="24"/>
                <w:szCs w:val="24"/>
              </w:rPr>
              <w:t>37.7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2EF8" w:rsidRPr="00A95D30" w:rsidRDefault="00FE2EF8" w:rsidP="002048D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0">
              <w:rPr>
                <w:rFonts w:ascii="Times New Roman" w:hAnsi="Times New Roman" w:cs="Times New Roman"/>
                <w:sz w:val="24"/>
                <w:szCs w:val="24"/>
              </w:rPr>
              <w:t>36.1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EF8" w:rsidRPr="00A95D30" w:rsidRDefault="00FE2EF8" w:rsidP="002048D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0">
              <w:rPr>
                <w:rFonts w:ascii="Times New Roman" w:hAnsi="Times New Roman" w:cs="Times New Roman"/>
                <w:sz w:val="24"/>
                <w:szCs w:val="24"/>
              </w:rPr>
              <w:t>32.6</w:t>
            </w:r>
          </w:p>
        </w:tc>
      </w:tr>
      <w:tr w:rsidR="00A95D30" w:rsidRPr="00A95D30" w:rsidTr="00FE2EF8">
        <w:trPr>
          <w:trHeight w:val="352"/>
        </w:trPr>
        <w:tc>
          <w:tcPr>
            <w:tcW w:w="20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E2EF8" w:rsidRPr="00A95D30" w:rsidRDefault="00FE2EF8" w:rsidP="005E4973">
            <w:pPr>
              <w:spacing w:line="240" w:lineRule="auto"/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5D30">
              <w:rPr>
                <w:rFonts w:ascii="Times New Roman" w:hAnsi="Times New Roman" w:cs="Times New Roman"/>
                <w:sz w:val="24"/>
                <w:szCs w:val="24"/>
              </w:rPr>
              <w:t>OR vs placebo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E2EF8" w:rsidRPr="00A95D30" w:rsidRDefault="00FE2EF8" w:rsidP="002048D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0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Pr="00A95D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E2EF8" w:rsidRPr="00A95D30" w:rsidRDefault="00FE2EF8" w:rsidP="002048D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E2EF8" w:rsidRPr="00A95D30" w:rsidRDefault="00FE2EF8" w:rsidP="002048D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D3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E2EF8" w:rsidRPr="00A95D30" w:rsidRDefault="00FE2EF8" w:rsidP="002048D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16C9" w:rsidRPr="00A95D30" w:rsidRDefault="005E4973" w:rsidP="00B22469">
      <w:pPr>
        <w:contextualSpacing/>
        <w:rPr>
          <w:rFonts w:ascii="Times New Roman" w:hAnsi="Times New Roman" w:cs="Times New Roman"/>
          <w:sz w:val="24"/>
          <w:szCs w:val="24"/>
        </w:rPr>
      </w:pPr>
      <w:r w:rsidRPr="00A95D30">
        <w:rPr>
          <w:rFonts w:ascii="Times New Roman" w:hAnsi="Times New Roman" w:cs="Times New Roman"/>
          <w:sz w:val="24"/>
          <w:szCs w:val="24"/>
        </w:rPr>
        <w:t>Data are for the pool</w:t>
      </w:r>
      <w:r w:rsidR="00E216C9" w:rsidRPr="00A95D30">
        <w:rPr>
          <w:rFonts w:ascii="Times New Roman" w:hAnsi="Times New Roman" w:cs="Times New Roman"/>
          <w:sz w:val="24"/>
          <w:szCs w:val="24"/>
        </w:rPr>
        <w:t>ed ITT-exacerbations population</w:t>
      </w:r>
      <w:r w:rsidRPr="00A95D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16C9" w:rsidRPr="00A95D30" w:rsidRDefault="005E4973" w:rsidP="00B22469">
      <w:pPr>
        <w:contextualSpacing/>
        <w:rPr>
          <w:rFonts w:ascii="Times New Roman" w:hAnsi="Times New Roman" w:cs="Times New Roman"/>
          <w:sz w:val="24"/>
          <w:szCs w:val="24"/>
        </w:rPr>
      </w:pPr>
      <w:r w:rsidRPr="00A95D30"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 w:rsidR="00E216C9" w:rsidRPr="00A95D30">
        <w:rPr>
          <w:rFonts w:ascii="Times New Roman" w:hAnsi="Times New Roman" w:cs="Times New Roman"/>
          <w:sz w:val="24"/>
          <w:szCs w:val="24"/>
        </w:rPr>
        <w:t>p&lt;0.001,</w:t>
      </w:r>
      <w:r w:rsidRPr="00A95D30">
        <w:rPr>
          <w:rFonts w:ascii="Times New Roman" w:hAnsi="Times New Roman" w:cs="Times New Roman"/>
          <w:sz w:val="24"/>
          <w:szCs w:val="24"/>
        </w:rPr>
        <w:t xml:space="preserve"> </w:t>
      </w:r>
      <w:r w:rsidRPr="00A95D30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A95D30">
        <w:rPr>
          <w:rFonts w:ascii="Times New Roman" w:hAnsi="Times New Roman" w:cs="Times New Roman"/>
          <w:sz w:val="24"/>
          <w:szCs w:val="24"/>
        </w:rPr>
        <w:t>p&lt;0.01 v</w:t>
      </w:r>
      <w:r w:rsidR="00E216C9" w:rsidRPr="00A95D30">
        <w:rPr>
          <w:rFonts w:ascii="Times New Roman" w:hAnsi="Times New Roman" w:cs="Times New Roman"/>
          <w:sz w:val="24"/>
          <w:szCs w:val="24"/>
        </w:rPr>
        <w:t>s placebo</w:t>
      </w:r>
    </w:p>
    <w:p w:rsidR="005E4973" w:rsidRPr="00A95D30" w:rsidRDefault="005E4973" w:rsidP="00B22469">
      <w:pPr>
        <w:contextualSpacing/>
        <w:rPr>
          <w:rFonts w:ascii="Times New Roman" w:hAnsi="Times New Roman" w:cs="Times New Roman"/>
          <w:sz w:val="24"/>
          <w:szCs w:val="24"/>
        </w:rPr>
      </w:pPr>
      <w:r w:rsidRPr="00A95D30">
        <w:rPr>
          <w:rFonts w:ascii="Times New Roman" w:hAnsi="Times New Roman" w:cs="Times New Roman"/>
          <w:sz w:val="24"/>
          <w:szCs w:val="24"/>
        </w:rPr>
        <w:t xml:space="preserve">COPD, chronic obstructive pulmonary disease; </w:t>
      </w:r>
      <w:r w:rsidR="003024F8" w:rsidRPr="00A95D30">
        <w:rPr>
          <w:rFonts w:ascii="Times New Roman" w:hAnsi="Times New Roman" w:cs="Times New Roman"/>
          <w:sz w:val="24"/>
          <w:szCs w:val="24"/>
        </w:rPr>
        <w:t xml:space="preserve">E-RS, </w:t>
      </w:r>
      <w:proofErr w:type="spellStart"/>
      <w:r w:rsidR="003024F8" w:rsidRPr="00A95D30">
        <w:rPr>
          <w:rFonts w:ascii="Times New Roman" w:hAnsi="Times New Roman" w:cs="Times New Roman"/>
          <w:sz w:val="24"/>
          <w:szCs w:val="24"/>
        </w:rPr>
        <w:t>EXAcerbations</w:t>
      </w:r>
      <w:proofErr w:type="spellEnd"/>
      <w:r w:rsidR="003024F8" w:rsidRPr="00A95D30">
        <w:rPr>
          <w:rFonts w:ascii="Times New Roman" w:hAnsi="Times New Roman" w:cs="Times New Roman"/>
          <w:sz w:val="24"/>
          <w:szCs w:val="24"/>
        </w:rPr>
        <w:t xml:space="preserve"> of </w:t>
      </w:r>
      <w:r w:rsidR="00E216C9" w:rsidRPr="00A95D30">
        <w:rPr>
          <w:rFonts w:ascii="Times New Roman" w:hAnsi="Times New Roman" w:cs="Times New Roman"/>
          <w:sz w:val="24"/>
          <w:szCs w:val="24"/>
        </w:rPr>
        <w:t>Chronic pulmonary disease Tool (EXACT)</w:t>
      </w:r>
      <w:r w:rsidR="003024F8" w:rsidRPr="00A95D30">
        <w:rPr>
          <w:rFonts w:ascii="Times New Roman" w:hAnsi="Times New Roman" w:cs="Times New Roman"/>
          <w:sz w:val="24"/>
          <w:szCs w:val="24"/>
        </w:rPr>
        <w:t xml:space="preserve">-Respiratory Symptoms questionnaire; </w:t>
      </w:r>
      <w:r w:rsidRPr="00A95D30">
        <w:rPr>
          <w:rFonts w:ascii="Times New Roman" w:hAnsi="Times New Roman" w:cs="Times New Roman"/>
          <w:sz w:val="24"/>
          <w:szCs w:val="24"/>
        </w:rPr>
        <w:t xml:space="preserve">FDC, aclidinium/formoterol fixed-dose combination; ITT, intent-to-treat; </w:t>
      </w:r>
      <w:r w:rsidR="003024F8" w:rsidRPr="00A95D30">
        <w:rPr>
          <w:rFonts w:ascii="Times New Roman" w:hAnsi="Times New Roman" w:cs="Times New Roman"/>
          <w:sz w:val="24"/>
          <w:szCs w:val="24"/>
        </w:rPr>
        <w:t>MCID, mini</w:t>
      </w:r>
      <w:r w:rsidR="00E216C9" w:rsidRPr="00A95D30">
        <w:rPr>
          <w:rFonts w:ascii="Times New Roman" w:hAnsi="Times New Roman" w:cs="Times New Roman"/>
          <w:sz w:val="24"/>
          <w:szCs w:val="24"/>
        </w:rPr>
        <w:t>m</w:t>
      </w:r>
      <w:r w:rsidR="003024F8" w:rsidRPr="00A95D30">
        <w:rPr>
          <w:rFonts w:ascii="Times New Roman" w:hAnsi="Times New Roman" w:cs="Times New Roman"/>
          <w:sz w:val="24"/>
          <w:szCs w:val="24"/>
        </w:rPr>
        <w:t xml:space="preserve">um clinically important difference; </w:t>
      </w:r>
      <w:r w:rsidRPr="00A95D30">
        <w:rPr>
          <w:rFonts w:ascii="Times New Roman" w:hAnsi="Times New Roman" w:cs="Times New Roman"/>
          <w:sz w:val="24"/>
          <w:szCs w:val="24"/>
        </w:rPr>
        <w:t xml:space="preserve">OR, odds ratio; </w:t>
      </w:r>
      <w:r w:rsidR="00E216C9" w:rsidRPr="00A95D30">
        <w:rPr>
          <w:rFonts w:ascii="Times New Roman" w:hAnsi="Times New Roman" w:cs="Times New Roman"/>
          <w:sz w:val="24"/>
          <w:szCs w:val="24"/>
        </w:rPr>
        <w:t>TDI</w:t>
      </w:r>
      <w:r w:rsidRPr="00A95D30">
        <w:rPr>
          <w:rFonts w:ascii="Times New Roman" w:hAnsi="Times New Roman" w:cs="Times New Roman"/>
          <w:sz w:val="24"/>
          <w:szCs w:val="24"/>
        </w:rPr>
        <w:t>, Transition</w:t>
      </w:r>
      <w:r w:rsidR="00E216C9" w:rsidRPr="00A95D30">
        <w:rPr>
          <w:rFonts w:ascii="Times New Roman" w:hAnsi="Times New Roman" w:cs="Times New Roman"/>
          <w:sz w:val="24"/>
          <w:szCs w:val="24"/>
        </w:rPr>
        <w:t>al</w:t>
      </w:r>
      <w:r w:rsidRPr="00A95D30">
        <w:rPr>
          <w:rFonts w:ascii="Times New Roman" w:hAnsi="Times New Roman" w:cs="Times New Roman"/>
          <w:sz w:val="24"/>
          <w:szCs w:val="24"/>
        </w:rPr>
        <w:t xml:space="preserve"> Dyspnoea Index</w:t>
      </w:r>
    </w:p>
    <w:p w:rsidR="0021702C" w:rsidRPr="00A95D30" w:rsidRDefault="0021702C">
      <w:pPr>
        <w:rPr>
          <w:rFonts w:ascii="Times New Roman" w:hAnsi="Times New Roman" w:cs="Times New Roman"/>
          <w:sz w:val="24"/>
          <w:szCs w:val="24"/>
        </w:rPr>
        <w:sectPr w:rsidR="0021702C" w:rsidRPr="00A95D30" w:rsidSect="00F2325B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23175A" w:rsidRPr="00A95D30" w:rsidRDefault="0023175A" w:rsidP="0023175A">
      <w:pPr>
        <w:rPr>
          <w:rFonts w:ascii="Times New Roman" w:hAnsi="Times New Roman" w:cs="Times New Roman"/>
          <w:b/>
          <w:sz w:val="24"/>
          <w:szCs w:val="24"/>
        </w:rPr>
      </w:pPr>
      <w:r w:rsidRPr="00A95D30">
        <w:rPr>
          <w:rFonts w:ascii="Times New Roman" w:hAnsi="Times New Roman" w:cs="Times New Roman"/>
          <w:b/>
          <w:sz w:val="24"/>
          <w:szCs w:val="24"/>
        </w:rPr>
        <w:lastRenderedPageBreak/>
        <w:t>Figure S1. Improvement in TDI at Week 24, stratified by GOLD group</w:t>
      </w:r>
    </w:p>
    <w:p w:rsidR="0023175A" w:rsidRPr="00A95D30" w:rsidRDefault="0023175A" w:rsidP="0023175A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A95D30"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drawing>
          <wp:inline distT="0" distB="0" distL="0" distR="0" wp14:anchorId="5BB90A61" wp14:editId="64D00826">
            <wp:extent cx="6556248" cy="337413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6248" cy="3374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75A" w:rsidRPr="00A95D30" w:rsidRDefault="0023175A" w:rsidP="0023175A">
      <w:pPr>
        <w:spacing w:before="0" w:beforeAutospacing="0" w:after="0" w:afterAutospacing="0" w:line="480" w:lineRule="auto"/>
        <w:rPr>
          <w:rFonts w:ascii="Times New Roman" w:hAnsi="Times New Roman" w:cs="Times New Roman"/>
          <w:sz w:val="24"/>
          <w:szCs w:val="24"/>
        </w:rPr>
      </w:pPr>
      <w:r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Data are LS means ± SE for the pooled ITT population; </w:t>
      </w:r>
      <w:r w:rsidRPr="00A95D30"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 w:rsidRPr="00A95D30">
        <w:rPr>
          <w:rFonts w:ascii="Times New Roman" w:hAnsi="Times New Roman" w:cs="Times New Roman"/>
          <w:sz w:val="24"/>
          <w:szCs w:val="24"/>
        </w:rPr>
        <w:t xml:space="preserve">p&lt;0.001, </w:t>
      </w:r>
      <w:r w:rsidRPr="00A95D30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A95D30">
        <w:rPr>
          <w:rFonts w:ascii="Times New Roman" w:hAnsi="Times New Roman" w:cs="Times New Roman"/>
          <w:sz w:val="24"/>
          <w:szCs w:val="24"/>
        </w:rPr>
        <w:t xml:space="preserve">p&lt;0.01, </w:t>
      </w:r>
      <w:r w:rsidRPr="00A95D30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A95D30">
        <w:rPr>
          <w:rFonts w:ascii="Times New Roman" w:hAnsi="Times New Roman" w:cs="Times New Roman"/>
          <w:sz w:val="24"/>
          <w:szCs w:val="24"/>
        </w:rPr>
        <w:t xml:space="preserve">p&lt;0.05 vs placebo, </w:t>
      </w:r>
      <w:r w:rsidRPr="00A95D30">
        <w:rPr>
          <w:rFonts w:ascii="Times New Roman" w:hAnsi="Times New Roman" w:cs="Times New Roman"/>
          <w:sz w:val="24"/>
          <w:szCs w:val="24"/>
          <w:vertAlign w:val="superscript"/>
        </w:rPr>
        <w:t>‡</w:t>
      </w:r>
      <w:r w:rsidRPr="00A95D30">
        <w:rPr>
          <w:rFonts w:ascii="Times New Roman" w:hAnsi="Times New Roman" w:cs="Times New Roman"/>
          <w:sz w:val="24"/>
          <w:szCs w:val="24"/>
        </w:rPr>
        <w:t xml:space="preserve">p&lt;0.05 vs aclidinium, </w:t>
      </w:r>
      <w:r w:rsidRPr="00A95D30">
        <w:rPr>
          <w:rFonts w:ascii="Times New Roman" w:hAnsi="Times New Roman" w:cs="Times New Roman"/>
          <w:sz w:val="24"/>
          <w:szCs w:val="24"/>
          <w:vertAlign w:val="superscript"/>
        </w:rPr>
        <w:t>††</w:t>
      </w:r>
      <w:r w:rsidRPr="00A95D30">
        <w:rPr>
          <w:rFonts w:ascii="Times New Roman" w:hAnsi="Times New Roman" w:cs="Times New Roman"/>
          <w:sz w:val="24"/>
          <w:szCs w:val="24"/>
        </w:rPr>
        <w:t>p&lt;0.01 vs formoterol</w:t>
      </w:r>
    </w:p>
    <w:p w:rsidR="0023175A" w:rsidRPr="00A95D30" w:rsidRDefault="0023175A" w:rsidP="0023175A">
      <w:pPr>
        <w:spacing w:before="0" w:beforeAutospacing="0" w:after="0" w:afterAutospacing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95D30">
        <w:rPr>
          <w:rFonts w:ascii="Times New Roman" w:hAnsi="Times New Roman" w:cs="Times New Roman"/>
          <w:sz w:val="24"/>
          <w:szCs w:val="24"/>
        </w:rPr>
        <w:t>FDC, aclidinium/formoterol fixed-dose combination; ITT, intent-to-treat; LS, least squares; MCID, minimum clinically important difference; SE, standard error; TDI, Transition Dyspnoea Index</w:t>
      </w:r>
    </w:p>
    <w:p w:rsidR="0023175A" w:rsidRPr="00A95D30" w:rsidRDefault="0023175A" w:rsidP="009161BD">
      <w:pPr>
        <w:rPr>
          <w:rFonts w:ascii="Times New Roman" w:hAnsi="Times New Roman" w:cs="Times New Roman"/>
          <w:b/>
          <w:sz w:val="24"/>
          <w:szCs w:val="24"/>
        </w:rPr>
      </w:pPr>
    </w:p>
    <w:p w:rsidR="0023175A" w:rsidRPr="00A95D30" w:rsidRDefault="0023175A" w:rsidP="0023175A">
      <w:pPr>
        <w:rPr>
          <w:rFonts w:ascii="Times New Roman" w:hAnsi="Times New Roman" w:cs="Times New Roman"/>
          <w:b/>
          <w:sz w:val="24"/>
          <w:szCs w:val="24"/>
        </w:rPr>
      </w:pPr>
      <w:r w:rsidRPr="00A95D30">
        <w:rPr>
          <w:rFonts w:ascii="Times New Roman" w:hAnsi="Times New Roman" w:cs="Times New Roman"/>
          <w:b/>
          <w:sz w:val="24"/>
          <w:szCs w:val="24"/>
        </w:rPr>
        <w:lastRenderedPageBreak/>
        <w:t>Figure S2. Change from baseline in E-RS total score and domain scores over 24 weeks</w:t>
      </w:r>
    </w:p>
    <w:p w:rsidR="0023175A" w:rsidRPr="00A95D30" w:rsidRDefault="0023175A" w:rsidP="002317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5D30"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drawing>
          <wp:inline distT="0" distB="0" distL="0" distR="0" wp14:anchorId="2989627F" wp14:editId="16947A55">
            <wp:extent cx="3797965" cy="3348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P66795 FIGURE_S1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965" cy="33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75A" w:rsidRPr="00A95D30" w:rsidRDefault="0023175A" w:rsidP="0023175A">
      <w:pPr>
        <w:spacing w:before="0" w:beforeAutospacing="0" w:after="0" w:afterAutospacing="0"/>
        <w:rPr>
          <w:rStyle w:val="Emphasis"/>
          <w:rFonts w:ascii="Times New Roman" w:hAnsi="Times New Roman" w:cs="Times New Roman"/>
          <w:sz w:val="24"/>
          <w:szCs w:val="24"/>
        </w:rPr>
      </w:pPr>
      <w:r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t>Data are LS means ± SE for the pooled ITT population</w:t>
      </w:r>
      <w:r w:rsidRPr="00A95D30"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</w:p>
    <w:p w:rsidR="0023175A" w:rsidRPr="00A95D30" w:rsidRDefault="0023175A" w:rsidP="0023175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A95D30">
        <w:rPr>
          <w:rFonts w:ascii="Times New Roman" w:hAnsi="Times New Roman" w:cs="Times New Roman"/>
          <w:sz w:val="24"/>
          <w:szCs w:val="24"/>
        </w:rPr>
        <w:t xml:space="preserve">E-RS, </w:t>
      </w:r>
      <w:proofErr w:type="spellStart"/>
      <w:r w:rsidRPr="00A95D30">
        <w:rPr>
          <w:rFonts w:ascii="Times New Roman" w:hAnsi="Times New Roman" w:cs="Times New Roman"/>
          <w:sz w:val="24"/>
          <w:szCs w:val="24"/>
        </w:rPr>
        <w:t>EXAcerbations</w:t>
      </w:r>
      <w:proofErr w:type="spellEnd"/>
      <w:r w:rsidRPr="00A95D30">
        <w:rPr>
          <w:rFonts w:ascii="Times New Roman" w:hAnsi="Times New Roman" w:cs="Times New Roman"/>
          <w:sz w:val="24"/>
          <w:szCs w:val="24"/>
        </w:rPr>
        <w:t xml:space="preserve"> of Chronic pulmonary disease Tool (EXACT)-Respiratory Symptoms (E-RS) questionnaire; FDC, aclidinium/formoterol fixed-dose combination; ITT, intent-to-treat; LS, least squares; ns, not significant; SE, standard error</w:t>
      </w:r>
    </w:p>
    <w:p w:rsidR="0023175A" w:rsidRPr="00A95D30" w:rsidRDefault="0023175A" w:rsidP="0023175A">
      <w:pPr>
        <w:rPr>
          <w:rFonts w:ascii="Times New Roman" w:hAnsi="Times New Roman" w:cs="Times New Roman"/>
          <w:sz w:val="24"/>
          <w:szCs w:val="24"/>
        </w:rPr>
      </w:pPr>
      <w:r w:rsidRPr="00A95D30">
        <w:rPr>
          <w:rFonts w:ascii="Times New Roman" w:hAnsi="Times New Roman" w:cs="Times New Roman"/>
          <w:sz w:val="24"/>
          <w:szCs w:val="24"/>
        </w:rPr>
        <w:br w:type="page"/>
      </w:r>
    </w:p>
    <w:p w:rsidR="0023175A" w:rsidRPr="00A95D30" w:rsidRDefault="0023175A" w:rsidP="0023175A">
      <w:pPr>
        <w:rPr>
          <w:rFonts w:ascii="Times New Roman" w:hAnsi="Times New Roman" w:cs="Times New Roman"/>
          <w:b/>
          <w:sz w:val="24"/>
          <w:szCs w:val="24"/>
        </w:rPr>
      </w:pPr>
      <w:r w:rsidRPr="00A95D30">
        <w:rPr>
          <w:rFonts w:ascii="Times New Roman" w:hAnsi="Times New Roman" w:cs="Times New Roman"/>
          <w:b/>
          <w:sz w:val="24"/>
          <w:szCs w:val="24"/>
        </w:rPr>
        <w:lastRenderedPageBreak/>
        <w:t>Figure S3. Rate of COPD exacerbations of any severity based on HCRU (A) and EXACT (B) definitions, stratified by GOLD group</w:t>
      </w:r>
    </w:p>
    <w:p w:rsidR="0023175A" w:rsidRPr="00A95D30" w:rsidRDefault="0023175A" w:rsidP="002317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5D30"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drawing>
          <wp:inline distT="0" distB="0" distL="0" distR="0" wp14:anchorId="613E141B" wp14:editId="2596308B">
            <wp:extent cx="4542078" cy="5256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3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2078" cy="52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75A" w:rsidRPr="00A95D30" w:rsidRDefault="0023175A" w:rsidP="0023175A">
      <w:pPr>
        <w:spacing w:before="0" w:beforeAutospacing="0" w:after="0" w:afterAutospacing="0" w:line="480" w:lineRule="auto"/>
        <w:rPr>
          <w:rStyle w:val="Emphasis"/>
          <w:rFonts w:ascii="Times New Roman" w:hAnsi="Times New Roman" w:cs="Times New Roman"/>
          <w:i w:val="0"/>
          <w:sz w:val="24"/>
          <w:szCs w:val="24"/>
        </w:rPr>
      </w:pPr>
      <w:r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lastRenderedPageBreak/>
        <w:t xml:space="preserve">Data are LS means and RR (CI) for the pooled ITT exacerbations population; </w:t>
      </w:r>
      <w:r w:rsidRPr="00A95D30">
        <w:rPr>
          <w:rStyle w:val="Emphasis"/>
          <w:rFonts w:ascii="Times New Roman" w:hAnsi="Times New Roman" w:cs="Times New Roman"/>
          <w:i w:val="0"/>
          <w:sz w:val="24"/>
          <w:szCs w:val="24"/>
          <w:vertAlign w:val="superscript"/>
        </w:rPr>
        <w:t>*</w:t>
      </w:r>
      <w:r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p&lt;0.05, </w:t>
      </w:r>
      <w:r w:rsidRPr="00A95D30">
        <w:rPr>
          <w:rStyle w:val="Emphasis"/>
          <w:rFonts w:ascii="Times New Roman" w:hAnsi="Times New Roman" w:cs="Times New Roman"/>
          <w:i w:val="0"/>
          <w:sz w:val="24"/>
          <w:szCs w:val="24"/>
          <w:vertAlign w:val="superscript"/>
        </w:rPr>
        <w:t>**</w:t>
      </w:r>
      <w:r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p&lt;0.01 </w:t>
      </w:r>
      <w:proofErr w:type="spellStart"/>
      <w:r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t>vs</w:t>
      </w:r>
      <w:proofErr w:type="spellEnd"/>
      <w:r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 placebo; </w:t>
      </w:r>
      <w:proofErr w:type="spellStart"/>
      <w:r w:rsidRPr="00A95D30">
        <w:rPr>
          <w:rStyle w:val="Emphasis"/>
          <w:rFonts w:ascii="Times New Roman" w:hAnsi="Times New Roman" w:cs="Times New Roman"/>
          <w:i w:val="0"/>
          <w:sz w:val="24"/>
          <w:szCs w:val="24"/>
          <w:vertAlign w:val="superscript"/>
        </w:rPr>
        <w:t>ǂ</w:t>
      </w:r>
      <w:r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t>p</w:t>
      </w:r>
      <w:proofErr w:type="spellEnd"/>
      <w:r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&lt;0.05 </w:t>
      </w:r>
      <w:proofErr w:type="spellStart"/>
      <w:r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t>vs</w:t>
      </w:r>
      <w:proofErr w:type="spellEnd"/>
      <w:r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t>aclidinium</w:t>
      </w:r>
      <w:proofErr w:type="spellEnd"/>
      <w:r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23175A" w:rsidRPr="00A95D30" w:rsidRDefault="0023175A" w:rsidP="0023175A">
      <w:pPr>
        <w:spacing w:before="0" w:beforeAutospacing="0" w:after="0" w:afterAutospacing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CI, confidence interval; COPD, chronic obstructive pulmonary disease; EXACT; </w:t>
      </w:r>
      <w:proofErr w:type="spellStart"/>
      <w:r w:rsidRPr="00A95D30">
        <w:rPr>
          <w:rFonts w:ascii="Times New Roman" w:hAnsi="Times New Roman" w:cs="Times New Roman"/>
          <w:sz w:val="24"/>
          <w:szCs w:val="24"/>
        </w:rPr>
        <w:t>EXAcerbations</w:t>
      </w:r>
      <w:proofErr w:type="spellEnd"/>
      <w:r w:rsidRPr="00A95D30">
        <w:rPr>
          <w:rFonts w:ascii="Times New Roman" w:hAnsi="Times New Roman" w:cs="Times New Roman"/>
          <w:sz w:val="24"/>
          <w:szCs w:val="24"/>
        </w:rPr>
        <w:t xml:space="preserve"> of Chronic pulmonary disease Tool;</w:t>
      </w:r>
      <w:r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 FDC, aclidinium/formoterol fixed-dose combination; HCRU, Healthcare Resource </w:t>
      </w:r>
      <w:proofErr w:type="spellStart"/>
      <w:r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t>Utilisation</w:t>
      </w:r>
      <w:proofErr w:type="spellEnd"/>
      <w:r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t>; ITT, intent-to-treat; LS, least squares; RR, rate ratio</w:t>
      </w:r>
    </w:p>
    <w:p w:rsidR="0023175A" w:rsidRDefault="0023175A" w:rsidP="0023175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0B6673" w:rsidRDefault="000B6673" w:rsidP="0023175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0B6673" w:rsidRDefault="000B6673" w:rsidP="0023175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0B6673" w:rsidRDefault="000B6673" w:rsidP="0023175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0B6673" w:rsidRDefault="000B6673" w:rsidP="0023175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0B6673" w:rsidRDefault="000B6673" w:rsidP="0023175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0B6673" w:rsidRDefault="000B6673" w:rsidP="0023175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0B6673" w:rsidRDefault="000B6673" w:rsidP="0023175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0B6673" w:rsidRDefault="000B6673" w:rsidP="0023175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0B6673" w:rsidRDefault="000B6673" w:rsidP="0023175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0B6673" w:rsidRDefault="000B6673" w:rsidP="0023175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0B6673" w:rsidRDefault="000B6673" w:rsidP="0023175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0B6673" w:rsidRDefault="000B6673" w:rsidP="0023175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0B6673" w:rsidRDefault="000B6673" w:rsidP="0023175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0B6673" w:rsidRPr="00A95D30" w:rsidRDefault="000B6673" w:rsidP="0023175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23175A" w:rsidRPr="00A95D30" w:rsidRDefault="0023175A" w:rsidP="009161BD">
      <w:pPr>
        <w:rPr>
          <w:rFonts w:ascii="Times New Roman" w:hAnsi="Times New Roman" w:cs="Times New Roman"/>
          <w:b/>
          <w:sz w:val="24"/>
          <w:szCs w:val="24"/>
        </w:rPr>
      </w:pPr>
    </w:p>
    <w:p w:rsidR="00B00391" w:rsidRPr="00B00391" w:rsidRDefault="009161BD" w:rsidP="00B00391">
      <w:pPr>
        <w:rPr>
          <w:rFonts w:ascii="Times New Roman" w:hAnsi="Times New Roman" w:cs="Times New Roman"/>
          <w:b/>
          <w:sz w:val="24"/>
          <w:szCs w:val="24"/>
        </w:rPr>
      </w:pPr>
      <w:r w:rsidRPr="00A95D30">
        <w:rPr>
          <w:rFonts w:ascii="Times New Roman" w:hAnsi="Times New Roman" w:cs="Times New Roman"/>
          <w:b/>
          <w:sz w:val="24"/>
          <w:szCs w:val="24"/>
        </w:rPr>
        <w:lastRenderedPageBreak/>
        <w:t>F</w:t>
      </w:r>
      <w:r w:rsidR="00E969DC" w:rsidRPr="00A95D30">
        <w:rPr>
          <w:rFonts w:ascii="Times New Roman" w:hAnsi="Times New Roman" w:cs="Times New Roman"/>
          <w:b/>
          <w:sz w:val="24"/>
          <w:szCs w:val="24"/>
        </w:rPr>
        <w:t>igure S</w:t>
      </w:r>
      <w:r w:rsidR="0023175A" w:rsidRPr="00A95D30">
        <w:rPr>
          <w:rFonts w:ascii="Times New Roman" w:hAnsi="Times New Roman" w:cs="Times New Roman"/>
          <w:b/>
          <w:sz w:val="24"/>
          <w:szCs w:val="24"/>
        </w:rPr>
        <w:t>4</w:t>
      </w:r>
      <w:r w:rsidR="00E969DC" w:rsidRPr="00A95D30">
        <w:rPr>
          <w:rFonts w:ascii="Times New Roman" w:hAnsi="Times New Roman" w:cs="Times New Roman"/>
          <w:b/>
          <w:sz w:val="24"/>
          <w:szCs w:val="24"/>
        </w:rPr>
        <w:t>. HCRU and EXACT exacerbations, stratified by concomitant ICS use</w:t>
      </w:r>
    </w:p>
    <w:p w:rsidR="00286BDF" w:rsidRDefault="00286BDF" w:rsidP="00207B13">
      <w:pPr>
        <w:spacing w:before="0" w:beforeAutospacing="0" w:after="0" w:afterAutospacing="0" w:line="480" w:lineRule="auto"/>
        <w:rPr>
          <w:rStyle w:val="Emphasis"/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val="en-GB" w:eastAsia="en-GB"/>
        </w:rPr>
        <w:drawing>
          <wp:inline distT="0" distB="0" distL="0" distR="0">
            <wp:extent cx="4476750" cy="5118604"/>
            <wp:effectExtent l="0" t="0" r="0" b="6350"/>
            <wp:docPr id="2" name="Picture 2" descr="C:\Users\SYKE01\Desktop\FIGURE S4_22 July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YKE01\Desktop\FIGURE S4_22 July 2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74" t="13177" b="13145"/>
                    <a:stretch/>
                  </pic:blipFill>
                  <pic:spPr bwMode="auto">
                    <a:xfrm>
                      <a:off x="0" y="0"/>
                      <a:ext cx="4490607" cy="513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7B13" w:rsidRPr="00A95D30" w:rsidRDefault="009161BD" w:rsidP="00286BDF">
      <w:pPr>
        <w:rPr>
          <w:rStyle w:val="Emphasis"/>
          <w:rFonts w:ascii="Times New Roman" w:hAnsi="Times New Roman" w:cs="Times New Roman"/>
          <w:i w:val="0"/>
          <w:sz w:val="24"/>
          <w:szCs w:val="24"/>
        </w:rPr>
      </w:pPr>
      <w:r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lastRenderedPageBreak/>
        <w:t>Data are LS means</w:t>
      </w:r>
      <w:r w:rsidR="00207B13"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 and RR (CI) for the pooled ITT </w:t>
      </w:r>
      <w:r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exacerbations population; </w:t>
      </w:r>
      <w:r w:rsidRPr="00A95D30">
        <w:rPr>
          <w:rStyle w:val="Emphasis"/>
          <w:rFonts w:ascii="Times New Roman" w:hAnsi="Times New Roman" w:cs="Times New Roman"/>
          <w:i w:val="0"/>
          <w:sz w:val="24"/>
          <w:szCs w:val="24"/>
          <w:vertAlign w:val="superscript"/>
        </w:rPr>
        <w:t>*</w:t>
      </w:r>
      <w:r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p&lt;0.05 </w:t>
      </w:r>
      <w:proofErr w:type="spellStart"/>
      <w:r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t>vs</w:t>
      </w:r>
      <w:proofErr w:type="spellEnd"/>
      <w:r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 placebo; </w:t>
      </w:r>
      <w:proofErr w:type="spellStart"/>
      <w:r w:rsidRPr="00A95D30">
        <w:rPr>
          <w:rStyle w:val="Emphasis"/>
          <w:rFonts w:ascii="Times New Roman" w:hAnsi="Times New Roman" w:cs="Times New Roman"/>
          <w:i w:val="0"/>
          <w:sz w:val="24"/>
          <w:szCs w:val="24"/>
          <w:vertAlign w:val="superscript"/>
        </w:rPr>
        <w:t>ǂ</w:t>
      </w:r>
      <w:r w:rsidR="00207B13"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t>p</w:t>
      </w:r>
      <w:proofErr w:type="spellEnd"/>
      <w:r w:rsidR="00207B13"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&lt;0.05 </w:t>
      </w:r>
      <w:proofErr w:type="spellStart"/>
      <w:r w:rsidR="00207B13"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t>vs</w:t>
      </w:r>
      <w:proofErr w:type="spellEnd"/>
      <w:r w:rsidR="00207B13"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207B13"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t>aclidinium</w:t>
      </w:r>
      <w:proofErr w:type="spellEnd"/>
      <w:r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9161BD" w:rsidRPr="00A95D30" w:rsidRDefault="009161BD" w:rsidP="00207B13">
      <w:pPr>
        <w:spacing w:before="0" w:beforeAutospacing="0" w:after="0" w:afterAutospacing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t>CI, confidence interval; COPD, chronic obstr</w:t>
      </w:r>
      <w:r w:rsidR="00207B13"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t>uctive pulmonary disease; EXACT,</w:t>
      </w:r>
      <w:r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A95D30">
        <w:rPr>
          <w:rFonts w:ascii="Times New Roman" w:hAnsi="Times New Roman" w:cs="Times New Roman"/>
          <w:sz w:val="24"/>
          <w:szCs w:val="24"/>
        </w:rPr>
        <w:t>EXAcerbations</w:t>
      </w:r>
      <w:proofErr w:type="spellEnd"/>
      <w:r w:rsidRPr="00A95D30">
        <w:rPr>
          <w:rFonts w:ascii="Times New Roman" w:hAnsi="Times New Roman" w:cs="Times New Roman"/>
          <w:sz w:val="24"/>
          <w:szCs w:val="24"/>
        </w:rPr>
        <w:t xml:space="preserve"> of Chronic pulmonary disease Tool;</w:t>
      </w:r>
      <w:r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 FDC, aclidinium/formoterol fixed-dose combination; HCRU, Healthcare Resource </w:t>
      </w:r>
      <w:proofErr w:type="spellStart"/>
      <w:r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t>Utilisation</w:t>
      </w:r>
      <w:proofErr w:type="spellEnd"/>
      <w:r w:rsidRPr="00A95D30">
        <w:rPr>
          <w:rStyle w:val="Emphasis"/>
          <w:rFonts w:ascii="Times New Roman" w:hAnsi="Times New Roman" w:cs="Times New Roman"/>
          <w:i w:val="0"/>
          <w:sz w:val="24"/>
          <w:szCs w:val="24"/>
        </w:rPr>
        <w:t>; ITT, intent-to-treat; LS, least squares; RR, rate ratio</w:t>
      </w:r>
    </w:p>
    <w:p w:rsidR="009161BD" w:rsidRPr="00A95D30" w:rsidRDefault="009161BD" w:rsidP="009161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164" w:rsidRPr="00A95D30" w:rsidRDefault="00E969DC" w:rsidP="0023175A">
      <w:pPr>
        <w:rPr>
          <w:rFonts w:ascii="Times New Roman" w:hAnsi="Times New Roman" w:cs="Times New Roman"/>
          <w:b/>
          <w:sz w:val="24"/>
          <w:szCs w:val="24"/>
        </w:rPr>
      </w:pPr>
      <w:r w:rsidRPr="00A95D30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130ED" w:rsidRPr="00A95D30" w:rsidRDefault="000130ED" w:rsidP="000130ED">
      <w:pPr>
        <w:tabs>
          <w:tab w:val="right" w:pos="360"/>
          <w:tab w:val="left" w:pos="540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95D30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:rsidR="008D64F6" w:rsidRPr="00A95D30" w:rsidRDefault="00FE7319" w:rsidP="008D64F6">
      <w:pPr>
        <w:tabs>
          <w:tab w:val="left" w:pos="360"/>
        </w:tabs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A95D30">
        <w:rPr>
          <w:rFonts w:ascii="Times New Roman" w:hAnsi="Times New Roman" w:cs="Times New Roman"/>
          <w:sz w:val="24"/>
          <w:szCs w:val="24"/>
        </w:rPr>
        <w:fldChar w:fldCharType="begin"/>
      </w:r>
      <w:r w:rsidR="000130ED" w:rsidRPr="00A95D30">
        <w:rPr>
          <w:rFonts w:ascii="Times New Roman" w:hAnsi="Times New Roman" w:cs="Times New Roman"/>
          <w:sz w:val="24"/>
          <w:szCs w:val="24"/>
        </w:rPr>
        <w:instrText xml:space="preserve"> ADDIN REFMGR.REFLIST </w:instrText>
      </w:r>
      <w:r w:rsidRPr="00A95D30">
        <w:rPr>
          <w:rFonts w:ascii="Times New Roman" w:hAnsi="Times New Roman" w:cs="Times New Roman"/>
          <w:sz w:val="24"/>
          <w:szCs w:val="24"/>
        </w:rPr>
        <w:fldChar w:fldCharType="separate"/>
      </w:r>
      <w:r w:rsidR="008D64F6" w:rsidRPr="00A95D30">
        <w:rPr>
          <w:rFonts w:ascii="Times New Roman" w:hAnsi="Times New Roman" w:cs="Times New Roman"/>
          <w:sz w:val="24"/>
          <w:szCs w:val="24"/>
        </w:rPr>
        <w:t xml:space="preserve">1.   </w:t>
      </w:r>
      <w:r w:rsidR="008D64F6" w:rsidRPr="00A95D30">
        <w:rPr>
          <w:rFonts w:ascii="Times New Roman" w:hAnsi="Times New Roman" w:cs="Times New Roman"/>
          <w:sz w:val="24"/>
          <w:szCs w:val="24"/>
        </w:rPr>
        <w:tab/>
        <w:t>Leidy NK, Murray LT, Monz BU, Nelsen L, Goldman M, Jones PW et al. Measuring respiratory symptoms of COPD: performance of the EXACT-Respiratory Symptoms Tool (E-RS) in three clinical trials. Respir Res 2014;15:124.</w:t>
      </w:r>
    </w:p>
    <w:p w:rsidR="008D64F6" w:rsidRPr="00A95D30" w:rsidRDefault="008D64F6" w:rsidP="008D64F6">
      <w:pPr>
        <w:tabs>
          <w:tab w:val="left" w:pos="360"/>
        </w:tabs>
        <w:spacing w:after="0" w:line="48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0130ED" w:rsidRPr="00A95D30" w:rsidRDefault="00FE7319" w:rsidP="008D64F6">
      <w:pPr>
        <w:tabs>
          <w:tab w:val="left" w:pos="360"/>
        </w:tabs>
        <w:spacing w:after="0" w:line="48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A95D30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0130ED" w:rsidRPr="00A95D30" w:rsidSect="0021702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462" w:rsidRDefault="00AA6462" w:rsidP="00315C61">
      <w:pPr>
        <w:spacing w:before="0" w:after="0" w:line="240" w:lineRule="auto"/>
      </w:pPr>
      <w:r>
        <w:separator/>
      </w:r>
    </w:p>
  </w:endnote>
  <w:endnote w:type="continuationSeparator" w:id="0">
    <w:p w:rsidR="00AA6462" w:rsidRDefault="00AA6462" w:rsidP="00315C6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22070"/>
      <w:docPartObj>
        <w:docPartGallery w:val="Page Numbers (Bottom of Page)"/>
        <w:docPartUnique/>
      </w:docPartObj>
    </w:sdtPr>
    <w:sdtEndPr/>
    <w:sdtContent>
      <w:p w:rsidR="002B3310" w:rsidRDefault="00FE7319" w:rsidP="00315C61">
        <w:pPr>
          <w:pStyle w:val="Footer"/>
          <w:jc w:val="right"/>
        </w:pPr>
        <w:r>
          <w:fldChar w:fldCharType="begin"/>
        </w:r>
        <w:r w:rsidR="00550D5E">
          <w:instrText xml:space="preserve"> PAGE   \* MERGEFORMAT </w:instrText>
        </w:r>
        <w:r>
          <w:fldChar w:fldCharType="separate"/>
        </w:r>
        <w:r w:rsidR="00B0039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462" w:rsidRDefault="00AA6462" w:rsidP="00315C61">
      <w:pPr>
        <w:spacing w:before="0" w:after="0" w:line="240" w:lineRule="auto"/>
      </w:pPr>
      <w:r>
        <w:separator/>
      </w:r>
    </w:p>
  </w:footnote>
  <w:footnote w:type="continuationSeparator" w:id="0">
    <w:p w:rsidR="00AA6462" w:rsidRDefault="00AA6462" w:rsidP="00315C6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F7E96"/>
    <w:multiLevelType w:val="hybridMultilevel"/>
    <w:tmpl w:val="2C30A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FMGR.InstantFormat" w:val="&lt;InstantFormat&gt;&lt;Enabled&gt;1&lt;/Enabled&gt;&lt;ScanUnformatted&gt;1&lt;/ScanUnformatted&gt;&lt;ScanChanges&gt;1&lt;/ScanChanges&gt;&lt;/InstantFormat&gt;"/>
    <w:docVar w:name="REFMGR.Layout" w:val="&lt;Layout&gt;&lt;StartingRefnum&gt;I:\Output Styles\Respiratory Research.os&lt;/StartingRefnum&gt;&lt;FontName&gt;Times New Roman&lt;/FontName&gt;&lt;FontSize&gt;12&lt;/FontSize&gt;&lt;ReflistTitle&gt;&lt;/ReflistTitle&gt;&lt;SpaceAfter&gt;1&lt;/SpaceAfter&gt;&lt;ReflistOrder&gt;0&lt;/ReflistOrder&gt;&lt;CitationOrder&gt;0&lt;/CitationOrder&gt;&lt;NumberReferences&gt;1&lt;/NumberReferences&gt;&lt;FirstLineIndent&gt;0&lt;/FirstLineIndent&gt;&lt;HangingIndent&gt;0&lt;/HangingIndent&gt;&lt;LineSpacing&gt;2&lt;/LineSpacing&gt;&lt;ShowReprint&gt;1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Almirall LAS-34273&lt;/item&gt;&lt;/Libraries&gt;&lt;/Databases&gt;"/>
  </w:docVars>
  <w:rsids>
    <w:rsidRoot w:val="00F256B9"/>
    <w:rsid w:val="00002FF4"/>
    <w:rsid w:val="000034F4"/>
    <w:rsid w:val="00005B73"/>
    <w:rsid w:val="00006AFA"/>
    <w:rsid w:val="000130ED"/>
    <w:rsid w:val="000145DC"/>
    <w:rsid w:val="00017DF7"/>
    <w:rsid w:val="00023BB0"/>
    <w:rsid w:val="00024A3E"/>
    <w:rsid w:val="00040198"/>
    <w:rsid w:val="000455BA"/>
    <w:rsid w:val="00047FB2"/>
    <w:rsid w:val="000545A2"/>
    <w:rsid w:val="00056167"/>
    <w:rsid w:val="00057663"/>
    <w:rsid w:val="000666E6"/>
    <w:rsid w:val="00070EFB"/>
    <w:rsid w:val="00072F8D"/>
    <w:rsid w:val="00074F93"/>
    <w:rsid w:val="00077516"/>
    <w:rsid w:val="000813C1"/>
    <w:rsid w:val="00083C72"/>
    <w:rsid w:val="00083D84"/>
    <w:rsid w:val="00085CB3"/>
    <w:rsid w:val="00093180"/>
    <w:rsid w:val="000A009F"/>
    <w:rsid w:val="000B1E76"/>
    <w:rsid w:val="000B3654"/>
    <w:rsid w:val="000B6673"/>
    <w:rsid w:val="000D053B"/>
    <w:rsid w:val="000D10DA"/>
    <w:rsid w:val="000D347F"/>
    <w:rsid w:val="000D58B3"/>
    <w:rsid w:val="000E5164"/>
    <w:rsid w:val="000F1F60"/>
    <w:rsid w:val="000F3FA8"/>
    <w:rsid w:val="0011187C"/>
    <w:rsid w:val="00111DDA"/>
    <w:rsid w:val="0011333F"/>
    <w:rsid w:val="00116BC8"/>
    <w:rsid w:val="00123DCB"/>
    <w:rsid w:val="001406A9"/>
    <w:rsid w:val="00145C4E"/>
    <w:rsid w:val="00147FB9"/>
    <w:rsid w:val="001504EA"/>
    <w:rsid w:val="001518CE"/>
    <w:rsid w:val="0015504A"/>
    <w:rsid w:val="001562B1"/>
    <w:rsid w:val="00175BBE"/>
    <w:rsid w:val="00180520"/>
    <w:rsid w:val="00181412"/>
    <w:rsid w:val="00184305"/>
    <w:rsid w:val="001937D9"/>
    <w:rsid w:val="00195A6E"/>
    <w:rsid w:val="001A2948"/>
    <w:rsid w:val="001A49B7"/>
    <w:rsid w:val="001A6CBC"/>
    <w:rsid w:val="001C60C4"/>
    <w:rsid w:val="001E454F"/>
    <w:rsid w:val="001E684A"/>
    <w:rsid w:val="001E71FE"/>
    <w:rsid w:val="00200CD8"/>
    <w:rsid w:val="002048D8"/>
    <w:rsid w:val="002059C9"/>
    <w:rsid w:val="002069BE"/>
    <w:rsid w:val="00207B13"/>
    <w:rsid w:val="00210232"/>
    <w:rsid w:val="00211BEB"/>
    <w:rsid w:val="0021702C"/>
    <w:rsid w:val="002210B9"/>
    <w:rsid w:val="002249AA"/>
    <w:rsid w:val="0022522E"/>
    <w:rsid w:val="00227A3F"/>
    <w:rsid w:val="0023175A"/>
    <w:rsid w:val="00240A5F"/>
    <w:rsid w:val="00241C72"/>
    <w:rsid w:val="00250838"/>
    <w:rsid w:val="0025368B"/>
    <w:rsid w:val="00253C26"/>
    <w:rsid w:val="00257CF4"/>
    <w:rsid w:val="00275630"/>
    <w:rsid w:val="00277799"/>
    <w:rsid w:val="00286BDF"/>
    <w:rsid w:val="00287C34"/>
    <w:rsid w:val="00287FA5"/>
    <w:rsid w:val="00294DEE"/>
    <w:rsid w:val="00295916"/>
    <w:rsid w:val="00296729"/>
    <w:rsid w:val="002A104A"/>
    <w:rsid w:val="002A1CEE"/>
    <w:rsid w:val="002B0999"/>
    <w:rsid w:val="002B1C2C"/>
    <w:rsid w:val="002B2C08"/>
    <w:rsid w:val="002B3310"/>
    <w:rsid w:val="002C541F"/>
    <w:rsid w:val="002D4AC8"/>
    <w:rsid w:val="002D777E"/>
    <w:rsid w:val="002E55A5"/>
    <w:rsid w:val="003024F8"/>
    <w:rsid w:val="00307B61"/>
    <w:rsid w:val="003110DE"/>
    <w:rsid w:val="00312216"/>
    <w:rsid w:val="003122F8"/>
    <w:rsid w:val="00315A4B"/>
    <w:rsid w:val="00315C61"/>
    <w:rsid w:val="003201AD"/>
    <w:rsid w:val="00334170"/>
    <w:rsid w:val="00336AE7"/>
    <w:rsid w:val="003422BB"/>
    <w:rsid w:val="003437FA"/>
    <w:rsid w:val="00343AC2"/>
    <w:rsid w:val="00345467"/>
    <w:rsid w:val="00357C93"/>
    <w:rsid w:val="00374E8D"/>
    <w:rsid w:val="00382C8E"/>
    <w:rsid w:val="003870E0"/>
    <w:rsid w:val="003875C1"/>
    <w:rsid w:val="003A2251"/>
    <w:rsid w:val="003A3449"/>
    <w:rsid w:val="003B03F9"/>
    <w:rsid w:val="003B19AE"/>
    <w:rsid w:val="003C7857"/>
    <w:rsid w:val="003E1889"/>
    <w:rsid w:val="003E53E9"/>
    <w:rsid w:val="003F00BD"/>
    <w:rsid w:val="003F0449"/>
    <w:rsid w:val="003F323C"/>
    <w:rsid w:val="00405C60"/>
    <w:rsid w:val="00405FCB"/>
    <w:rsid w:val="00415FE8"/>
    <w:rsid w:val="0042090E"/>
    <w:rsid w:val="0042102D"/>
    <w:rsid w:val="00430CA0"/>
    <w:rsid w:val="00432B14"/>
    <w:rsid w:val="0044336A"/>
    <w:rsid w:val="0044389E"/>
    <w:rsid w:val="00453C86"/>
    <w:rsid w:val="00454816"/>
    <w:rsid w:val="00462832"/>
    <w:rsid w:val="00463F7D"/>
    <w:rsid w:val="004668B9"/>
    <w:rsid w:val="00473889"/>
    <w:rsid w:val="00474654"/>
    <w:rsid w:val="004776D8"/>
    <w:rsid w:val="004869C8"/>
    <w:rsid w:val="004A158D"/>
    <w:rsid w:val="004A2F23"/>
    <w:rsid w:val="004A7C88"/>
    <w:rsid w:val="004B6736"/>
    <w:rsid w:val="004C312B"/>
    <w:rsid w:val="004C6577"/>
    <w:rsid w:val="004D58F6"/>
    <w:rsid w:val="004E006D"/>
    <w:rsid w:val="004E773C"/>
    <w:rsid w:val="004F4BC6"/>
    <w:rsid w:val="00506503"/>
    <w:rsid w:val="00513565"/>
    <w:rsid w:val="00515E8F"/>
    <w:rsid w:val="00520B4F"/>
    <w:rsid w:val="005235DF"/>
    <w:rsid w:val="0054045D"/>
    <w:rsid w:val="00544321"/>
    <w:rsid w:val="00550D5E"/>
    <w:rsid w:val="00556EBE"/>
    <w:rsid w:val="00562776"/>
    <w:rsid w:val="00564233"/>
    <w:rsid w:val="005831B0"/>
    <w:rsid w:val="00590BFC"/>
    <w:rsid w:val="00593D87"/>
    <w:rsid w:val="005A1A1A"/>
    <w:rsid w:val="005A25FF"/>
    <w:rsid w:val="005A4506"/>
    <w:rsid w:val="005B31ED"/>
    <w:rsid w:val="005B4AA4"/>
    <w:rsid w:val="005C0856"/>
    <w:rsid w:val="005C0C1D"/>
    <w:rsid w:val="005C420A"/>
    <w:rsid w:val="005C5036"/>
    <w:rsid w:val="005D1DF0"/>
    <w:rsid w:val="005E4973"/>
    <w:rsid w:val="005E5231"/>
    <w:rsid w:val="005F328A"/>
    <w:rsid w:val="00603F89"/>
    <w:rsid w:val="00604860"/>
    <w:rsid w:val="00604E0B"/>
    <w:rsid w:val="00607C46"/>
    <w:rsid w:val="00632F3F"/>
    <w:rsid w:val="00636814"/>
    <w:rsid w:val="00637270"/>
    <w:rsid w:val="006419A7"/>
    <w:rsid w:val="006420F8"/>
    <w:rsid w:val="00642B91"/>
    <w:rsid w:val="00646A6C"/>
    <w:rsid w:val="00663C2D"/>
    <w:rsid w:val="00670B27"/>
    <w:rsid w:val="00672CF5"/>
    <w:rsid w:val="00674412"/>
    <w:rsid w:val="006814EA"/>
    <w:rsid w:val="00681EF1"/>
    <w:rsid w:val="006825C6"/>
    <w:rsid w:val="00685048"/>
    <w:rsid w:val="00690023"/>
    <w:rsid w:val="006A4D7E"/>
    <w:rsid w:val="006B1864"/>
    <w:rsid w:val="006B36CF"/>
    <w:rsid w:val="006B7506"/>
    <w:rsid w:val="006C633E"/>
    <w:rsid w:val="006D0245"/>
    <w:rsid w:val="006D6EBE"/>
    <w:rsid w:val="006E021A"/>
    <w:rsid w:val="00700EFD"/>
    <w:rsid w:val="00731837"/>
    <w:rsid w:val="00732106"/>
    <w:rsid w:val="00745B02"/>
    <w:rsid w:val="00761C12"/>
    <w:rsid w:val="0076283B"/>
    <w:rsid w:val="00764780"/>
    <w:rsid w:val="007647B2"/>
    <w:rsid w:val="00770829"/>
    <w:rsid w:val="00773E64"/>
    <w:rsid w:val="00791227"/>
    <w:rsid w:val="007957CF"/>
    <w:rsid w:val="00797F90"/>
    <w:rsid w:val="007B7E5E"/>
    <w:rsid w:val="007C5B46"/>
    <w:rsid w:val="007C7A5D"/>
    <w:rsid w:val="007E5AB0"/>
    <w:rsid w:val="007F33A4"/>
    <w:rsid w:val="00802403"/>
    <w:rsid w:val="00805E57"/>
    <w:rsid w:val="00811EF1"/>
    <w:rsid w:val="00820830"/>
    <w:rsid w:val="00821DA0"/>
    <w:rsid w:val="00823D54"/>
    <w:rsid w:val="00826E63"/>
    <w:rsid w:val="00831476"/>
    <w:rsid w:val="0083306A"/>
    <w:rsid w:val="008409B1"/>
    <w:rsid w:val="0085024D"/>
    <w:rsid w:val="00852DD1"/>
    <w:rsid w:val="00864C75"/>
    <w:rsid w:val="0086758B"/>
    <w:rsid w:val="008705AC"/>
    <w:rsid w:val="00872797"/>
    <w:rsid w:val="00874D58"/>
    <w:rsid w:val="008771C3"/>
    <w:rsid w:val="0088282E"/>
    <w:rsid w:val="00897E68"/>
    <w:rsid w:val="008A7821"/>
    <w:rsid w:val="008B1B7B"/>
    <w:rsid w:val="008B4D78"/>
    <w:rsid w:val="008B52C0"/>
    <w:rsid w:val="008C0AE4"/>
    <w:rsid w:val="008C2812"/>
    <w:rsid w:val="008C46A2"/>
    <w:rsid w:val="008C78CC"/>
    <w:rsid w:val="008D64F6"/>
    <w:rsid w:val="008F1595"/>
    <w:rsid w:val="008F1610"/>
    <w:rsid w:val="008F3431"/>
    <w:rsid w:val="008F3CE4"/>
    <w:rsid w:val="008F7E6B"/>
    <w:rsid w:val="0091097E"/>
    <w:rsid w:val="00911A8A"/>
    <w:rsid w:val="00913BBE"/>
    <w:rsid w:val="009161BD"/>
    <w:rsid w:val="00916227"/>
    <w:rsid w:val="009200D3"/>
    <w:rsid w:val="009303BE"/>
    <w:rsid w:val="00931436"/>
    <w:rsid w:val="0093749E"/>
    <w:rsid w:val="00940265"/>
    <w:rsid w:val="00944491"/>
    <w:rsid w:val="00951717"/>
    <w:rsid w:val="00953192"/>
    <w:rsid w:val="00956B3F"/>
    <w:rsid w:val="00982606"/>
    <w:rsid w:val="0098516E"/>
    <w:rsid w:val="009A0A18"/>
    <w:rsid w:val="009A73DA"/>
    <w:rsid w:val="009B4A51"/>
    <w:rsid w:val="009B760E"/>
    <w:rsid w:val="009C4D35"/>
    <w:rsid w:val="009D017A"/>
    <w:rsid w:val="009D75D9"/>
    <w:rsid w:val="009E2E04"/>
    <w:rsid w:val="009E5E55"/>
    <w:rsid w:val="00A017BB"/>
    <w:rsid w:val="00A02885"/>
    <w:rsid w:val="00A224FB"/>
    <w:rsid w:val="00A248F0"/>
    <w:rsid w:val="00A24946"/>
    <w:rsid w:val="00A449B6"/>
    <w:rsid w:val="00A51F8A"/>
    <w:rsid w:val="00A62393"/>
    <w:rsid w:val="00A623D8"/>
    <w:rsid w:val="00A666C4"/>
    <w:rsid w:val="00A709E5"/>
    <w:rsid w:val="00A729AD"/>
    <w:rsid w:val="00A73ED4"/>
    <w:rsid w:val="00A73FF6"/>
    <w:rsid w:val="00A75DB9"/>
    <w:rsid w:val="00A9190F"/>
    <w:rsid w:val="00A95D30"/>
    <w:rsid w:val="00A97F44"/>
    <w:rsid w:val="00AA0C1F"/>
    <w:rsid w:val="00AA6462"/>
    <w:rsid w:val="00AB165B"/>
    <w:rsid w:val="00AC3AC1"/>
    <w:rsid w:val="00AC6C89"/>
    <w:rsid w:val="00AD1C0F"/>
    <w:rsid w:val="00AF1061"/>
    <w:rsid w:val="00B00391"/>
    <w:rsid w:val="00B02EF9"/>
    <w:rsid w:val="00B04911"/>
    <w:rsid w:val="00B11811"/>
    <w:rsid w:val="00B22469"/>
    <w:rsid w:val="00B25CCF"/>
    <w:rsid w:val="00B3188F"/>
    <w:rsid w:val="00B31E9F"/>
    <w:rsid w:val="00B4135F"/>
    <w:rsid w:val="00B41ADB"/>
    <w:rsid w:val="00B42D90"/>
    <w:rsid w:val="00B43129"/>
    <w:rsid w:val="00B60145"/>
    <w:rsid w:val="00B63797"/>
    <w:rsid w:val="00B66200"/>
    <w:rsid w:val="00B67ACB"/>
    <w:rsid w:val="00B73827"/>
    <w:rsid w:val="00B83B3C"/>
    <w:rsid w:val="00B91CCA"/>
    <w:rsid w:val="00B92187"/>
    <w:rsid w:val="00B978B2"/>
    <w:rsid w:val="00BA2712"/>
    <w:rsid w:val="00BA3E74"/>
    <w:rsid w:val="00BA6802"/>
    <w:rsid w:val="00BA6D34"/>
    <w:rsid w:val="00BB14B8"/>
    <w:rsid w:val="00BC29D1"/>
    <w:rsid w:val="00BD56F5"/>
    <w:rsid w:val="00BE534F"/>
    <w:rsid w:val="00BE6DA2"/>
    <w:rsid w:val="00BF65D5"/>
    <w:rsid w:val="00BF7D21"/>
    <w:rsid w:val="00C05EFF"/>
    <w:rsid w:val="00C07AF0"/>
    <w:rsid w:val="00C11F7B"/>
    <w:rsid w:val="00C12962"/>
    <w:rsid w:val="00C1384F"/>
    <w:rsid w:val="00C23549"/>
    <w:rsid w:val="00C255FC"/>
    <w:rsid w:val="00C335B3"/>
    <w:rsid w:val="00C358B0"/>
    <w:rsid w:val="00C52E2C"/>
    <w:rsid w:val="00C53A4C"/>
    <w:rsid w:val="00C6466F"/>
    <w:rsid w:val="00C7272E"/>
    <w:rsid w:val="00C72CA8"/>
    <w:rsid w:val="00C838FE"/>
    <w:rsid w:val="00CA7579"/>
    <w:rsid w:val="00CB1987"/>
    <w:rsid w:val="00CB4B8E"/>
    <w:rsid w:val="00CC0EB2"/>
    <w:rsid w:val="00CC35D0"/>
    <w:rsid w:val="00CC4D71"/>
    <w:rsid w:val="00CD1322"/>
    <w:rsid w:val="00CD1496"/>
    <w:rsid w:val="00CE01EA"/>
    <w:rsid w:val="00CE0E09"/>
    <w:rsid w:val="00CE3BB5"/>
    <w:rsid w:val="00CE3F16"/>
    <w:rsid w:val="00CE49CD"/>
    <w:rsid w:val="00CE6AD0"/>
    <w:rsid w:val="00D012A8"/>
    <w:rsid w:val="00D03A7A"/>
    <w:rsid w:val="00D07563"/>
    <w:rsid w:val="00D07E02"/>
    <w:rsid w:val="00D112FE"/>
    <w:rsid w:val="00D21354"/>
    <w:rsid w:val="00D33A8F"/>
    <w:rsid w:val="00D33D13"/>
    <w:rsid w:val="00D36BED"/>
    <w:rsid w:val="00D433CD"/>
    <w:rsid w:val="00D449B1"/>
    <w:rsid w:val="00D4760D"/>
    <w:rsid w:val="00D51512"/>
    <w:rsid w:val="00D52FD9"/>
    <w:rsid w:val="00D53CCB"/>
    <w:rsid w:val="00D57E51"/>
    <w:rsid w:val="00D627AF"/>
    <w:rsid w:val="00D67C10"/>
    <w:rsid w:val="00D71B89"/>
    <w:rsid w:val="00D727D5"/>
    <w:rsid w:val="00D76DA0"/>
    <w:rsid w:val="00D818FE"/>
    <w:rsid w:val="00D84084"/>
    <w:rsid w:val="00D86C2F"/>
    <w:rsid w:val="00DA1745"/>
    <w:rsid w:val="00DA5DA6"/>
    <w:rsid w:val="00DC72AA"/>
    <w:rsid w:val="00DD19EA"/>
    <w:rsid w:val="00DD4077"/>
    <w:rsid w:val="00DE3DB6"/>
    <w:rsid w:val="00DE496C"/>
    <w:rsid w:val="00DF1068"/>
    <w:rsid w:val="00DF2F15"/>
    <w:rsid w:val="00E01B43"/>
    <w:rsid w:val="00E039E8"/>
    <w:rsid w:val="00E16599"/>
    <w:rsid w:val="00E17706"/>
    <w:rsid w:val="00E216C9"/>
    <w:rsid w:val="00E24FB0"/>
    <w:rsid w:val="00E27B4E"/>
    <w:rsid w:val="00E301EA"/>
    <w:rsid w:val="00E324D0"/>
    <w:rsid w:val="00E371B7"/>
    <w:rsid w:val="00E40389"/>
    <w:rsid w:val="00E4068E"/>
    <w:rsid w:val="00E46D05"/>
    <w:rsid w:val="00E50523"/>
    <w:rsid w:val="00E510F2"/>
    <w:rsid w:val="00E56056"/>
    <w:rsid w:val="00E64578"/>
    <w:rsid w:val="00E7186D"/>
    <w:rsid w:val="00E7429B"/>
    <w:rsid w:val="00E749AB"/>
    <w:rsid w:val="00E76A70"/>
    <w:rsid w:val="00E9289B"/>
    <w:rsid w:val="00E935CA"/>
    <w:rsid w:val="00E969DC"/>
    <w:rsid w:val="00EA20AE"/>
    <w:rsid w:val="00EA28DD"/>
    <w:rsid w:val="00EA5733"/>
    <w:rsid w:val="00EA6751"/>
    <w:rsid w:val="00EB5962"/>
    <w:rsid w:val="00ED5B41"/>
    <w:rsid w:val="00ED5C9D"/>
    <w:rsid w:val="00F019A3"/>
    <w:rsid w:val="00F0500C"/>
    <w:rsid w:val="00F12CD9"/>
    <w:rsid w:val="00F14D2A"/>
    <w:rsid w:val="00F174E8"/>
    <w:rsid w:val="00F17DD2"/>
    <w:rsid w:val="00F22309"/>
    <w:rsid w:val="00F2325B"/>
    <w:rsid w:val="00F256B9"/>
    <w:rsid w:val="00F331C9"/>
    <w:rsid w:val="00F44E3C"/>
    <w:rsid w:val="00F52D91"/>
    <w:rsid w:val="00F52E7D"/>
    <w:rsid w:val="00F54BDC"/>
    <w:rsid w:val="00F555C3"/>
    <w:rsid w:val="00F64524"/>
    <w:rsid w:val="00FA0B6C"/>
    <w:rsid w:val="00FA2596"/>
    <w:rsid w:val="00FA2873"/>
    <w:rsid w:val="00FA3FC9"/>
    <w:rsid w:val="00FA4DBE"/>
    <w:rsid w:val="00FB0A27"/>
    <w:rsid w:val="00FB1E6D"/>
    <w:rsid w:val="00FB6ABC"/>
    <w:rsid w:val="00FC0E7A"/>
    <w:rsid w:val="00FC2BCD"/>
    <w:rsid w:val="00FC62E9"/>
    <w:rsid w:val="00FE138B"/>
    <w:rsid w:val="00FE1CD7"/>
    <w:rsid w:val="00FE2EF8"/>
    <w:rsid w:val="00FE49E6"/>
    <w:rsid w:val="00FE5B3E"/>
    <w:rsid w:val="00FE7319"/>
    <w:rsid w:val="00FF344F"/>
    <w:rsid w:val="00FF34AE"/>
    <w:rsid w:val="00FF35BE"/>
    <w:rsid w:val="00FF6D4D"/>
    <w:rsid w:val="00FF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25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6B9"/>
    <w:pPr>
      <w:spacing w:line="240" w:lineRule="auto"/>
    </w:pPr>
    <w:rPr>
      <w:rFonts w:ascii="Times" w:eastAsiaTheme="minorEastAsia" w:hAnsi="Times" w:cs="Times New Roman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F256B9"/>
    <w:pPr>
      <w:spacing w:before="0" w:beforeAutospacing="0" w:after="200" w:afterAutospacing="0" w:line="276" w:lineRule="auto"/>
      <w:ind w:left="720"/>
      <w:contextualSpacing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224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4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469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4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469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46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46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0130ED"/>
    <w:rPr>
      <w:color w:val="0000FF" w:themeColor="hyperlink"/>
      <w:u w:val="single"/>
    </w:rPr>
  </w:style>
  <w:style w:type="character" w:styleId="Emphasis">
    <w:name w:val="Emphasis"/>
    <w:uiPriority w:val="20"/>
    <w:qFormat/>
    <w:rsid w:val="008705AC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315C6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5C6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15C6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C61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25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6B9"/>
    <w:pPr>
      <w:spacing w:line="240" w:lineRule="auto"/>
    </w:pPr>
    <w:rPr>
      <w:rFonts w:ascii="Times" w:eastAsiaTheme="minorEastAsia" w:hAnsi="Times" w:cs="Times New Roman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F256B9"/>
    <w:pPr>
      <w:spacing w:before="0" w:beforeAutospacing="0" w:after="200" w:afterAutospacing="0" w:line="276" w:lineRule="auto"/>
      <w:ind w:left="720"/>
      <w:contextualSpacing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224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4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469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4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469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46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46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0130ED"/>
    <w:rPr>
      <w:color w:val="0000FF" w:themeColor="hyperlink"/>
      <w:u w:val="single"/>
    </w:rPr>
  </w:style>
  <w:style w:type="character" w:styleId="Emphasis">
    <w:name w:val="Emphasis"/>
    <w:uiPriority w:val="20"/>
    <w:qFormat/>
    <w:rsid w:val="008705AC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315C6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5C6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15C6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C6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1256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suzanne.mcallister</dc:creator>
  <cp:lastModifiedBy>Sykes, Rachael, BioMed Central Ltd.</cp:lastModifiedBy>
  <cp:revision>5</cp:revision>
  <dcterms:created xsi:type="dcterms:W3CDTF">2015-07-22T17:22:00Z</dcterms:created>
  <dcterms:modified xsi:type="dcterms:W3CDTF">2015-08-05T10:10:00Z</dcterms:modified>
</cp:coreProperties>
</file>