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80B" w:rsidRDefault="00A7180B" w:rsidP="00A7180B">
      <w:pPr>
        <w:pStyle w:val="Heading1"/>
      </w:pPr>
      <w:r>
        <w:t>Supplementary tables</w:t>
      </w:r>
    </w:p>
    <w:p w:rsidR="00A7180B" w:rsidRDefault="00A7180B" w:rsidP="00A7180B">
      <w:pPr>
        <w:pStyle w:val="NoSpacing"/>
      </w:pPr>
    </w:p>
    <w:p w:rsidR="00A7180B" w:rsidRPr="00BD5AFD" w:rsidRDefault="00A7180B" w:rsidP="00A7180B">
      <w:pPr>
        <w:pStyle w:val="NoSpacing"/>
      </w:pPr>
      <w:r w:rsidRPr="00BD5AFD">
        <w:rPr>
          <w:b/>
        </w:rPr>
        <w:t>Table S1</w:t>
      </w:r>
      <w:r w:rsidRPr="00BD5AFD">
        <w:t xml:space="preserve"> Applied definitions of inclusion criteria in </w:t>
      </w:r>
      <w:r>
        <w:t>the Optimum Patient Care Research Database (</w:t>
      </w:r>
      <w:r w:rsidRPr="00BD5AFD">
        <w:t>OPCRD</w:t>
      </w:r>
      <w:r>
        <w:t>)</w:t>
      </w:r>
    </w:p>
    <w:tbl>
      <w:tblPr>
        <w:tblW w:w="0" w:type="auto"/>
        <w:tblInd w:w="-1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6535"/>
      </w:tblGrid>
      <w:tr w:rsidR="00A7180B" w:rsidRPr="007A22A5" w:rsidTr="009E1260">
        <w:trPr>
          <w:trHeight w:val="592"/>
        </w:trPr>
        <w:tc>
          <w:tcPr>
            <w:tcW w:w="2638" w:type="dxa"/>
            <w:shd w:val="clear" w:color="auto" w:fill="auto"/>
            <w:noWrap/>
            <w:vAlign w:val="bottom"/>
            <w:hideMark/>
          </w:tcPr>
          <w:p w:rsidR="00A7180B" w:rsidRPr="007A22A5" w:rsidRDefault="00A7180B" w:rsidP="009E1260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</w:rPr>
            </w:pPr>
            <w:r w:rsidRPr="007A22A5">
              <w:rPr>
                <w:rFonts w:eastAsia="Times New Roman"/>
                <w:b/>
                <w:bCs/>
                <w:sz w:val="16"/>
                <w:szCs w:val="16"/>
              </w:rPr>
              <w:t>RCT inclusion criterion</w:t>
            </w:r>
          </w:p>
        </w:tc>
        <w:tc>
          <w:tcPr>
            <w:tcW w:w="6535" w:type="dxa"/>
            <w:shd w:val="clear" w:color="auto" w:fill="auto"/>
            <w:noWrap/>
            <w:vAlign w:val="bottom"/>
            <w:hideMark/>
          </w:tcPr>
          <w:p w:rsidR="00A7180B" w:rsidRPr="007A22A5" w:rsidRDefault="00A7180B" w:rsidP="009E1260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</w:rPr>
            </w:pPr>
            <w:r w:rsidRPr="007A22A5">
              <w:rPr>
                <w:rFonts w:eastAsia="Times New Roman"/>
                <w:b/>
                <w:bCs/>
                <w:sz w:val="16"/>
                <w:szCs w:val="16"/>
              </w:rPr>
              <w:t>Definition applied in OPCRD patients with COPD</w:t>
            </w:r>
          </w:p>
        </w:tc>
      </w:tr>
      <w:tr w:rsidR="00A7180B" w:rsidRPr="007A22A5" w:rsidTr="009E1260">
        <w:trPr>
          <w:trHeight w:val="592"/>
        </w:trPr>
        <w:tc>
          <w:tcPr>
            <w:tcW w:w="2638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rFonts w:eastAsia="Times New Roman"/>
                <w:sz w:val="16"/>
                <w:szCs w:val="16"/>
              </w:rPr>
              <w:t>Range of FEV</w:t>
            </w:r>
            <w:r w:rsidRPr="007A22A5">
              <w:rPr>
                <w:rFonts w:eastAsia="Times New Roman"/>
                <w:sz w:val="16"/>
                <w:szCs w:val="16"/>
                <w:vertAlign w:val="subscript"/>
              </w:rPr>
              <w:t xml:space="preserve">1 </w:t>
            </w:r>
            <w:r w:rsidRPr="007A22A5">
              <w:rPr>
                <w:rFonts w:eastAsia="Times New Roman"/>
                <w:sz w:val="16"/>
                <w:szCs w:val="16"/>
              </w:rPr>
              <w:t>% predicted</w:t>
            </w:r>
          </w:p>
        </w:tc>
        <w:tc>
          <w:tcPr>
            <w:tcW w:w="6535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sz w:val="16"/>
                <w:szCs w:val="16"/>
              </w:rPr>
              <w:t>Range of FEV</w:t>
            </w:r>
            <w:r w:rsidRPr="007A22A5">
              <w:rPr>
                <w:sz w:val="16"/>
                <w:szCs w:val="16"/>
                <w:vertAlign w:val="subscript"/>
              </w:rPr>
              <w:t>1</w:t>
            </w:r>
            <w:r w:rsidRPr="007A22A5">
              <w:rPr>
                <w:sz w:val="16"/>
                <w:szCs w:val="16"/>
              </w:rPr>
              <w:t>% predicted recorded at latest spirometry within 5 years prior to index date</w:t>
            </w:r>
          </w:p>
        </w:tc>
      </w:tr>
      <w:tr w:rsidR="00A7180B" w:rsidRPr="007A22A5" w:rsidTr="009E1260">
        <w:trPr>
          <w:trHeight w:val="592"/>
        </w:trPr>
        <w:tc>
          <w:tcPr>
            <w:tcW w:w="2638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rFonts w:eastAsia="Times New Roman"/>
                <w:sz w:val="16"/>
                <w:szCs w:val="16"/>
              </w:rPr>
              <w:t xml:space="preserve">Pack years of smoking </w:t>
            </w:r>
          </w:p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rFonts w:eastAsia="Times New Roman"/>
                <w:sz w:val="16"/>
                <w:szCs w:val="16"/>
              </w:rPr>
              <w:t>≥10 / ≥ 20</w:t>
            </w:r>
          </w:p>
        </w:tc>
        <w:tc>
          <w:tcPr>
            <w:tcW w:w="6535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sz w:val="16"/>
                <w:szCs w:val="16"/>
              </w:rPr>
              <w:t>Read code for pack years indicates &gt;10 or registered as current or ex-smoker after age 30 / 40 years</w:t>
            </w:r>
          </w:p>
        </w:tc>
      </w:tr>
      <w:tr w:rsidR="00A7180B" w:rsidRPr="007A22A5" w:rsidTr="009E1260">
        <w:trPr>
          <w:trHeight w:val="592"/>
        </w:trPr>
        <w:tc>
          <w:tcPr>
            <w:tcW w:w="2638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rFonts w:eastAsia="Times New Roman"/>
                <w:sz w:val="16"/>
                <w:szCs w:val="16"/>
              </w:rPr>
              <w:t>mMRC ≥2</w:t>
            </w:r>
          </w:p>
        </w:tc>
        <w:tc>
          <w:tcPr>
            <w:tcW w:w="6535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sz w:val="16"/>
                <w:szCs w:val="16"/>
              </w:rPr>
              <w:t xml:space="preserve">Last recorded mMRC ≥2 </w:t>
            </w:r>
          </w:p>
        </w:tc>
      </w:tr>
      <w:tr w:rsidR="00A7180B" w:rsidRPr="007A22A5" w:rsidTr="009E1260">
        <w:trPr>
          <w:trHeight w:val="592"/>
        </w:trPr>
        <w:tc>
          <w:tcPr>
            <w:tcW w:w="2638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rFonts w:eastAsia="Times New Roman"/>
                <w:sz w:val="16"/>
                <w:szCs w:val="16"/>
              </w:rPr>
              <w:t>Symptomatic in diary</w:t>
            </w:r>
          </w:p>
        </w:tc>
        <w:tc>
          <w:tcPr>
            <w:tcW w:w="6535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sz w:val="16"/>
                <w:szCs w:val="16"/>
              </w:rPr>
              <w:t>Last recorded mMRC ≥2 or maintenance therapy prescribed within 6 months</w:t>
            </w:r>
          </w:p>
        </w:tc>
      </w:tr>
      <w:tr w:rsidR="00A7180B" w:rsidRPr="007A22A5" w:rsidTr="009E1260">
        <w:trPr>
          <w:trHeight w:val="592"/>
        </w:trPr>
        <w:tc>
          <w:tcPr>
            <w:tcW w:w="2638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rFonts w:eastAsia="Times New Roman"/>
                <w:sz w:val="16"/>
                <w:szCs w:val="16"/>
              </w:rPr>
              <w:t>Relatively stable COPD</w:t>
            </w:r>
          </w:p>
        </w:tc>
        <w:tc>
          <w:tcPr>
            <w:tcW w:w="6535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sz w:val="16"/>
                <w:szCs w:val="16"/>
              </w:rPr>
              <w:t>No COPD exacerbations in the last 6 weeks and no changes in therapeutic regimen for COPD in the last 2 months</w:t>
            </w:r>
          </w:p>
        </w:tc>
      </w:tr>
      <w:tr w:rsidR="00A7180B" w:rsidRPr="007A22A5" w:rsidTr="009E1260">
        <w:trPr>
          <w:trHeight w:val="592"/>
        </w:trPr>
        <w:tc>
          <w:tcPr>
            <w:tcW w:w="2638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rFonts w:eastAsia="Times New Roman"/>
                <w:sz w:val="16"/>
                <w:szCs w:val="16"/>
              </w:rPr>
              <w:t>COPD exacerbation last year</w:t>
            </w:r>
          </w:p>
        </w:tc>
        <w:tc>
          <w:tcPr>
            <w:tcW w:w="6535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sz w:val="16"/>
                <w:szCs w:val="16"/>
              </w:rPr>
              <w:t>≥1 COPD exacerbation 12 months prior to index date</w:t>
            </w:r>
          </w:p>
        </w:tc>
      </w:tr>
      <w:tr w:rsidR="00A7180B" w:rsidRPr="007A22A5" w:rsidTr="009E1260">
        <w:trPr>
          <w:trHeight w:val="592"/>
        </w:trPr>
        <w:tc>
          <w:tcPr>
            <w:tcW w:w="2638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rFonts w:eastAsia="Times New Roman"/>
                <w:sz w:val="16"/>
                <w:szCs w:val="16"/>
              </w:rPr>
              <w:t>Able to perform spirometry</w:t>
            </w:r>
          </w:p>
        </w:tc>
        <w:tc>
          <w:tcPr>
            <w:tcW w:w="6535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sz w:val="16"/>
                <w:szCs w:val="16"/>
              </w:rPr>
              <w:t>No spirometry exclusion Read code after latest spirometry</w:t>
            </w:r>
          </w:p>
        </w:tc>
      </w:tr>
      <w:tr w:rsidR="00A7180B" w:rsidRPr="007A22A5" w:rsidTr="009E1260">
        <w:trPr>
          <w:trHeight w:val="592"/>
        </w:trPr>
        <w:tc>
          <w:tcPr>
            <w:tcW w:w="2638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rFonts w:eastAsia="Times New Roman"/>
                <w:sz w:val="16"/>
                <w:szCs w:val="16"/>
              </w:rPr>
              <w:t>Able to inhale medication</w:t>
            </w:r>
          </w:p>
        </w:tc>
        <w:tc>
          <w:tcPr>
            <w:tcW w:w="6535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sz w:val="16"/>
                <w:szCs w:val="16"/>
              </w:rPr>
              <w:t>Not applied</w:t>
            </w:r>
          </w:p>
        </w:tc>
      </w:tr>
      <w:tr w:rsidR="00A7180B" w:rsidRPr="007A22A5" w:rsidTr="009E1260">
        <w:trPr>
          <w:trHeight w:val="592"/>
        </w:trPr>
        <w:tc>
          <w:tcPr>
            <w:tcW w:w="2638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rFonts w:eastAsia="Times New Roman"/>
                <w:sz w:val="16"/>
                <w:szCs w:val="16"/>
              </w:rPr>
              <w:t>Able to record in diary</w:t>
            </w:r>
          </w:p>
        </w:tc>
        <w:tc>
          <w:tcPr>
            <w:tcW w:w="6535" w:type="dxa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A22A5">
              <w:rPr>
                <w:sz w:val="16"/>
                <w:szCs w:val="16"/>
              </w:rPr>
              <w:t>No illiteracy Read code recorded ever</w:t>
            </w:r>
          </w:p>
        </w:tc>
      </w:tr>
    </w:tbl>
    <w:p w:rsidR="00A7180B" w:rsidRPr="00BD5AFD" w:rsidRDefault="00A7180B" w:rsidP="00A7180B">
      <w:pPr>
        <w:pStyle w:val="NoSpacing"/>
      </w:pPr>
    </w:p>
    <w:p w:rsidR="00A7180B" w:rsidRPr="007A22A5" w:rsidRDefault="00A7180B" w:rsidP="00A7180B">
      <w:pPr>
        <w:pStyle w:val="NoSpacing"/>
        <w:rPr>
          <w:sz w:val="16"/>
          <w:szCs w:val="16"/>
        </w:rPr>
      </w:pPr>
      <w:r w:rsidRPr="007A22A5">
        <w:rPr>
          <w:sz w:val="16"/>
          <w:szCs w:val="16"/>
        </w:rPr>
        <w:t>Abbreviations: COPD = chronic obstructive pulmonary disease; FEV</w:t>
      </w:r>
      <w:r w:rsidRPr="007A22A5">
        <w:rPr>
          <w:sz w:val="16"/>
          <w:szCs w:val="16"/>
          <w:vertAlign w:val="subscript"/>
        </w:rPr>
        <w:t>1</w:t>
      </w:r>
      <w:r w:rsidRPr="007A22A5">
        <w:rPr>
          <w:sz w:val="16"/>
          <w:szCs w:val="16"/>
        </w:rPr>
        <w:t xml:space="preserve"> = forced expiratory volume in 1 second; mMRC = modified Medical Research Council score.</w:t>
      </w:r>
      <w:r>
        <w:rPr>
          <w:sz w:val="16"/>
          <w:szCs w:val="16"/>
        </w:rPr>
        <w:t>{Disease, 2016 #374}</w:t>
      </w:r>
    </w:p>
    <w:p w:rsidR="00A7180B" w:rsidRDefault="00A7180B" w:rsidP="00A7180B">
      <w:pPr>
        <w:spacing w:after="160" w:line="259" w:lineRule="auto"/>
      </w:pPr>
      <w:r>
        <w:br w:type="page"/>
      </w:r>
    </w:p>
    <w:p w:rsidR="00A7180B" w:rsidRPr="00BD5AFD" w:rsidRDefault="00A7180B" w:rsidP="00A7180B">
      <w:pPr>
        <w:pStyle w:val="NoSpacing"/>
      </w:pPr>
      <w:r w:rsidRPr="00BD5AFD">
        <w:rPr>
          <w:b/>
        </w:rPr>
        <w:lastRenderedPageBreak/>
        <w:t xml:space="preserve">Table S2 </w:t>
      </w:r>
      <w:r w:rsidRPr="00BD5AFD">
        <w:t xml:space="preserve">Applied definitions of COPD-related exclusion criteria in </w:t>
      </w:r>
      <w:r>
        <w:t>the Optimum Patient Care Research Database (</w:t>
      </w:r>
      <w:r w:rsidRPr="00BD5AFD">
        <w:t>OPCRD</w:t>
      </w:r>
      <w:r>
        <w:t>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05"/>
        <w:gridCol w:w="4921"/>
      </w:tblGrid>
      <w:tr w:rsidR="00A7180B" w:rsidRPr="007A22A5" w:rsidTr="009E126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7180B" w:rsidRPr="007A22A5" w:rsidRDefault="00A7180B" w:rsidP="009E1260">
            <w:pPr>
              <w:spacing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RCT exclusion criterion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7180B" w:rsidRPr="007A22A5" w:rsidRDefault="00A7180B" w:rsidP="009E1260">
            <w:pPr>
              <w:spacing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Definition in OPCRD</w:t>
            </w:r>
          </w:p>
        </w:tc>
      </w:tr>
      <w:tr w:rsidR="00A7180B" w:rsidRPr="007A22A5" w:rsidTr="009E1260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COPD exacerbation within 4 / 6 weeks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≥1 COPD exacerbations within 4 / 6 weeks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Respiratory infection within 4 / 6 weeks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≥1 GP consultations for URTI or LRTI (any Read code) within 4 / 6 weeks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Upper respiratory infection within 6 weeks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≥1 GP consultations for URTI (any Read code) within 6 weeks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Hospitalisation for COPD exacerbations or pneumonia within 3 months / 1 year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≥1 lower-respiratory hospitalisation</w:t>
            </w:r>
            <w:r w:rsidRPr="007A22A5"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 xml:space="preserve"> </w:t>
            </w:r>
            <w:r w:rsidRPr="007A22A5">
              <w:rPr>
                <w:rFonts w:eastAsia="Times New Roman"/>
                <w:color w:val="auto"/>
                <w:sz w:val="16"/>
                <w:szCs w:val="16"/>
              </w:rPr>
              <w:t>within 3 months / 1 year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Antibiotics for respiratory tract infections (without time range)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≥1 antibiotics prescription with GP consultation for URTI or LRTI (any Read code) within 6 weeks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Long term use of antibiotics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More than 9 prescriptions for antibiotics within 12 months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Oral steroids use at unstable doses last 6 weeks or at stable doses of ≥10 / ≥20 mg/day)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&gt;6 courses of high dose (≥10 / ≥20 mg/day) oral steroids in year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Depot corticosteroids last 12 months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Any Read code for prescription of depot corticosteroids therapy within 12 months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Oxygen treatment for (&gt;1 / &gt;12 / &gt;15 hrs/day, "regular use", "long-term use")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Any Read code for treatment with oxygen therapy within 12 months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Active in a pulmonary rehabilitation program within 4 weeks / 6 weeks / 1 year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 xml:space="preserve">Any Read code for pulmonary rehabilitation within 4 weeks / 6 weeks / 1 year </w:t>
            </w:r>
          </w:p>
        </w:tc>
      </w:tr>
      <w:tr w:rsidR="00A7180B" w:rsidRPr="007A22A5" w:rsidTr="009E1260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Regular use of short-acting bronchodilators (SA-BD) or patients unable to withhold SA-BDs at least 4 hours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Not applied</w:t>
            </w:r>
          </w:p>
        </w:tc>
      </w:tr>
      <w:tr w:rsidR="00A7180B" w:rsidRPr="007A22A5" w:rsidTr="009E1260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Change of maintenance treatment within 6 weeks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No new respiratory therapy in the last 6 weeks (ICS, LABA, LAMA, LTRA or PDE-4 inhibitors)</w:t>
            </w:r>
          </w:p>
        </w:tc>
      </w:tr>
      <w:tr w:rsidR="00A7180B" w:rsidRPr="007A22A5" w:rsidTr="009E1260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Current use of oral sympaticomimetics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Any Read code for oral sympaticomimetics prescription in last 3 months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Previous treatment with the investigational drugs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Not applied</w:t>
            </w:r>
          </w:p>
        </w:tc>
      </w:tr>
      <w:tr w:rsidR="00A7180B" w:rsidRPr="007A22A5" w:rsidTr="009E1260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 xml:space="preserve">History of non-compliance to drugs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ICS adherence: MPR &lt;70% in last 12 months for patients with first ICS prescription &gt;12 months prior to the index date; otherwise not applied</w:t>
            </w:r>
          </w:p>
        </w:tc>
      </w:tr>
    </w:tbl>
    <w:p w:rsidR="00A7180B" w:rsidRPr="00BD5AFD" w:rsidRDefault="00A7180B" w:rsidP="00A7180B">
      <w:pPr>
        <w:pStyle w:val="NoSpacing"/>
      </w:pPr>
    </w:p>
    <w:p w:rsidR="00A7180B" w:rsidRPr="007A22A5" w:rsidRDefault="00A7180B" w:rsidP="00A7180B">
      <w:pPr>
        <w:pStyle w:val="NoSpacing"/>
        <w:rPr>
          <w:sz w:val="16"/>
          <w:szCs w:val="16"/>
        </w:rPr>
      </w:pPr>
      <w:r w:rsidRPr="007A22A5">
        <w:rPr>
          <w:sz w:val="16"/>
          <w:szCs w:val="16"/>
        </w:rPr>
        <w:t xml:space="preserve">Abbreviations: COPD = chronic obstructive pulmonary disease; GP = general practice; ICS = inhaled corticosteroids; LABA = long-acting </w:t>
      </w:r>
      <w:r w:rsidRPr="007A22A5">
        <w:rPr>
          <w:rFonts w:ascii="Symbol" w:hAnsi="Symbol"/>
          <w:sz w:val="16"/>
          <w:szCs w:val="16"/>
        </w:rPr>
        <w:t></w:t>
      </w:r>
      <w:r w:rsidRPr="007A22A5">
        <w:rPr>
          <w:sz w:val="16"/>
          <w:szCs w:val="16"/>
        </w:rPr>
        <w:t>-agonist; LAMA = long-acting muscarinic antagonist; LRTI = lower respiratory tract infection; LTRA = leukotriene receptor antagonist; MPR = medication possession ratio; PDE-4 = phosphodiesterase-4 inhibitor; RCT = randomised controlled trial; URTI = upper respiratory tract infection.</w:t>
      </w:r>
    </w:p>
    <w:p w:rsidR="00A7180B" w:rsidRPr="00BD5AFD" w:rsidRDefault="00A7180B" w:rsidP="00A7180B">
      <w:pPr>
        <w:spacing w:after="160" w:line="259" w:lineRule="auto"/>
        <w:rPr>
          <w:sz w:val="20"/>
        </w:rPr>
      </w:pPr>
      <w:r w:rsidRPr="00BD5AFD">
        <w:rPr>
          <w:sz w:val="20"/>
        </w:rPr>
        <w:br w:type="page"/>
      </w:r>
    </w:p>
    <w:p w:rsidR="00A7180B" w:rsidRPr="00BD5AFD" w:rsidRDefault="00A7180B" w:rsidP="00A7180B">
      <w:pPr>
        <w:pStyle w:val="NoSpacing"/>
      </w:pPr>
      <w:r w:rsidRPr="00BD5AFD">
        <w:rPr>
          <w:b/>
        </w:rPr>
        <w:lastRenderedPageBreak/>
        <w:t>Table S3</w:t>
      </w:r>
      <w:r w:rsidRPr="00BD5AFD">
        <w:t xml:space="preserve"> Applied definitions of exclusion criteria related to concomitant pulmonary disease in </w:t>
      </w:r>
      <w:r>
        <w:t>the Optimum Patient Care Research Database (</w:t>
      </w:r>
      <w:r w:rsidRPr="00BD5AFD">
        <w:t>OPCRD</w:t>
      </w:r>
      <w:r>
        <w:t>)</w:t>
      </w:r>
    </w:p>
    <w:tbl>
      <w:tblPr>
        <w:tblW w:w="9209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273"/>
      </w:tblGrid>
      <w:tr w:rsidR="00A7180B" w:rsidRPr="007A22A5" w:rsidTr="009E1260">
        <w:trPr>
          <w:trHeight w:val="300"/>
        </w:trPr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A7180B" w:rsidRPr="007A22A5" w:rsidRDefault="00A7180B" w:rsidP="009E1260">
            <w:pPr>
              <w:spacing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RCT exclusion criterion</w:t>
            </w:r>
          </w:p>
        </w:tc>
        <w:tc>
          <w:tcPr>
            <w:tcW w:w="5273" w:type="dxa"/>
            <w:shd w:val="clear" w:color="auto" w:fill="auto"/>
            <w:noWrap/>
            <w:vAlign w:val="bottom"/>
            <w:hideMark/>
          </w:tcPr>
          <w:p w:rsidR="00A7180B" w:rsidRPr="007A22A5" w:rsidRDefault="00A7180B" w:rsidP="009E1260">
            <w:pPr>
              <w:spacing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Definition in OPCRD</w:t>
            </w:r>
          </w:p>
        </w:tc>
      </w:tr>
      <w:tr w:rsidR="00A7180B" w:rsidRPr="007A22A5" w:rsidTr="009E1260">
        <w:trPr>
          <w:trHeight w:val="600"/>
        </w:trPr>
        <w:tc>
          <w:tcPr>
            <w:tcW w:w="3936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Concomitant pulmonary disease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Diagnosis Read code for cystic fibrosis, bronchiectasis, active tuberculosis, pulmonary fibrosis, lung disease due to external agents or unspecified lung diseases</w:t>
            </w:r>
          </w:p>
        </w:tc>
      </w:tr>
      <w:tr w:rsidR="00A7180B" w:rsidRPr="007A22A5" w:rsidTr="009E1260">
        <w:trPr>
          <w:trHeight w:val="600"/>
        </w:trPr>
        <w:tc>
          <w:tcPr>
            <w:tcW w:w="3936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Clinically evident bronchiectasis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Diagnosis Read code bronchiectasis ever</w:t>
            </w:r>
          </w:p>
        </w:tc>
      </w:tr>
      <w:tr w:rsidR="00A7180B" w:rsidRPr="007A22A5" w:rsidTr="009E1260">
        <w:trPr>
          <w:trHeight w:val="600"/>
        </w:trPr>
        <w:tc>
          <w:tcPr>
            <w:tcW w:w="3936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Lung lobectomy or transplantation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 for lung lobectomy or transplant ever</w:t>
            </w:r>
          </w:p>
        </w:tc>
      </w:tr>
      <w:tr w:rsidR="00A7180B" w:rsidRPr="007A22A5" w:rsidTr="009E1260">
        <w:trPr>
          <w:trHeight w:val="600"/>
        </w:trPr>
        <w:tc>
          <w:tcPr>
            <w:tcW w:w="3936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Active tuberculosis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Diagnosis Read code for tuberculosis in the last 12 months</w:t>
            </w:r>
          </w:p>
        </w:tc>
      </w:tr>
      <w:tr w:rsidR="00A7180B" w:rsidRPr="007A22A5" w:rsidTr="009E1260">
        <w:trPr>
          <w:trHeight w:val="600"/>
        </w:trPr>
        <w:tc>
          <w:tcPr>
            <w:tcW w:w="3936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Cystic fibrosis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Diagnosis Read code for cystic fibrosis ever</w:t>
            </w:r>
          </w:p>
        </w:tc>
      </w:tr>
      <w:tr w:rsidR="00A7180B" w:rsidRPr="007A22A5" w:rsidTr="009E1260">
        <w:trPr>
          <w:trHeight w:val="600"/>
        </w:trPr>
        <w:tc>
          <w:tcPr>
            <w:tcW w:w="3936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Lung cancer ever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Diagnosis Read code for lung cancer ever</w:t>
            </w:r>
          </w:p>
        </w:tc>
      </w:tr>
      <w:tr w:rsidR="00A7180B" w:rsidRPr="007A22A5" w:rsidTr="009E1260">
        <w:trPr>
          <w:trHeight w:val="600"/>
        </w:trPr>
        <w:tc>
          <w:tcPr>
            <w:tcW w:w="3936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Life-threatening pulmonary obstruction ever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Read code for asphyxia / severe asthma attack ever</w:t>
            </w:r>
          </w:p>
        </w:tc>
      </w:tr>
      <w:tr w:rsidR="00A7180B" w:rsidRPr="007A22A5" w:rsidTr="009E1260">
        <w:trPr>
          <w:trHeight w:val="600"/>
        </w:trPr>
        <w:tc>
          <w:tcPr>
            <w:tcW w:w="3936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Pulmonary embolism ever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Diagnosis Read code for pulmonary embolism ever</w:t>
            </w:r>
          </w:p>
        </w:tc>
      </w:tr>
      <w:tr w:rsidR="00A7180B" w:rsidRPr="007A22A5" w:rsidTr="009E1260">
        <w:trPr>
          <w:trHeight w:val="600"/>
        </w:trPr>
        <w:tc>
          <w:tcPr>
            <w:tcW w:w="3936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α</w:t>
            </w:r>
            <w:r w:rsidRPr="007A22A5">
              <w:rPr>
                <w:color w:val="auto"/>
                <w:sz w:val="16"/>
                <w:szCs w:val="16"/>
                <w:vertAlign w:val="subscript"/>
              </w:rPr>
              <w:t>1</w:t>
            </w:r>
            <w:r w:rsidRPr="007A22A5">
              <w:rPr>
                <w:color w:val="auto"/>
                <w:sz w:val="16"/>
                <w:szCs w:val="16"/>
              </w:rPr>
              <w:t>-antitrypsine deficiency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 xml:space="preserve">Diagnosis Read code for </w:t>
            </w:r>
            <w:r w:rsidRPr="007A22A5">
              <w:rPr>
                <w:color w:val="auto"/>
                <w:sz w:val="16"/>
                <w:szCs w:val="16"/>
              </w:rPr>
              <w:t>α</w:t>
            </w:r>
            <w:r w:rsidRPr="007A22A5">
              <w:rPr>
                <w:color w:val="auto"/>
                <w:sz w:val="16"/>
                <w:szCs w:val="16"/>
                <w:vertAlign w:val="subscript"/>
              </w:rPr>
              <w:t>1</w:t>
            </w:r>
            <w:r w:rsidRPr="007A22A5">
              <w:rPr>
                <w:color w:val="auto"/>
                <w:sz w:val="16"/>
                <w:szCs w:val="16"/>
              </w:rPr>
              <w:t>-antitrypsine deficiency ever</w:t>
            </w:r>
          </w:p>
        </w:tc>
      </w:tr>
    </w:tbl>
    <w:p w:rsidR="00A7180B" w:rsidRPr="00BD5AFD" w:rsidRDefault="00A7180B" w:rsidP="00A7180B">
      <w:pPr>
        <w:pStyle w:val="NoSpacing"/>
      </w:pPr>
    </w:p>
    <w:p w:rsidR="00A7180B" w:rsidRPr="00BD5AFD" w:rsidRDefault="00A7180B" w:rsidP="00A7180B">
      <w:pPr>
        <w:spacing w:after="160" w:line="259" w:lineRule="auto"/>
        <w:rPr>
          <w:sz w:val="20"/>
        </w:rPr>
      </w:pPr>
      <w:r w:rsidRPr="00BD5AFD">
        <w:rPr>
          <w:sz w:val="20"/>
        </w:rPr>
        <w:br w:type="page"/>
      </w:r>
    </w:p>
    <w:p w:rsidR="00A7180B" w:rsidRPr="00BD5AFD" w:rsidRDefault="00A7180B" w:rsidP="00A7180B">
      <w:pPr>
        <w:pStyle w:val="NoSpacing"/>
      </w:pPr>
      <w:r w:rsidRPr="00BD5AFD">
        <w:rPr>
          <w:b/>
        </w:rPr>
        <w:lastRenderedPageBreak/>
        <w:t>Table S4</w:t>
      </w:r>
      <w:r w:rsidRPr="00BD5AFD">
        <w:t xml:space="preserve"> Applied definitions of exclusion criteria related to asthma, allergic disease and atopy in </w:t>
      </w:r>
      <w:r>
        <w:t>the Optimum Patient Care Research Database (</w:t>
      </w:r>
      <w:r w:rsidRPr="00BD5AFD">
        <w:t>OPCRD</w:t>
      </w:r>
      <w:r>
        <w:t>)</w:t>
      </w:r>
    </w:p>
    <w:tbl>
      <w:tblPr>
        <w:tblW w:w="920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4429"/>
      </w:tblGrid>
      <w:tr w:rsidR="00A7180B" w:rsidRPr="007A22A5" w:rsidTr="009E1260">
        <w:trPr>
          <w:trHeight w:val="300"/>
        </w:trPr>
        <w:tc>
          <w:tcPr>
            <w:tcW w:w="4780" w:type="dxa"/>
            <w:shd w:val="clear" w:color="auto" w:fill="auto"/>
            <w:noWrap/>
            <w:vAlign w:val="bottom"/>
            <w:hideMark/>
          </w:tcPr>
          <w:p w:rsidR="00A7180B" w:rsidRPr="007A22A5" w:rsidRDefault="00A7180B" w:rsidP="009E1260">
            <w:pPr>
              <w:spacing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RCT exclusion criterion</w:t>
            </w:r>
          </w:p>
        </w:tc>
        <w:tc>
          <w:tcPr>
            <w:tcW w:w="4429" w:type="dxa"/>
            <w:shd w:val="clear" w:color="auto" w:fill="auto"/>
            <w:noWrap/>
            <w:vAlign w:val="bottom"/>
            <w:hideMark/>
          </w:tcPr>
          <w:p w:rsidR="00A7180B" w:rsidRPr="007A22A5" w:rsidRDefault="00A7180B" w:rsidP="009E1260">
            <w:pPr>
              <w:spacing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Definition in OPCRD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History of asthma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QOF diagnosis Read code for asthma ever and no code for asthma being resolved after that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Current asthma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QOF diagnosis Read code for asthma within 12 months prior to index date and no code for asthma being resolved after that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Asthma symptoms onset &lt;40 years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Not applied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Blood eosinophilia (&gt;400/μl or &gt;600/μl)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 xml:space="preserve">Blood eosinophil count &gt;400/μl or &gt;600/μl 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Allergic rhinitis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 for allergic rhinitis within 5 years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Allergic rhinitis treated with H1 antagonist or intra-nasal corticosteroids intermittently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Read code for allergic rhinitis </w:t>
            </w:r>
            <w:r w:rsidRPr="007A22A5">
              <w:rPr>
                <w:bCs/>
                <w:color w:val="auto"/>
                <w:sz w:val="16"/>
                <w:szCs w:val="16"/>
              </w:rPr>
              <w:t>and prescription for H1 antagonist or intranasal corticosteroids within 5 years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Atopic eczema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 for atopic eczema within 5 years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Use of antihistamines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 for antihistamines within 12 months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Cromolyn sodium or nedocromil sodium use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 xml:space="preserve">Read code for </w:t>
            </w:r>
            <w:r w:rsidRPr="007A22A5">
              <w:rPr>
                <w:color w:val="auto"/>
                <w:sz w:val="16"/>
                <w:szCs w:val="16"/>
              </w:rPr>
              <w:t>cromolyn sodium or nedocromil sodium prescription within 12 months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Atopy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Read code for allergic asthma, allergic rhinitis, positive allergy test ever</w:t>
            </w:r>
          </w:p>
        </w:tc>
      </w:tr>
    </w:tbl>
    <w:p w:rsidR="00A7180B" w:rsidRPr="00BD5AFD" w:rsidRDefault="00A7180B" w:rsidP="00A7180B">
      <w:pPr>
        <w:pStyle w:val="NoSpacing"/>
      </w:pPr>
    </w:p>
    <w:p w:rsidR="00A7180B" w:rsidRPr="007A22A5" w:rsidRDefault="00A7180B" w:rsidP="00A7180B">
      <w:pPr>
        <w:pStyle w:val="NoSpacing"/>
        <w:rPr>
          <w:sz w:val="16"/>
          <w:szCs w:val="16"/>
        </w:rPr>
      </w:pPr>
      <w:r w:rsidRPr="007A22A5">
        <w:rPr>
          <w:sz w:val="16"/>
          <w:szCs w:val="16"/>
        </w:rPr>
        <w:t>Abbreviations: QOF = quality and outcomes framework</w:t>
      </w:r>
      <w:r>
        <w:rPr>
          <w:sz w:val="16"/>
          <w:szCs w:val="16"/>
        </w:rPr>
        <w:t>{(HSCIC), #344}</w:t>
      </w:r>
    </w:p>
    <w:p w:rsidR="00A7180B" w:rsidRDefault="00A7180B" w:rsidP="00A7180B">
      <w:pPr>
        <w:spacing w:after="160" w:line="259" w:lineRule="auto"/>
        <w:rPr>
          <w:sz w:val="24"/>
          <w:szCs w:val="24"/>
        </w:rPr>
      </w:pPr>
      <w:r>
        <w:rPr>
          <w:szCs w:val="24"/>
        </w:rPr>
        <w:br w:type="page"/>
      </w:r>
    </w:p>
    <w:p w:rsidR="00A7180B" w:rsidRPr="00BD5AFD" w:rsidRDefault="00A7180B" w:rsidP="00A7180B">
      <w:pPr>
        <w:pStyle w:val="NoSpacing"/>
      </w:pPr>
      <w:r w:rsidRPr="00BD5AFD">
        <w:rPr>
          <w:b/>
        </w:rPr>
        <w:lastRenderedPageBreak/>
        <w:t>Table S5</w:t>
      </w:r>
      <w:r w:rsidRPr="00BD5AFD">
        <w:t xml:space="preserve"> Applied definitions of exclusion criteria related to clinically significant diseases other than COPD, asthma or allergic disease</w:t>
      </w:r>
      <w:r>
        <w:t>, in the Optimum Patient Care Research Database (</w:t>
      </w:r>
      <w:r w:rsidRPr="00BD5AFD">
        <w:t>OPCRD</w:t>
      </w:r>
      <w:r>
        <w:t>)</w:t>
      </w:r>
    </w:p>
    <w:tbl>
      <w:tblPr>
        <w:tblW w:w="920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4429"/>
      </w:tblGrid>
      <w:tr w:rsidR="00A7180B" w:rsidRPr="007A22A5" w:rsidTr="009E1260">
        <w:trPr>
          <w:trHeight w:val="300"/>
        </w:trPr>
        <w:tc>
          <w:tcPr>
            <w:tcW w:w="4780" w:type="dxa"/>
            <w:shd w:val="clear" w:color="auto" w:fill="auto"/>
            <w:noWrap/>
            <w:vAlign w:val="bottom"/>
            <w:hideMark/>
          </w:tcPr>
          <w:p w:rsidR="00A7180B" w:rsidRPr="007A22A5" w:rsidRDefault="00A7180B" w:rsidP="009E1260">
            <w:pPr>
              <w:spacing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RCT exclusion criterion</w:t>
            </w:r>
          </w:p>
        </w:tc>
        <w:tc>
          <w:tcPr>
            <w:tcW w:w="4429" w:type="dxa"/>
            <w:shd w:val="clear" w:color="auto" w:fill="auto"/>
            <w:noWrap/>
            <w:vAlign w:val="bottom"/>
            <w:hideMark/>
          </w:tcPr>
          <w:p w:rsidR="00A7180B" w:rsidRPr="007A22A5" w:rsidRDefault="00A7180B" w:rsidP="009E1260">
            <w:pPr>
              <w:spacing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Definition in OPCRD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Clinically significant disease other than COPD that would put the patient at risk or a disease that would influence the results or patients ability to participate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Fulfilling any of the exclusion criteria of diseases mentioned below, except malignancy within 5 years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Unstable cardiac conditions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codes for myocardial infarction, angina pectoris, unstable cardiac arrhythmia or heart failure within 12 months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Unstable angina pectoris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codes for unstable angina pectoris within 12 months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Life-threatening (or unstable) cardiac arrhythmia in past year (not excluding stable atrial fibrillation)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 xml:space="preserve">Read code for life-threatening or unstable cardiac </w:t>
            </w:r>
            <w:r w:rsidRPr="007A22A5">
              <w:rPr>
                <w:color w:val="auto"/>
                <w:sz w:val="16"/>
                <w:szCs w:val="16"/>
              </w:rPr>
              <w:t>arrhythmia within 12 months prior to index date or any code ever with a change in drug treatment within 12 months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Paroxysmal atrial fibrillation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 xml:space="preserve">Read code for </w:t>
            </w:r>
            <w:r w:rsidRPr="007A22A5">
              <w:rPr>
                <w:color w:val="auto"/>
                <w:sz w:val="16"/>
                <w:szCs w:val="16"/>
              </w:rPr>
              <w:t>paroxysmal atrial fibrillation within 12 months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Paroxysmal tachycardia (&gt;100) 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 for paroxysmal tachycardia within 12 months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Myocardial infarction in past 6 /12 months 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 for myocardial infarction within 6 / 12 months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Hospitalisation for heart failure (NYHA class III or IV) 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Generic hospitalisation Read code recorded on the same day as Read code for heart failure within 12 months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Left ventricular failure (NYHA class III or IV) 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 for left ventricular failure within last 12 months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Current use of beta-blockers 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Read code for prescription of beta-blockers in the last 3 months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Malignancy treated with resection, radiation or chemotherapy (except local skin carcinoma) within 5 years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 for any malignancy within 5 years prior to index date, except Read code for skin carcinoma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Diabetes mellitus type 1 or uncontrolled type 2 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 xml:space="preserve">Read code for type 1 diabetes mellitus (DM); OR Read code for type 2 DM plus Read code for medication prescription plus Read code indicating no control within 12 months prior to index date 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Untreated thyrotoxicosis 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 for thyrotoxicosis within 3 months prior to index date</w:t>
            </w:r>
          </w:p>
        </w:tc>
      </w:tr>
      <w:tr w:rsidR="00A7180B" w:rsidRPr="007A22A5" w:rsidTr="009E1260">
        <w:trPr>
          <w:trHeight w:val="448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Untreated hypothyroidism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Not applied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Hyperadrenergic state 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 for pheochromocytoma within 12 months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Mental illness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 for depression, anxiety disorder, schizophrenia, lithium therapy or dementia within 12 months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Tricyclic antidepressants or Monoamine oxidase inhibitors use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 xml:space="preserve">Prescription of </w:t>
            </w:r>
            <w:r w:rsidRPr="007A22A5">
              <w:rPr>
                <w:color w:val="auto"/>
                <w:sz w:val="16"/>
                <w:szCs w:val="16"/>
              </w:rPr>
              <w:t>tricyclic antidepressants or monoamine oxidase inhibitors within 12 months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Uncontrolled infection due to HIV and/or active hepatitis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Read code for HIV or hepatitis within 12 months prior to index date</w:t>
            </w:r>
          </w:p>
        </w:tc>
      </w:tr>
    </w:tbl>
    <w:p w:rsidR="00A7180B" w:rsidRPr="00BD5AFD" w:rsidRDefault="00A7180B" w:rsidP="00A7180B">
      <w:pPr>
        <w:pStyle w:val="NoSpacing"/>
      </w:pPr>
    </w:p>
    <w:p w:rsidR="00A7180B" w:rsidRPr="007A22A5" w:rsidRDefault="00A7180B" w:rsidP="00A7180B">
      <w:pPr>
        <w:pStyle w:val="NoSpacing"/>
        <w:rPr>
          <w:sz w:val="16"/>
          <w:szCs w:val="16"/>
        </w:rPr>
      </w:pPr>
      <w:r w:rsidRPr="007A22A5">
        <w:rPr>
          <w:sz w:val="16"/>
          <w:szCs w:val="16"/>
        </w:rPr>
        <w:t>Abbreviations: COPD = chronic obstructive pulmonary disease; HIV = human immunodeficiency virus; NYHA = New York Heart Association.</w:t>
      </w:r>
    </w:p>
    <w:p w:rsidR="00A7180B" w:rsidRDefault="00A7180B" w:rsidP="00A7180B">
      <w:pPr>
        <w:spacing w:after="160" w:line="259" w:lineRule="auto"/>
        <w:rPr>
          <w:sz w:val="24"/>
          <w:szCs w:val="24"/>
        </w:rPr>
      </w:pPr>
      <w:r>
        <w:rPr>
          <w:szCs w:val="24"/>
        </w:rPr>
        <w:br w:type="page"/>
      </w:r>
    </w:p>
    <w:p w:rsidR="00A7180B" w:rsidRPr="00BD5AFD" w:rsidRDefault="00A7180B" w:rsidP="00A7180B">
      <w:pPr>
        <w:pStyle w:val="NoSpacing"/>
      </w:pPr>
      <w:r w:rsidRPr="00BD5AFD">
        <w:rPr>
          <w:b/>
        </w:rPr>
        <w:lastRenderedPageBreak/>
        <w:t>Table S6</w:t>
      </w:r>
      <w:r w:rsidRPr="00BD5AFD">
        <w:t xml:space="preserve"> Applied definitions of exclusion criteria related to other relevant conditions in </w:t>
      </w:r>
      <w:r>
        <w:t>the Optimum Patient Care Research Database (</w:t>
      </w:r>
      <w:r w:rsidRPr="00BD5AFD">
        <w:t>OPCRD</w:t>
      </w:r>
      <w:r>
        <w:t>)</w:t>
      </w:r>
    </w:p>
    <w:tbl>
      <w:tblPr>
        <w:tblW w:w="920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4429"/>
      </w:tblGrid>
      <w:tr w:rsidR="00A7180B" w:rsidRPr="007A22A5" w:rsidTr="009E1260">
        <w:trPr>
          <w:trHeight w:val="300"/>
        </w:trPr>
        <w:tc>
          <w:tcPr>
            <w:tcW w:w="4780" w:type="dxa"/>
            <w:shd w:val="clear" w:color="auto" w:fill="auto"/>
            <w:noWrap/>
            <w:vAlign w:val="bottom"/>
            <w:hideMark/>
          </w:tcPr>
          <w:p w:rsidR="00A7180B" w:rsidRPr="007A22A5" w:rsidRDefault="00A7180B" w:rsidP="009E1260">
            <w:pPr>
              <w:spacing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br w:type="page"/>
            </w:r>
            <w:r w:rsidRPr="007A22A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RCT exclusion criterion</w:t>
            </w:r>
          </w:p>
        </w:tc>
        <w:tc>
          <w:tcPr>
            <w:tcW w:w="4429" w:type="dxa"/>
            <w:shd w:val="clear" w:color="auto" w:fill="auto"/>
            <w:noWrap/>
            <w:vAlign w:val="bottom"/>
            <w:hideMark/>
          </w:tcPr>
          <w:p w:rsidR="00A7180B" w:rsidRPr="007A22A5" w:rsidRDefault="00A7180B" w:rsidP="009E1260">
            <w:pPr>
              <w:spacing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Definition in OPCRD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Pregnancy, lactating or risk of pregnancy 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Patients aged 40–50 years not on contraceptives or not being sterilised or not having had a hysterectomy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History of alcohol or drug abuse 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codes for alcohol or drug abuse in the last 12 months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ECG abnormalities 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Read code for ECG abnormalities within 12 months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Long QT interval (QTc interval &gt;450 ms for males and &gt;470 ms for females)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Read code for long QT interval within 12 months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Laboratory abnormalities (clinically relevant)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Not applied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Haematological laboratory abnormalities (uncontrolled)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Not applied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Blood chemistry abnormalities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Not applied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SGOT, SGPT, bilirubin or creatinine &gt;2 </w:t>
            </w:r>
            <w:r w:rsidRPr="007A22A5">
              <w:rPr>
                <w:rFonts w:ascii="MS Gothic" w:eastAsia="MS Gothic"/>
                <w:sz w:val="16"/>
                <w:szCs w:val="16"/>
              </w:rPr>
              <w:t>×</w:t>
            </w:r>
            <w:r w:rsidRPr="007A22A5">
              <w:rPr>
                <w:color w:val="auto"/>
                <w:sz w:val="16"/>
                <w:szCs w:val="16"/>
              </w:rPr>
              <w:t xml:space="preserve"> upper limit of normal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Not applied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Hypokalaemia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Read code for hypokalaemia within 12 months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Urinalysis abnormalities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Not applied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X-thorax / CT abnormalities (not COPD related)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Not applied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Live attenuated vaccinations within 30 days 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Read code for life attenuated vaccination within 30 days prior to index date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Irregular day/night, wake/sleep cycles, eg shift workers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Read code for shift worker ever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Life expectancy &lt;1 year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QOF Read code for palliative care ever</w:t>
            </w:r>
          </w:p>
        </w:tc>
      </w:tr>
    </w:tbl>
    <w:p w:rsidR="00A7180B" w:rsidRPr="007A22A5" w:rsidRDefault="00A7180B" w:rsidP="00A7180B">
      <w:pPr>
        <w:pStyle w:val="NoSpacing"/>
        <w:rPr>
          <w:sz w:val="16"/>
          <w:szCs w:val="16"/>
        </w:rPr>
      </w:pPr>
      <w:r w:rsidRPr="007A22A5">
        <w:rPr>
          <w:sz w:val="16"/>
          <w:szCs w:val="16"/>
        </w:rPr>
        <w:t xml:space="preserve">Abbreviations: COPD = chronic obstructive pulmonary disease; ECG = electrocardiogram; QOF = </w:t>
      </w:r>
      <w:r w:rsidRPr="007A22A5">
        <w:rPr>
          <w:sz w:val="16"/>
          <w:szCs w:val="16"/>
          <w:lang w:val="en-US"/>
        </w:rPr>
        <w:t>Quality and Outcomes Framework;</w:t>
      </w:r>
      <w:r>
        <w:rPr>
          <w:sz w:val="16"/>
          <w:szCs w:val="16"/>
          <w:lang w:val="en-US"/>
        </w:rPr>
        <w:t>{(HSCIC),  #344}</w:t>
      </w:r>
      <w:r w:rsidRPr="007A22A5">
        <w:rPr>
          <w:sz w:val="16"/>
          <w:szCs w:val="16"/>
        </w:rPr>
        <w:t xml:space="preserve"> SGOT = </w:t>
      </w:r>
      <w:r w:rsidRPr="007A22A5">
        <w:rPr>
          <w:sz w:val="16"/>
          <w:szCs w:val="16"/>
          <w:lang w:val="en-US"/>
        </w:rPr>
        <w:t>serum glutamic oxaloacetic transaminase</w:t>
      </w:r>
      <w:r w:rsidRPr="007A22A5">
        <w:rPr>
          <w:sz w:val="16"/>
          <w:szCs w:val="16"/>
        </w:rPr>
        <w:t xml:space="preserve">; SGPT = </w:t>
      </w:r>
      <w:r w:rsidRPr="007A22A5">
        <w:rPr>
          <w:sz w:val="16"/>
          <w:szCs w:val="16"/>
          <w:lang w:val="en-US"/>
        </w:rPr>
        <w:t>serum glutamic-pyruvic transaminase</w:t>
      </w:r>
      <w:r w:rsidRPr="007A22A5">
        <w:rPr>
          <w:sz w:val="16"/>
          <w:szCs w:val="16"/>
        </w:rPr>
        <w:t xml:space="preserve">. </w:t>
      </w:r>
    </w:p>
    <w:p w:rsidR="00A7180B" w:rsidRPr="00BD5AFD" w:rsidRDefault="00A7180B" w:rsidP="00A7180B">
      <w:pPr>
        <w:spacing w:after="160" w:line="259" w:lineRule="auto"/>
        <w:rPr>
          <w:sz w:val="20"/>
        </w:rPr>
      </w:pPr>
      <w:r w:rsidRPr="00BD5AFD">
        <w:rPr>
          <w:sz w:val="20"/>
        </w:rPr>
        <w:br w:type="page"/>
      </w:r>
    </w:p>
    <w:p w:rsidR="00A7180B" w:rsidRPr="00BD5AFD" w:rsidRDefault="00A7180B" w:rsidP="00A7180B">
      <w:pPr>
        <w:pStyle w:val="NoSpacing"/>
      </w:pPr>
      <w:r w:rsidRPr="00BD5AFD">
        <w:rPr>
          <w:b/>
        </w:rPr>
        <w:lastRenderedPageBreak/>
        <w:t>Table S7</w:t>
      </w:r>
      <w:r w:rsidRPr="00BD5AFD">
        <w:t xml:space="preserve"> Applied definitions of exclusion criteria for specific contra-indications in </w:t>
      </w:r>
      <w:r>
        <w:t>the Optimum Patient Care Research Database (</w:t>
      </w:r>
      <w:r w:rsidRPr="00BD5AFD">
        <w:t>OPCRD</w:t>
      </w:r>
      <w:r>
        <w:t>)</w:t>
      </w:r>
    </w:p>
    <w:tbl>
      <w:tblPr>
        <w:tblW w:w="920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4429"/>
      </w:tblGrid>
      <w:tr w:rsidR="00A7180B" w:rsidRPr="007A22A5" w:rsidTr="009E1260">
        <w:trPr>
          <w:trHeight w:val="300"/>
        </w:trPr>
        <w:tc>
          <w:tcPr>
            <w:tcW w:w="4780" w:type="dxa"/>
            <w:shd w:val="clear" w:color="auto" w:fill="auto"/>
            <w:noWrap/>
            <w:vAlign w:val="center"/>
            <w:hideMark/>
          </w:tcPr>
          <w:p w:rsidR="00A7180B" w:rsidRPr="007A22A5" w:rsidRDefault="00A7180B" w:rsidP="009E1260">
            <w:pPr>
              <w:spacing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br w:type="page"/>
            </w:r>
            <w:r w:rsidRPr="007A22A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RCT exclusion criterion</w:t>
            </w:r>
          </w:p>
        </w:tc>
        <w:tc>
          <w:tcPr>
            <w:tcW w:w="4429" w:type="dxa"/>
            <w:shd w:val="clear" w:color="auto" w:fill="auto"/>
            <w:noWrap/>
            <w:vAlign w:val="center"/>
            <w:hideMark/>
          </w:tcPr>
          <w:p w:rsidR="00A7180B" w:rsidRPr="007A22A5" w:rsidRDefault="00A7180B" w:rsidP="009E1260">
            <w:pPr>
              <w:spacing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Definition in OPCRD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Narrow-angle glaucoma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 xml:space="preserve">Read code for </w:t>
            </w:r>
            <w:r w:rsidRPr="007A22A5">
              <w:rPr>
                <w:color w:val="auto"/>
                <w:sz w:val="16"/>
                <w:szCs w:val="16"/>
              </w:rPr>
              <w:t>narrow-angle glaucoma ever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Symptomatic prostatic hyperplasia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 for prostatic hyperplasia in the last 12 months without operation to control condition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Bladder neck obstruction 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 for bladder neck obstruction in the last 12 months without operation to control condition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History of transurethral resection of the prostate (TURP)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 for TURP ever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Renal impairment (creatinine clearance &lt;=50 ml/min)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rFonts w:eastAsia="Times New Roman"/>
                <w:color w:val="auto"/>
                <w:sz w:val="16"/>
                <w:szCs w:val="16"/>
              </w:rPr>
              <w:t>Read code for Stage 3B, 4 or 5 for chronic kidney disease ever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Hypersensitivity to LAMA 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Read code for hypersensitivity to LAMA ever</w:t>
            </w:r>
          </w:p>
        </w:tc>
      </w:tr>
      <w:tr w:rsidR="00A7180B" w:rsidRPr="007A22A5" w:rsidTr="009E1260">
        <w:trPr>
          <w:trHeight w:val="600"/>
        </w:trPr>
        <w:tc>
          <w:tcPr>
            <w:tcW w:w="4780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 xml:space="preserve">Hypersensitivity to LABA 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A7180B" w:rsidRPr="007A22A5" w:rsidRDefault="00A7180B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7A22A5">
              <w:rPr>
                <w:color w:val="auto"/>
                <w:sz w:val="16"/>
                <w:szCs w:val="16"/>
              </w:rPr>
              <w:t>Read code for hypersensitivity to LABA ever</w:t>
            </w:r>
          </w:p>
        </w:tc>
      </w:tr>
    </w:tbl>
    <w:p w:rsidR="00A7180B" w:rsidRPr="007A22A5" w:rsidRDefault="00A7180B" w:rsidP="00A7180B">
      <w:pPr>
        <w:pStyle w:val="NoSpacing"/>
        <w:rPr>
          <w:sz w:val="16"/>
          <w:szCs w:val="16"/>
        </w:rPr>
      </w:pPr>
      <w:r w:rsidRPr="007A22A5">
        <w:rPr>
          <w:sz w:val="16"/>
          <w:szCs w:val="16"/>
        </w:rPr>
        <w:t xml:space="preserve">Abbreviations: LABA = long-acting </w:t>
      </w:r>
      <w:r w:rsidRPr="007A22A5">
        <w:rPr>
          <w:rFonts w:cs="Times New Roman"/>
          <w:sz w:val="16"/>
          <w:szCs w:val="16"/>
        </w:rPr>
        <w:t>β</w:t>
      </w:r>
      <w:r w:rsidRPr="007A22A5">
        <w:rPr>
          <w:sz w:val="16"/>
          <w:szCs w:val="16"/>
        </w:rPr>
        <w:t>-agonist; LAMA = long-acting muscarinic antagonist.</w:t>
      </w:r>
    </w:p>
    <w:p w:rsidR="0001312E" w:rsidRDefault="00A7180B" w:rsidP="00A7180B">
      <w:pPr>
        <w:spacing w:after="160" w:line="259" w:lineRule="auto"/>
      </w:pPr>
      <w:bookmarkStart w:id="0" w:name="_GoBack"/>
      <w:bookmarkEnd w:id="0"/>
    </w:p>
    <w:sectPr w:rsidR="00013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80B"/>
    <w:rsid w:val="001458B7"/>
    <w:rsid w:val="00A7180B"/>
    <w:rsid w:val="00B2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B70E29-CD8C-4AD2-81D7-84D04F61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7180B"/>
    <w:pPr>
      <w:spacing w:after="200" w:line="276" w:lineRule="auto"/>
    </w:pPr>
    <w:rPr>
      <w:rFonts w:ascii="Times New Roman" w:eastAsia="Calibri" w:hAnsi="Times New Roman" w:cs="Calibri"/>
      <w:color w:val="00000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180B"/>
    <w:pPr>
      <w:keepNext/>
      <w:spacing w:after="0" w:line="480" w:lineRule="auto"/>
      <w:outlineLvl w:val="0"/>
    </w:pPr>
    <w:rPr>
      <w:rFonts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80B"/>
    <w:rPr>
      <w:rFonts w:ascii="Times New Roman" w:eastAsia="Calibri" w:hAnsi="Times New Roman" w:cs="Times New Roman"/>
      <w:b/>
      <w:color w:val="000000"/>
      <w:sz w:val="24"/>
      <w:szCs w:val="24"/>
      <w:lang w:eastAsia="en-GB"/>
    </w:rPr>
  </w:style>
  <w:style w:type="paragraph" w:styleId="NoSpacing">
    <w:name w:val="No Spacing"/>
    <w:basedOn w:val="Normal"/>
    <w:link w:val="NoSpacingChar"/>
    <w:uiPriority w:val="1"/>
    <w:qFormat/>
    <w:rsid w:val="00A7180B"/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A7180B"/>
    <w:rPr>
      <w:rFonts w:ascii="Times New Roman" w:eastAsia="Calibri" w:hAnsi="Times New Roman" w:cs="Calibri"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1745</Words>
  <Characters>9952</Characters>
  <Application>Microsoft Office Word</Application>
  <DocSecurity>0</DocSecurity>
  <Lines>82</Lines>
  <Paragraphs>23</Paragraphs>
  <ScaleCrop>false</ScaleCrop>
  <Company/>
  <LinksUpToDate>false</LinksUpToDate>
  <CharactersWithSpaces>11674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Lisa</cp:lastModifiedBy>
  <cp:revision>1</cp:revision>
  <dcterms:created xsi:type="dcterms:W3CDTF">2016-05-24T13:43:00Z</dcterms:created>
  <dcterms:modified xsi:type="dcterms:W3CDTF">2016-05-24T13:44:00Z</dcterms:modified>
</cp:coreProperties>
</file>