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A2" w:rsidRDefault="00707063" w:rsidP="001079A2">
      <w:pPr>
        <w:bidi w:val="0"/>
        <w:spacing w:after="200" w:line="276" w:lineRule="auto"/>
        <w:jc w:val="center"/>
        <w:rPr>
          <w:rFonts w:asciiTheme="majorBidi" w:hAnsiTheme="majorBidi" w:cstheme="majorBidi"/>
          <w:b/>
          <w:bCs/>
          <w:highlight w:val="yellow"/>
        </w:rPr>
      </w:pPr>
      <w:bookmarkStart w:id="0" w:name="_GoBack"/>
      <w:r>
        <w:rPr>
          <w:noProof/>
        </w:rPr>
        <w:drawing>
          <wp:inline distT="0" distB="0" distL="0" distR="0">
            <wp:extent cx="5274310" cy="4647565"/>
            <wp:effectExtent l="19050" t="19050" r="21590" b="1968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475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bookmarkEnd w:id="0"/>
    <w:p w:rsidR="001079A2" w:rsidRDefault="001079A2" w:rsidP="001079A2">
      <w:pPr>
        <w:bidi w:val="0"/>
        <w:spacing w:line="480" w:lineRule="auto"/>
        <w:jc w:val="both"/>
        <w:rPr>
          <w:rFonts w:asciiTheme="majorBidi" w:hAnsiTheme="majorBidi" w:cstheme="majorBidi"/>
        </w:rPr>
      </w:pPr>
      <w:r w:rsidRPr="001079A2">
        <w:rPr>
          <w:rFonts w:asciiTheme="majorBidi" w:hAnsiTheme="majorBidi" w:cstheme="majorBidi"/>
          <w:b/>
          <w:bCs/>
          <w:highlight w:val="yellow"/>
        </w:rPr>
        <w:t xml:space="preserve">Figure S1. </w:t>
      </w:r>
      <w:r>
        <w:rPr>
          <w:rFonts w:asciiTheme="majorBidi" w:hAnsiTheme="majorBidi" w:cstheme="majorBidi"/>
          <w:b/>
          <w:bCs/>
          <w:highlight w:val="yellow"/>
        </w:rPr>
        <w:t xml:space="preserve">Principal components analysis of asthmatic patients. </w:t>
      </w:r>
      <w:r>
        <w:rPr>
          <w:rFonts w:asciiTheme="majorBidi" w:hAnsiTheme="majorBidi" w:cstheme="majorBidi"/>
          <w:highlight w:val="yellow"/>
        </w:rPr>
        <w:t>Ordination plot constructed using 211 patients strand and 20 clinical and laboratory variables. Samples are distributed along two axes. Axis 1 explains 22.6% of variance among patients, whereas axis 2 resolves 11.3% of variance. Samples are scattered and colored according to their genotype; AA (red), AG (green), and GG (blue). PCA did not reveal clustering of patients according to their genotypes.</w:t>
      </w:r>
    </w:p>
    <w:p w:rsidR="001079A2" w:rsidRDefault="001079A2" w:rsidP="001079A2">
      <w:pPr>
        <w:bidi w:val="0"/>
        <w:spacing w:line="480" w:lineRule="auto"/>
        <w:jc w:val="both"/>
        <w:rPr>
          <w:rFonts w:asciiTheme="majorBidi" w:hAnsiTheme="majorBidi" w:cstheme="majorBidi"/>
        </w:rPr>
      </w:pPr>
    </w:p>
    <w:p w:rsidR="00013F94" w:rsidRDefault="00013F94" w:rsidP="001079A2">
      <w:pPr>
        <w:bidi w:val="0"/>
        <w:rPr>
          <w:lang w:bidi="ar-EG"/>
        </w:rPr>
      </w:pPr>
    </w:p>
    <w:sectPr w:rsidR="00013F94" w:rsidSect="0084749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docVars>
    <w:docVar w:name="Total_Editing_Time" w:val="2"/>
  </w:docVars>
  <w:rsids>
    <w:rsidRoot w:val="00F50A19"/>
    <w:rsid w:val="00013F94"/>
    <w:rsid w:val="001079A2"/>
    <w:rsid w:val="00157219"/>
    <w:rsid w:val="001A08B6"/>
    <w:rsid w:val="00707063"/>
    <w:rsid w:val="00847499"/>
    <w:rsid w:val="00D84B4A"/>
    <w:rsid w:val="00F50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7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4B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B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8A193-0632-457A-89F7-D67FD0F64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401</Characters>
  <Application>Microsoft Office Word</Application>
  <DocSecurity>0</DocSecurity>
  <Lines>7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CFUNDADOR</cp:lastModifiedBy>
  <cp:revision>4</cp:revision>
  <dcterms:created xsi:type="dcterms:W3CDTF">2017-08-22T06:02:00Z</dcterms:created>
  <dcterms:modified xsi:type="dcterms:W3CDTF">2017-08-25T15:50:00Z</dcterms:modified>
</cp:coreProperties>
</file>