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51E" w:rsidRDefault="00B5351E" w:rsidP="00AE1154">
      <w:pPr>
        <w:pStyle w:val="Heading1"/>
      </w:pPr>
      <w:r>
        <w:t>Supplementary Methods</w:t>
      </w:r>
    </w:p>
    <w:p w:rsidR="00B5351E" w:rsidRDefault="00B5351E" w:rsidP="00B5351E">
      <w:pPr>
        <w:pStyle w:val="Heading2"/>
        <w:spacing w:line="480" w:lineRule="auto"/>
        <w:rPr>
          <w:sz w:val="24"/>
          <w:szCs w:val="24"/>
        </w:rPr>
      </w:pPr>
      <w:r>
        <w:t>Particle generation and radiolabelling</w:t>
      </w:r>
    </w:p>
    <w:p w:rsidR="00B5351E" w:rsidRDefault="00B5351E" w:rsidP="00B5351E">
      <w:pPr>
        <w:spacing w:line="480" w:lineRule="auto"/>
        <w:jc w:val="both"/>
      </w:pPr>
      <w:r>
        <w:t xml:space="preserve">The validation, generation and radiolabelling of monodisperse (geometric standard deviation (GSD) &lt; 1.22) technetium-labelled salbutamol particles has been described in detail </w:t>
      </w:r>
      <w:r w:rsidR="00CB46D8">
        <w:fldChar w:fldCharType="begin"/>
      </w:r>
      <w:r>
        <w:instrText xml:space="preserve"> ADDIN EN.CITE &lt;EndNote&gt;&lt;Cite&gt;&lt;Author&gt;Usmani&lt;/Author&gt;&lt;Year&gt;2004&lt;/Year&gt;&lt;RecNum&gt;627&lt;/RecNum&gt;&lt;DisplayText&gt;[17, 18]&lt;/DisplayText&gt;&lt;record&gt;&lt;rec-number&gt;627&lt;/rec-number&gt;&lt;foreign-keys&gt;&lt;key app="EN" db-id="s0wap9vpvpzvtke9rs9v0ssofefp205p2av0" timestamp="1468840376"&gt;627&lt;/key&gt;&lt;/foreign-keys&gt;&lt;ref-type name="Journal Article"&gt;17&lt;/ref-type&gt;&lt;contributors&gt;&lt;authors&gt;&lt;author&gt;Usmani, Omar S&lt;/author&gt;&lt;author&gt;Biddiscombe, Martyn F&lt;/author&gt;&lt;author&gt;Underwood, S Richard&lt;/author&gt;&lt;author&gt;Barnes, Peter J&lt;/author&gt;&lt;/authors&gt;&lt;/contributors&gt;&lt;titles&gt;&lt;title&gt;Characterization of the generation of radiolabeled monodisperse albuterol particles using the spinning-top aerosol generator&lt;/title&gt;&lt;secondary-title&gt;Journal of Nuclear Medicine&lt;/secondary-title&gt;&lt;/titles&gt;&lt;periodical&gt;&lt;full-title&gt;Journal of Nuclear Medicine&lt;/full-title&gt;&lt;/periodical&gt;&lt;pages&gt;69-73&lt;/pages&gt;&lt;volume&gt;45&lt;/volume&gt;&lt;number&gt;1&lt;/number&gt;&lt;dates&gt;&lt;year&gt;2004&lt;/year&gt;&lt;/dates&gt;&lt;isbn&gt;0161-5505&lt;/isbn&gt;&lt;urls&gt;&lt;related-urls&gt;&lt;url&gt;http://jnm.snmjournals.org/content/45/1/69.full.pdf&lt;/url&gt;&lt;/related-urls&gt;&lt;/urls&gt;&lt;/record&gt;&lt;/Cite&gt;&lt;Cite&gt;&lt;Author&gt;Biddiscombe&lt;/Author&gt;&lt;Year&gt;2003&lt;/Year&gt;&lt;RecNum&gt;1124&lt;/RecNum&gt;&lt;record&gt;&lt;rec-number&gt;1124&lt;/rec-number&gt;&lt;foreign-keys&gt;&lt;key app="EN" db-id="s0wap9vpvpzvtke9rs9v0ssofefp205p2av0" timestamp="1484232335"&gt;1124&lt;/key&gt;&lt;/foreign-keys&gt;&lt;ref-type name="Journal Article"&gt;17&lt;/ref-type&gt;&lt;contributors&gt;&lt;authors&gt;&lt;author&gt;Biddiscombe, Martyn F&lt;/author&gt;&lt;author&gt;Usmani, Omar S&lt;/author&gt;&lt;author&gt;Barnes, Peter J&lt;/author&gt;&lt;/authors&gt;&lt;/contributors&gt;&lt;titles&gt;&lt;title&gt;A system for the production and delivery of monodisperse salbutamol aerosols to the lungs&lt;/title&gt;&lt;secondary-title&gt;International journal of pharmaceutics&lt;/secondary-title&gt;&lt;/titles&gt;&lt;periodical&gt;&lt;full-title&gt;Int J Pharm&lt;/full-title&gt;&lt;abbr-1&gt;International journal of pharmaceutics&lt;/abbr-1&gt;&lt;/periodical&gt;&lt;pages&gt;243-253&lt;/pages&gt;&lt;volume&gt;254&lt;/volume&gt;&lt;number&gt;2&lt;/number&gt;&lt;dates&gt;&lt;year&gt;2003&lt;/year&gt;&lt;/dates&gt;&lt;isbn&gt;0378-5173&lt;/isbn&gt;&lt;urls&gt;&lt;related-urls&gt;&lt;url&gt;http://www.sciencedirect.com/science/article/pii/S0378517303000322&lt;/url&gt;&lt;/related-urls&gt;&lt;/urls&gt;&lt;/record&gt;&lt;/Cite&gt;&lt;/EndNote&gt;</w:instrText>
      </w:r>
      <w:r w:rsidR="00CB46D8">
        <w:fldChar w:fldCharType="separate"/>
      </w:r>
      <w:r>
        <w:rPr>
          <w:noProof/>
        </w:rPr>
        <w:t>[17, 18]</w:t>
      </w:r>
      <w:r w:rsidR="00CB46D8">
        <w:fldChar w:fldCharType="end"/>
      </w:r>
      <w:r>
        <w:t xml:space="preserve">. The </w:t>
      </w:r>
      <w:r w:rsidRPr="00AA6BB3">
        <w:t>spinning-top aerosol generator</w:t>
      </w:r>
      <w:r>
        <w:t xml:space="preserve"> (STAG Mark II; Research Engineers Ltd.) was used to generate the monodisperse particles. </w:t>
      </w:r>
      <w:r w:rsidRPr="00AA7559">
        <w:t>Immediately prior</w:t>
      </w:r>
      <w:r>
        <w:t xml:space="preserve"> to delivery from the STAG, </w:t>
      </w:r>
      <w:proofErr w:type="spellStart"/>
      <w:r>
        <w:t>s</w:t>
      </w:r>
      <w:r w:rsidRPr="00AA7559">
        <w:t>abutamol</w:t>
      </w:r>
      <w:proofErr w:type="spellEnd"/>
      <w:r w:rsidRPr="00AA7559">
        <w:t xml:space="preserve"> </w:t>
      </w:r>
      <w:proofErr w:type="spellStart"/>
      <w:r w:rsidRPr="00AA7559">
        <w:t>sulfate</w:t>
      </w:r>
      <w:proofErr w:type="spellEnd"/>
      <w:r w:rsidRPr="00AA7559">
        <w:t xml:space="preserve"> powder (GlaxoSmithKline), dissolved in ethanol, was combined with a measured quantity of technetium </w:t>
      </w:r>
      <w:proofErr w:type="spellStart"/>
      <w:r w:rsidRPr="00AA7559">
        <w:t>pertechnetate</w:t>
      </w:r>
      <w:proofErr w:type="spellEnd"/>
      <w:r w:rsidRPr="00AA7559">
        <w:t xml:space="preserve"> (</w:t>
      </w:r>
      <w:r w:rsidRPr="00E202EE">
        <w:rPr>
          <w:vertAlign w:val="superscript"/>
        </w:rPr>
        <w:t>99m</w:t>
      </w:r>
      <w:r w:rsidRPr="00AA7559">
        <w:t>TcO</w:t>
      </w:r>
      <w:r w:rsidRPr="00E202EE">
        <w:rPr>
          <w:vertAlign w:val="subscript"/>
        </w:rPr>
        <w:t>4</w:t>
      </w:r>
      <w:r w:rsidRPr="00E202EE">
        <w:rPr>
          <w:vertAlign w:val="superscript"/>
        </w:rPr>
        <w:t>-</w:t>
      </w:r>
      <w:r w:rsidRPr="00AA7559">
        <w:t xml:space="preserve">), eluted from a molybdenum/technetium generator (Mallinckrodt, </w:t>
      </w:r>
      <w:proofErr w:type="spellStart"/>
      <w:r w:rsidRPr="00AA7559">
        <w:t>Radiopharmac</w:t>
      </w:r>
      <w:r>
        <w:t>y</w:t>
      </w:r>
      <w:proofErr w:type="spellEnd"/>
      <w:r>
        <w:t xml:space="preserve"> Services, Middlesex Hospital).</w:t>
      </w:r>
      <w:r w:rsidRPr="00AA7559">
        <w:t xml:space="preserve"> </w:t>
      </w:r>
      <w:r>
        <w:t xml:space="preserve">Each dose was delivered as three sequential one-litre bolus breaths followed by a 10 second breath-hold pause. </w:t>
      </w:r>
    </w:p>
    <w:p w:rsidR="00B5351E" w:rsidRDefault="00B5351E" w:rsidP="00B5351E">
      <w:pPr>
        <w:spacing w:line="480" w:lineRule="auto"/>
        <w:jc w:val="both"/>
      </w:pPr>
      <w:r>
        <w:t>The polydisperse (GSD&gt;1.22) nebulised and pMDI plus spacer devices delivered salbutamol (periods 3 and 4, respectively) as standard preparations (</w:t>
      </w:r>
      <w:proofErr w:type="spellStart"/>
      <w:r>
        <w:t>Ventolin</w:t>
      </w:r>
      <w:proofErr w:type="spellEnd"/>
      <w:r>
        <w:t xml:space="preserve">, Allen &amp; </w:t>
      </w:r>
      <w:proofErr w:type="spellStart"/>
      <w:r>
        <w:t>Hanburys</w:t>
      </w:r>
      <w:proofErr w:type="spellEnd"/>
      <w:r>
        <w:t xml:space="preserve">, Middlesex, UK). Technetium </w:t>
      </w:r>
      <w:proofErr w:type="spellStart"/>
      <w:r>
        <w:t>pertechnetate</w:t>
      </w:r>
      <w:proofErr w:type="spellEnd"/>
      <w:r>
        <w:t xml:space="preserve"> </w:t>
      </w:r>
      <w:r w:rsidRPr="00AA7559">
        <w:t>(</w:t>
      </w:r>
      <w:r w:rsidRPr="003F457B">
        <w:rPr>
          <w:vertAlign w:val="superscript"/>
        </w:rPr>
        <w:t>99m</w:t>
      </w:r>
      <w:r w:rsidRPr="00AA7559">
        <w:t>TcO</w:t>
      </w:r>
      <w:r w:rsidRPr="003F457B">
        <w:rPr>
          <w:vertAlign w:val="subscript"/>
        </w:rPr>
        <w:t>4</w:t>
      </w:r>
      <w:r w:rsidRPr="003F457B">
        <w:rPr>
          <w:vertAlign w:val="superscript"/>
        </w:rPr>
        <w:t>-</w:t>
      </w:r>
      <w:r>
        <w:t xml:space="preserve">) was added to the nebule preparation in the nebuliser chamber. The nebuliser particles had a mass </w:t>
      </w:r>
      <w:r w:rsidRPr="00E202EE">
        <w:t>median aerodynamic diameter</w:t>
      </w:r>
      <w:r>
        <w:t xml:space="preserve"> (MMAD) 3.1µm with a GSD of 1.8. Subjects inhaled the nebulised aerosol as slow and deep tidal breaths which continued until all the liquid was gone. The pMDI (400µg, </w:t>
      </w:r>
      <w:proofErr w:type="gramStart"/>
      <w:r>
        <w:t xml:space="preserve">HFA </w:t>
      </w:r>
      <w:r>
        <w:rPr>
          <w:rStyle w:val="apple-converted-space"/>
          <w:rFonts w:ascii="Arial" w:hAnsi="Arial" w:cs="Arial"/>
          <w:color w:val="000000"/>
          <w:sz w:val="20"/>
          <w:szCs w:val="20"/>
          <w:shd w:val="clear" w:color="auto" w:fill="FFFFFF"/>
        </w:rPr>
        <w:t> </w:t>
      </w:r>
      <w:proofErr w:type="spellStart"/>
      <w:r>
        <w:rPr>
          <w:rFonts w:ascii="Arial" w:hAnsi="Arial" w:cs="Arial"/>
          <w:color w:val="000000"/>
          <w:sz w:val="20"/>
          <w:szCs w:val="20"/>
          <w:shd w:val="clear" w:color="auto" w:fill="FFFFFF"/>
        </w:rPr>
        <w:t>Evohaler</w:t>
      </w:r>
      <w:proofErr w:type="spellEnd"/>
      <w:proofErr w:type="gramEnd"/>
      <w:r>
        <w:rPr>
          <w:rFonts w:ascii="Arial" w:hAnsi="Arial" w:cs="Arial"/>
          <w:color w:val="000000"/>
          <w:shd w:val="clear" w:color="auto" w:fill="FFFFFF"/>
          <w:vertAlign w:val="superscript"/>
        </w:rPr>
        <w:t>®</w:t>
      </w:r>
      <w:r>
        <w:t xml:space="preserve">) had an MMAD of 2.6µm.  The dose was delivered as four administrations inhaled as slow and deep breaths via the spacer, followed by a breath-hold pause. </w:t>
      </w:r>
    </w:p>
    <w:p w:rsidR="00B5351E" w:rsidRDefault="00B5351E" w:rsidP="00B5351E">
      <w:pPr>
        <w:pStyle w:val="Heading2"/>
        <w:spacing w:line="480" w:lineRule="auto"/>
      </w:pPr>
      <w:r>
        <w:t>Study procedures</w:t>
      </w:r>
    </w:p>
    <w:p w:rsidR="00B5351E" w:rsidRDefault="00B5351E" w:rsidP="00B5351E">
      <w:pPr>
        <w:spacing w:line="480" w:lineRule="auto"/>
        <w:jc w:val="both"/>
      </w:pPr>
      <w:r>
        <w:t xml:space="preserve">Forced vital capacity (FVC) and diffusion coefficient for carbon monoxide (DLco) were assessed at baseline. </w:t>
      </w:r>
      <w:r w:rsidRPr="00FD6095">
        <w:t>Impulse Oscillometry (IOS)</w:t>
      </w:r>
      <w:r>
        <w:t>,</w:t>
      </w:r>
      <w:r w:rsidRPr="00FD6095">
        <w:t xml:space="preserve"> a sensitive assessment of large and small airways function</w:t>
      </w:r>
      <w:r>
        <w:t xml:space="preserve">, </w:t>
      </w:r>
      <w:r w:rsidRPr="00FD6095">
        <w:t>was performed at baseline and at 1 and 4 hours post-</w:t>
      </w:r>
      <w:r>
        <w:t xml:space="preserve">dose, where </w:t>
      </w:r>
      <w:r w:rsidRPr="00FD6095">
        <w:t>total airway resistance at 5 Hz (R5), central airways resistance at 20Hz (R20)</w:t>
      </w:r>
      <w:r>
        <w:t>,</w:t>
      </w:r>
      <w:r w:rsidRPr="00FD6095">
        <w:t xml:space="preserve"> small airways </w:t>
      </w:r>
      <w:r>
        <w:lastRenderedPageBreak/>
        <w:t xml:space="preserve">resistance </w:t>
      </w:r>
      <w:r w:rsidRPr="00FD6095">
        <w:t>(R5 - R20)</w:t>
      </w:r>
      <w:r>
        <w:t xml:space="preserve"> and</w:t>
      </w:r>
      <w:r w:rsidRPr="00FD6095">
        <w:t xml:space="preserve"> small</w:t>
      </w:r>
      <w:r>
        <w:t xml:space="preserve"> airway r</w:t>
      </w:r>
      <w:r w:rsidRPr="00FD6095">
        <w:t>eactance measured at 5Hz (X5)</w:t>
      </w:r>
      <w:r>
        <w:t xml:space="preserve"> were determined</w:t>
      </w:r>
      <w:r w:rsidRPr="00FD6095">
        <w:t xml:space="preserve">. Pulmonary function test (PFT) parameters </w:t>
      </w:r>
      <w:r>
        <w:t>of s</w:t>
      </w:r>
      <w:r w:rsidRPr="00FD6095">
        <w:t>low VC, FEV1, FVC, FEF25-75 and PEF were also measured at baseline and at 1 and 4 hours post-dose.</w:t>
      </w:r>
      <w:r>
        <w:rPr>
          <w:color w:val="FF0000"/>
        </w:rPr>
        <w:t xml:space="preserve"> </w:t>
      </w:r>
      <w:r>
        <w:t>Charcoal block (240mL of water plus 50g activated charcoal) was offered to subjects prior to dosing of salbutamol in all four periods, to minimise gastrointestinal absorption of any swallowed dose. Immediately after dosing in periods 1 – 3 s</w:t>
      </w:r>
      <w:r w:rsidRPr="008B6451">
        <w:t xml:space="preserve">cintigraphic images of the posterior thorax, anterior thorax, and lateral oropharynx </w:t>
      </w:r>
      <w:r>
        <w:t>were</w:t>
      </w:r>
      <w:r w:rsidRPr="008B6451">
        <w:t xml:space="preserve"> recorded</w:t>
      </w:r>
      <w:r>
        <w:t>. Blood and urine samples for PK analysis were taken before and after dosing in all periods.</w:t>
      </w:r>
    </w:p>
    <w:p w:rsidR="00B5351E" w:rsidRDefault="00B5351E" w:rsidP="00B5351E">
      <w:pPr>
        <w:pStyle w:val="Heading2"/>
        <w:spacing w:line="480" w:lineRule="auto"/>
        <w:jc w:val="both"/>
      </w:pPr>
      <w:r>
        <w:t>Imaging</w:t>
      </w:r>
    </w:p>
    <w:p w:rsidR="00B5351E" w:rsidRPr="00D01086" w:rsidRDefault="00B5351E" w:rsidP="00B5351E">
      <w:pPr>
        <w:pStyle w:val="Default"/>
        <w:spacing w:line="480" w:lineRule="auto"/>
        <w:jc w:val="both"/>
      </w:pPr>
      <w:r w:rsidRPr="00742E7A">
        <w:rPr>
          <w:rFonts w:ascii="Times New Roman" w:hAnsi="Times New Roman" w:cs="Times New Roman"/>
        </w:rPr>
        <w:t>Total lung deposition</w:t>
      </w:r>
      <w:r>
        <w:rPr>
          <w:rFonts w:ascii="Times New Roman" w:hAnsi="Times New Roman" w:cs="Times New Roman"/>
        </w:rPr>
        <w:t xml:space="preserve"> (TLD)</w:t>
      </w:r>
      <w:r w:rsidRPr="00742E7A">
        <w:rPr>
          <w:rFonts w:ascii="Times New Roman" w:hAnsi="Times New Roman" w:cs="Times New Roman"/>
        </w:rPr>
        <w:t xml:space="preserve"> and penetration index </w:t>
      </w:r>
      <w:r>
        <w:rPr>
          <w:rFonts w:ascii="Times New Roman" w:hAnsi="Times New Roman" w:cs="Times New Roman"/>
        </w:rPr>
        <w:t xml:space="preserve">(PI) </w:t>
      </w:r>
      <w:r w:rsidRPr="00742E7A">
        <w:rPr>
          <w:rFonts w:ascii="Times New Roman" w:hAnsi="Times New Roman" w:cs="Times New Roman"/>
        </w:rPr>
        <w:t xml:space="preserve">were measured by planar gamma scintigraphy imaging </w:t>
      </w:r>
      <w:r>
        <w:rPr>
          <w:rFonts w:ascii="Times New Roman" w:hAnsi="Times New Roman" w:cs="Times New Roman"/>
        </w:rPr>
        <w:t xml:space="preserve">and the data </w:t>
      </w:r>
      <w:r w:rsidRPr="00742E7A">
        <w:rPr>
          <w:rFonts w:ascii="Times New Roman" w:hAnsi="Times New Roman" w:cs="Times New Roman"/>
        </w:rPr>
        <w:t>processed</w:t>
      </w:r>
      <w:r>
        <w:rPr>
          <w:rFonts w:ascii="Times New Roman" w:hAnsi="Times New Roman" w:cs="Times New Roman"/>
        </w:rPr>
        <w:t xml:space="preserve">, as previously described </w:t>
      </w:r>
      <w:r w:rsidR="00CB46D8">
        <w:rPr>
          <w:rFonts w:ascii="Times New Roman" w:hAnsi="Times New Roman" w:cs="Times New Roman"/>
        </w:rPr>
        <w:fldChar w:fldCharType="begin">
          <w:fldData xml:space="preserve">PEVuZE5vdGU+PENpdGU+PEF1dGhvcj5OZXdtYW48L0F1dGhvcj48WWVhcj4yMDEyPC9ZZWFyPjxS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</w:fldData>
        </w:fldChar>
      </w:r>
      <w:r>
        <w:rPr>
          <w:rFonts w:ascii="Times New Roman" w:hAnsi="Times New Roman" w:cs="Times New Roman"/>
        </w:rPr>
        <w:instrText xml:space="preserve"> ADDIN EN.CITE </w:instrText>
      </w:r>
      <w:r w:rsidR="00CB46D8">
        <w:rPr>
          <w:rFonts w:ascii="Times New Roman" w:hAnsi="Times New Roman" w:cs="Times New Roman"/>
        </w:rPr>
        <w:fldChar w:fldCharType="begin">
          <w:fldData xml:space="preserve">PEVuZE5vdGU+PENpdGU+PEF1dGhvcj5OZXdtYW48L0F1dGhvcj48WWVhcj4yMDEyPC9ZZWFyPjxS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</w:fldData>
        </w:fldChar>
      </w:r>
      <w:r>
        <w:rPr>
          <w:rFonts w:ascii="Times New Roman" w:hAnsi="Times New Roman" w:cs="Times New Roman"/>
        </w:rPr>
        <w:instrText xml:space="preserve"> ADDIN EN.CITE.DATA </w:instrText>
      </w:r>
      <w:r w:rsidR="00CB46D8">
        <w:rPr>
          <w:rFonts w:ascii="Times New Roman" w:hAnsi="Times New Roman" w:cs="Times New Roman"/>
        </w:rPr>
      </w:r>
      <w:r w:rsidR="00CB46D8">
        <w:rPr>
          <w:rFonts w:ascii="Times New Roman" w:hAnsi="Times New Roman" w:cs="Times New Roman"/>
        </w:rPr>
        <w:fldChar w:fldCharType="end"/>
      </w:r>
      <w:r w:rsidR="00CB46D8">
        <w:rPr>
          <w:rFonts w:ascii="Times New Roman" w:hAnsi="Times New Roman" w:cs="Times New Roman"/>
        </w:rPr>
      </w:r>
      <w:r w:rsidR="00CB46D8">
        <w:rPr>
          <w:rFonts w:ascii="Times New Roman" w:hAnsi="Times New Roman" w:cs="Times New Roman"/>
        </w:rPr>
        <w:fldChar w:fldCharType="separate"/>
      </w:r>
      <w:r>
        <w:rPr>
          <w:rFonts w:ascii="Times New Roman" w:hAnsi="Times New Roman" w:cs="Times New Roman"/>
          <w:noProof/>
        </w:rPr>
        <w:t>[13, 19]</w:t>
      </w:r>
      <w:r w:rsidR="00CB46D8">
        <w:rPr>
          <w:rFonts w:ascii="Times New Roman" w:hAnsi="Times New Roman" w:cs="Times New Roman"/>
        </w:rPr>
        <w:fldChar w:fldCharType="end"/>
      </w:r>
      <w:r w:rsidRPr="00742E7A">
        <w:rPr>
          <w:rFonts w:ascii="Times New Roman" w:hAnsi="Times New Roman" w:cs="Times New Roman"/>
        </w:rPr>
        <w:t>.</w:t>
      </w:r>
      <w:r>
        <w:rPr>
          <w:rFonts w:ascii="Times New Roman" w:hAnsi="Times New Roman" w:cs="Times New Roman"/>
        </w:rPr>
        <w:t xml:space="preserve"> Lung r</w:t>
      </w:r>
      <w:r w:rsidRPr="00742E7A">
        <w:rPr>
          <w:rFonts w:ascii="Times New Roman" w:hAnsi="Times New Roman" w:cs="Times New Roman"/>
        </w:rPr>
        <w:t xml:space="preserve">egions of interest </w:t>
      </w:r>
      <w:r>
        <w:rPr>
          <w:rFonts w:ascii="Times New Roman" w:hAnsi="Times New Roman" w:cs="Times New Roman"/>
        </w:rPr>
        <w:t xml:space="preserve">(ROI) </w:t>
      </w:r>
      <w:r w:rsidRPr="00742E7A">
        <w:rPr>
          <w:rFonts w:ascii="Times New Roman" w:hAnsi="Times New Roman" w:cs="Times New Roman"/>
        </w:rPr>
        <w:t xml:space="preserve">were generated using a Krypton ventilation scan to define the lung boundaries and Inner and Outer ROIs were generated </w:t>
      </w:r>
      <w:r w:rsidR="00CB46D8">
        <w:rPr>
          <w:rFonts w:ascii="Times New Roman" w:hAnsi="Times New Roman" w:cs="Times New Roman"/>
        </w:rPr>
        <w:fldChar w:fldCharType="begin"/>
      </w:r>
      <w:r>
        <w:rPr>
          <w:rFonts w:ascii="Times New Roman" w:hAnsi="Times New Roman" w:cs="Times New Roman"/>
        </w:rPr>
        <w:instrText xml:space="preserve"> ADDIN EN.CITE &lt;EndNote&gt;&lt;Cite&gt;&lt;Author&gt;Biddiscombe&lt;/Author&gt;&lt;Year&gt;2011&lt;/Year&gt;&lt;RecNum&gt;629&lt;/RecNum&gt;&lt;DisplayText&gt;[20]&lt;/DisplayText&gt;&lt;record&gt;&lt;rec-number&gt;629&lt;/rec-number&gt;&lt;foreign-keys&gt;&lt;key app="EN" db-id="s0wap9vpvpzvtke9rs9v0ssofefp205p2av0" timestamp="1468840531"&gt;629&lt;/key&gt;&lt;/foreign-keys&gt;&lt;ref-type name="Journal Article"&gt;17&lt;/ref-type&gt;&lt;contributors&gt;&lt;authors&gt;&lt;author&gt;Biddiscombe, Martyn F&lt;/author&gt;&lt;author&gt;Meah, Sally N&lt;/author&gt;&lt;author&gt;Underwood, S Richard&lt;/author&gt;&lt;author&gt;Usmani, Omar S&lt;/author&gt;&lt;/authors&gt;&lt;/contributors&gt;&lt;titles&gt;&lt;title&gt;Comparing lung regions of interest in gamma scintigraphy for assessing inhaled therapeutic aerosol deposition&lt;/title&gt;&lt;secondary-title&gt;Journal of aerosol medicine and pulmonary drug delivery&lt;/secondary-title&gt;&lt;/titles&gt;&lt;periodical&gt;&lt;full-title&gt;J Aerosol Med Pulm Drug Deliv&lt;/full-title&gt;&lt;abbr-1&gt;Journal of aerosol medicine and pulmonary drug delivery&lt;/abbr-1&gt;&lt;/periodical&gt;&lt;pages&gt;165-173&lt;/pages&gt;&lt;volume&gt;24&lt;/volume&gt;&lt;number&gt;3&lt;/number&gt;&lt;dates&gt;&lt;year&gt;2011&lt;/year&gt;&lt;/dates&gt;&lt;isbn&gt;1941-2711&lt;/isbn&gt;&lt;urls&gt;&lt;related-urls&gt;&lt;url&gt;http://online.liebertpub.com/doi/abs/10.1089/jamp.2010.0845?url_ver=Z39.88-2003&amp;amp;rfr_id=ori%3Arid%3Acrossref.org&amp;amp;rfr_dat=cr_pub%3Dpubmed&amp;amp;&lt;/url&gt;&lt;/related-urls&gt;&lt;/urls&gt;&lt;/record&gt;&lt;/Cite&gt;&lt;/EndNote&gt;</w:instrText>
      </w:r>
      <w:r w:rsidR="00CB46D8">
        <w:rPr>
          <w:rFonts w:ascii="Times New Roman" w:hAnsi="Times New Roman" w:cs="Times New Roman"/>
        </w:rPr>
        <w:fldChar w:fldCharType="separate"/>
      </w:r>
      <w:r>
        <w:rPr>
          <w:rFonts w:ascii="Times New Roman" w:hAnsi="Times New Roman" w:cs="Times New Roman"/>
          <w:noProof/>
        </w:rPr>
        <w:t>[20]</w:t>
      </w:r>
      <w:r w:rsidR="00CB46D8">
        <w:rPr>
          <w:rFonts w:ascii="Times New Roman" w:hAnsi="Times New Roman" w:cs="Times New Roman"/>
        </w:rPr>
        <w:fldChar w:fldCharType="end"/>
      </w:r>
      <w:r w:rsidRPr="00742E7A">
        <w:rPr>
          <w:rFonts w:ascii="Times New Roman" w:hAnsi="Times New Roman" w:cs="Times New Roman"/>
        </w:rPr>
        <w:t xml:space="preserve">.  </w:t>
      </w:r>
      <w:r>
        <w:rPr>
          <w:rFonts w:ascii="Times New Roman" w:hAnsi="Times New Roman" w:cs="Times New Roman"/>
        </w:rPr>
        <w:t>The d</w:t>
      </w:r>
      <w:r w:rsidRPr="00742E7A">
        <w:rPr>
          <w:rFonts w:ascii="Times New Roman" w:hAnsi="Times New Roman" w:cs="Times New Roman"/>
        </w:rPr>
        <w:t>eposition in the lungs,</w:t>
      </w:r>
      <w:r w:rsidRPr="00B877DF">
        <w:t xml:space="preserve"> </w:t>
      </w:r>
      <w:r w:rsidRPr="00551730">
        <w:rPr>
          <w:rFonts w:ascii="Times New Roman" w:hAnsi="Times New Roman" w:cs="Times New Roman"/>
        </w:rPr>
        <w:t>oropharynx</w:t>
      </w:r>
      <w:r>
        <w:rPr>
          <w:rFonts w:ascii="Times New Roman" w:hAnsi="Times New Roman" w:cs="Times New Roman"/>
        </w:rPr>
        <w:t>,</w:t>
      </w:r>
      <w:r w:rsidRPr="00B877DF">
        <w:rPr>
          <w:rFonts w:ascii="Times New Roman" w:hAnsi="Times New Roman" w:cs="Times New Roman"/>
        </w:rPr>
        <w:t xml:space="preserve"> </w:t>
      </w:r>
      <w:r w:rsidRPr="00742E7A">
        <w:rPr>
          <w:rFonts w:ascii="Times New Roman" w:hAnsi="Times New Roman" w:cs="Times New Roman"/>
        </w:rPr>
        <w:t xml:space="preserve">mediastinum, stomach and </w:t>
      </w:r>
      <w:r>
        <w:rPr>
          <w:rFonts w:ascii="Times New Roman" w:hAnsi="Times New Roman" w:cs="Times New Roman"/>
        </w:rPr>
        <w:t xml:space="preserve">aerosol </w:t>
      </w:r>
      <w:r w:rsidRPr="00742E7A">
        <w:rPr>
          <w:rFonts w:ascii="Times New Roman" w:hAnsi="Times New Roman" w:cs="Times New Roman"/>
        </w:rPr>
        <w:t>exhaled and retained in the device were calculated by performing a “mass balance”</w:t>
      </w:r>
      <w:r>
        <w:rPr>
          <w:rFonts w:ascii="Times New Roman" w:hAnsi="Times New Roman" w:cs="Times New Roman"/>
        </w:rPr>
        <w:t xml:space="preserve"> where</w:t>
      </w:r>
      <w:r w:rsidRPr="00742E7A">
        <w:rPr>
          <w:rFonts w:ascii="Times New Roman" w:hAnsi="Times New Roman" w:cs="Times New Roman"/>
        </w:rPr>
        <w:t>, allowing for tissue attenuation, their sum was assumed to be 100%.</w:t>
      </w:r>
      <w:r>
        <w:rPr>
          <w:rFonts w:ascii="Times New Roman" w:hAnsi="Times New Roman" w:cs="Times New Roman"/>
        </w:rPr>
        <w:t xml:space="preserve"> </w:t>
      </w:r>
    </w:p>
    <w:p w:rsidR="00B5351E" w:rsidRDefault="00B5351E" w:rsidP="00B5351E">
      <w:pPr>
        <w:pStyle w:val="Heading2"/>
        <w:spacing w:line="480" w:lineRule="auto"/>
        <w:jc w:val="both"/>
      </w:pPr>
      <w:r>
        <w:t>Pharmacokinetics</w:t>
      </w:r>
    </w:p>
    <w:p w:rsidR="00B5351E" w:rsidRDefault="00B5351E" w:rsidP="00B5351E">
      <w:pPr>
        <w:spacing w:line="480" w:lineRule="auto"/>
        <w:jc w:val="both"/>
      </w:pPr>
      <w:r w:rsidRPr="008C7B7A">
        <w:t xml:space="preserve">The pharmacokinetics of salbutamol </w:t>
      </w:r>
      <w:r>
        <w:t>was</w:t>
      </w:r>
      <w:r w:rsidRPr="008C7B7A">
        <w:t xml:space="preserve"> measured in plasma and urine</w:t>
      </w:r>
      <w:r>
        <w:t xml:space="preserve"> (York Bioanalytical Solutions). </w:t>
      </w:r>
      <w:r w:rsidRPr="00B142F7">
        <w:t>H</w:t>
      </w:r>
      <w:r>
        <w:t>uman p</w:t>
      </w:r>
      <w:r w:rsidRPr="00B142F7">
        <w:t>l</w:t>
      </w:r>
      <w:r>
        <w:t>asma and urine samples were analysed for s</w:t>
      </w:r>
      <w:r w:rsidRPr="00B142F7">
        <w:t>albutamol using a validated analytical method based on solid phase extraction</w:t>
      </w:r>
      <w:r>
        <w:t xml:space="preserve"> for plasma and </w:t>
      </w:r>
      <w:r w:rsidRPr="002A17C6">
        <w:t>dilution with buffer</w:t>
      </w:r>
      <w:r>
        <w:t xml:space="preserve"> for urine</w:t>
      </w:r>
      <w:r w:rsidRPr="00B142F7">
        <w:t xml:space="preserve">, followed by LC-MS/MS analysis. </w:t>
      </w:r>
    </w:p>
    <w:p w:rsidR="00B5351E" w:rsidRDefault="00B5351E" w:rsidP="00B5351E">
      <w:pPr>
        <w:spacing w:line="480" w:lineRule="auto"/>
        <w:jc w:val="both"/>
      </w:pPr>
      <w:r w:rsidRPr="008C7B7A">
        <w:t xml:space="preserve">Blood samples </w:t>
      </w:r>
      <w:r>
        <w:t>were</w:t>
      </w:r>
      <w:r w:rsidRPr="008C7B7A">
        <w:t xml:space="preserve"> drawn at baseline (t0), at </w:t>
      </w:r>
      <w:r>
        <w:t xml:space="preserve">5, </w:t>
      </w:r>
      <w:r w:rsidRPr="008C7B7A">
        <w:t>15 and 30 minutes</w:t>
      </w:r>
      <w:r>
        <w:t>,</w:t>
      </w:r>
      <w:r w:rsidRPr="008C7B7A">
        <w:t xml:space="preserve"> 1, 1.5, 2, 3, 4, 5 and 6 hours post salbutamol. Urine </w:t>
      </w:r>
      <w:r>
        <w:t>was</w:t>
      </w:r>
      <w:r w:rsidRPr="008C7B7A">
        <w:t xml:space="preserve"> collected at 0</w:t>
      </w:r>
      <w:r>
        <w:t xml:space="preserve"> to </w:t>
      </w:r>
      <w:r w:rsidRPr="008C7B7A">
        <w:t>30 minutes, 30</w:t>
      </w:r>
      <w:r>
        <w:t xml:space="preserve"> minutes to 4 hours and 4 to 8 hours</w:t>
      </w:r>
      <w:r w:rsidRPr="008C7B7A">
        <w:t xml:space="preserve"> and aliquots </w:t>
      </w:r>
      <w:r>
        <w:t>were</w:t>
      </w:r>
      <w:r w:rsidRPr="008C7B7A">
        <w:t xml:space="preserve"> frozen </w:t>
      </w:r>
      <w:r>
        <w:t>at -80</w:t>
      </w:r>
      <w:r w:rsidRPr="0053552D">
        <w:rPr>
          <w:vertAlign w:val="superscript"/>
        </w:rPr>
        <w:t>o</w:t>
      </w:r>
      <w:r>
        <w:t xml:space="preserve">C </w:t>
      </w:r>
      <w:r w:rsidRPr="008C7B7A">
        <w:t xml:space="preserve">prior to analysis. </w:t>
      </w:r>
    </w:p>
    <w:p w:rsidR="00B5351E" w:rsidRDefault="00B5351E" w:rsidP="00B5351E">
      <w:pPr>
        <w:pStyle w:val="Heading2"/>
        <w:spacing w:line="480" w:lineRule="auto"/>
        <w:jc w:val="both"/>
      </w:pPr>
      <w:r>
        <w:lastRenderedPageBreak/>
        <w:t>Statistical methods</w:t>
      </w:r>
    </w:p>
    <w:p w:rsidR="00B5351E" w:rsidRDefault="00B5351E" w:rsidP="00B5351E">
      <w:pPr>
        <w:spacing w:line="480" w:lineRule="auto"/>
        <w:jc w:val="both"/>
      </w:pPr>
      <w:r>
        <w:t xml:space="preserve">Regional lung deposition, TLD and PI were measured using planar images and calculated as previously described </w:t>
      </w:r>
      <w:r w:rsidR="00CB46D8">
        <w:fldChar w:fldCharType="begin"/>
      </w:r>
      <w:r>
        <w:instrText xml:space="preserve"> ADDIN EN.CITE &lt;EndNote&gt;&lt;Cite&gt;&lt;Author&gt;Usmani&lt;/Author&gt;&lt;Year&gt;2005&lt;/Year&gt;&lt;RecNum&gt;626&lt;/RecNum&gt;&lt;DisplayText&gt;[13]&lt;/DisplayText&gt;&lt;record&gt;&lt;rec-number&gt;626&lt;/rec-number&gt;&lt;foreign-keys&gt;&lt;key app="EN" db-id="s0wap9vpvpzvtke9rs9v0ssofefp205p2av0" timestamp="1468840033"&gt;626&lt;/key&gt;&lt;/foreign-keys&gt;&lt;ref-type name="Journal Article"&gt;17&lt;/ref-type&gt;&lt;contributors&gt;&lt;authors&gt;&lt;author&gt;Usmani, Omar S&lt;/author&gt;&lt;author&gt;Biddiscombe, Martyn F&lt;/author&gt;&lt;author&gt;Barnes, Peter J&lt;/author&gt;&lt;/authors&gt;&lt;/contributors&gt;&lt;titles&gt;&lt;title&gt;Regional lung deposition and bronchodilator response as a function of β2-agonist particle size&lt;/title&gt;&lt;secondary-title&gt;American journal of respiratory and critical care medicine&lt;/secondary-title&gt;&lt;/titles&gt;&lt;periodical&gt;&lt;full-title&gt;American journal of respiratory and critical care medicine&lt;/full-title&gt;&lt;/periodical&gt;&lt;pages&gt;1497-1504&lt;/pages&gt;&lt;volume&gt;172&lt;/volume&gt;&lt;number&gt;12&lt;/number&gt;&lt;dates&gt;&lt;year&gt;2005&lt;/year&gt;&lt;/dates&gt;&lt;isbn&gt;1073-449X&lt;/isbn&gt;&lt;urls&gt;&lt;related-urls&gt;&lt;url&gt;http://www.atsjournals.org/doi/pdf/10.1164/rccm.200410-1414OC&lt;/url&gt;&lt;/related-urls&gt;&lt;/urls&gt;&lt;/record&gt;&lt;/Cite&gt;&lt;/EndNote&gt;</w:instrText>
      </w:r>
      <w:r w:rsidR="00CB46D8">
        <w:fldChar w:fldCharType="separate"/>
      </w:r>
      <w:r>
        <w:rPr>
          <w:noProof/>
        </w:rPr>
        <w:t>[13]</w:t>
      </w:r>
      <w:r w:rsidR="00CB46D8">
        <w:fldChar w:fldCharType="end"/>
      </w:r>
      <w:r>
        <w:t>. The mean values of TLD and those of PI were compared using a linear mixed model</w:t>
      </w:r>
      <w:r w:rsidRPr="004D04C1">
        <w:t xml:space="preserve"> method</w:t>
      </w:r>
      <w:r>
        <w:t xml:space="preserve">. </w:t>
      </w:r>
    </w:p>
    <w:p w:rsidR="00B5351E" w:rsidRDefault="00B5351E" w:rsidP="00B5351E">
      <w:pPr>
        <w:spacing w:line="480" w:lineRule="auto"/>
        <w:jc w:val="both"/>
      </w:pPr>
      <w:r w:rsidRPr="00311204">
        <w:t>Penetration Index (PI) is a continuous variable between 0 and 1.0.  A value of 1.0 implies complete penetration of aerosol to the peripheral lung boundary. PI allows an accurate assessment of differences in regional lung deposition between different particle sizes and charge states. Based on our previous work, a sample size of 8 will have 80% power to detect a difference in means of 0.19 assuming a standard deviation of differences of 0.15, using a paired t-test with a 0.05 two-sided significance level</w:t>
      </w:r>
      <w:r>
        <w:t xml:space="preserve"> [12].</w:t>
      </w:r>
    </w:p>
    <w:p w:rsidR="00B5351E" w:rsidRDefault="00B5351E" w:rsidP="00B5351E">
      <w:pPr>
        <w:spacing w:line="480" w:lineRule="auto"/>
        <w:jc w:val="both"/>
      </w:pPr>
      <w:r>
        <w:t xml:space="preserve">Interrelationships between disease variables and particle deposition were examined by using the Spearman rank correlation coefficient (rho). The Wilcoxon rank sum test was used for unpaired group comparisons of semi-quantitative scales and the Wilcoxon signed rank test for paired comparisons of data. Plasma pharmacokinetic data of salbutamol was analysed using non-compartmental analysis (NCA) using </w:t>
      </w:r>
      <w:proofErr w:type="spellStart"/>
      <w:r>
        <w:t>WinNonlin</w:t>
      </w:r>
      <w:proofErr w:type="spellEnd"/>
      <w:r>
        <w:t xml:space="preserve"> Professional Edition version 6 (Pharsight Corporation, Mountain View, CA)]. The following PK parameters were estimated: maximum observed plasma concentration (</w:t>
      </w:r>
      <w:proofErr w:type="spellStart"/>
      <w:r>
        <w:t>Cmax</w:t>
      </w:r>
      <w:proofErr w:type="spellEnd"/>
      <w:r>
        <w:t xml:space="preserve">), first time to reach </w:t>
      </w:r>
      <w:proofErr w:type="spellStart"/>
      <w:r>
        <w:t>Cmax</w:t>
      </w:r>
      <w:proofErr w:type="spellEnd"/>
      <w:r>
        <w:t xml:space="preserve"> (</w:t>
      </w:r>
      <w:proofErr w:type="spellStart"/>
      <w:r>
        <w:t>tmax</w:t>
      </w:r>
      <w:proofErr w:type="spellEnd"/>
      <w:r>
        <w:t>) and time of the last observed plasma concentration (</w:t>
      </w:r>
      <w:proofErr w:type="spellStart"/>
      <w:r>
        <w:t>tlast</w:t>
      </w:r>
      <w:proofErr w:type="spellEnd"/>
      <w:r>
        <w:t xml:space="preserve">) and area under the plasma concentration-time curve from time zero to the last quantifiable time point (AUC(0-t)). Urine PK data of salbutamol was summarised as amount of salbutamol excreted in the urine (Ae) by collection window and total over 8 hours. For both PK analyses, the planned time was used. </w:t>
      </w:r>
    </w:p>
    <w:p w:rsidR="00B5351E" w:rsidRDefault="00B5351E" w:rsidP="00B5351E">
      <w:pPr>
        <w:spacing w:line="480" w:lineRule="auto"/>
        <w:jc w:val="both"/>
      </w:pPr>
      <w:r>
        <w:t>Plasma concentration profiles were normalised to a nominal dose of 1µg (plasma concentrations divided by the amount of drug administered in each period) to evaluate the relative efficiency of the devices.</w:t>
      </w:r>
    </w:p>
    <w:p w:rsidR="00B5351E" w:rsidRDefault="00B5351E" w:rsidP="00B5351E">
      <w:pPr>
        <w:spacing w:line="480" w:lineRule="auto"/>
        <w:jc w:val="both"/>
      </w:pPr>
      <w:r>
        <w:lastRenderedPageBreak/>
        <w:t xml:space="preserve">To compare PK profiles of salbutamol following pMDI plus spacer administration in IPF with that observed in healthy and asthmatics, PK profiles were predicted using the reported data in the literature, for healthy subjects </w:t>
      </w:r>
      <w:r w:rsidR="00CB46D8">
        <w:fldChar w:fldCharType="begin"/>
      </w:r>
      <w:r>
        <w:instrText xml:space="preserve"> ADDIN EN.CITE &lt;EndNote&gt;&lt;Cite&gt;&lt;Author&gt;Du&lt;/Author&gt;&lt;Year&gt;2002&lt;/Year&gt;&lt;RecNum&gt;704&lt;/RecNum&gt;&lt;DisplayText&gt;[21]&lt;/DisplayText&gt;&lt;record&gt;&lt;rec-number&gt;704&lt;/rec-number&gt;&lt;foreign-keys&gt;&lt;key app="EN" db-id="s0wap9vpvpzvtke9rs9v0ssofefp205p2av0" timestamp="1469624323"&gt;704&lt;/key&gt;&lt;/foreign-keys&gt;&lt;ref-type name="Journal Article"&gt;17&lt;/ref-type&gt;&lt;contributors&gt;&lt;authors&gt;&lt;author&gt;Du, Xiao-Li&lt;/author&gt;&lt;author&gt;Zhu, Zhu&lt;/author&gt;&lt;author&gt;Fu, Qiang&lt;/author&gt;&lt;author&gt;Li, Da-Kui&lt;/author&gt;&lt;author&gt;Xu, Wen-Bing&lt;/author&gt;&lt;/authors&gt;&lt;/contributors&gt;&lt;titles&gt;&lt;title&gt;Pharmacokinetics and relative bioavailability of salbutamol metered-dose inhaler in healthy volunteers&lt;/title&gt;&lt;secondary-title&gt;Acta Pharmacologica Sinica&lt;/secondary-title&gt;&lt;/titles&gt;&lt;periodical&gt;&lt;full-title&gt;Acta Pharmacologica Sinica&lt;/full-title&gt;&lt;/periodical&gt;&lt;pages&gt;663-666&lt;/pages&gt;&lt;volume&gt;23&lt;/volume&gt;&lt;number&gt;7&lt;/number&gt;&lt;dates&gt;&lt;year&gt;2002&lt;/year&gt;&lt;/dates&gt;&lt;isbn&gt;1671-4083&lt;/isbn&gt;&lt;urls&gt;&lt;/urls&gt;&lt;/record&gt;&lt;/Cite&gt;&lt;/EndNote&gt;</w:instrText>
      </w:r>
      <w:r w:rsidR="00CB46D8">
        <w:fldChar w:fldCharType="separate"/>
      </w:r>
      <w:r>
        <w:rPr>
          <w:noProof/>
        </w:rPr>
        <w:t>[21]</w:t>
      </w:r>
      <w:r w:rsidR="00CB46D8">
        <w:fldChar w:fldCharType="end"/>
      </w:r>
      <w:r>
        <w:t xml:space="preserve"> and asthmatics </w:t>
      </w:r>
      <w:r w:rsidR="00CB46D8">
        <w:fldChar w:fldCharType="begin"/>
      </w:r>
      <w:r>
        <w:instrText xml:space="preserve"> ADDIN EN.CITE &lt;EndNote&gt;&lt;Cite&gt;&lt;Author&gt;Elers&lt;/Author&gt;&lt;Year&gt;2010&lt;/Year&gt;&lt;RecNum&gt;705&lt;/RecNum&gt;&lt;DisplayText&gt;[22]&lt;/DisplayText&gt;&lt;record&gt;&lt;rec-number&gt;705&lt;/rec-number&gt;&lt;foreign-keys&gt;&lt;key app="EN" db-id="s0wap9vpvpzvtke9rs9v0ssofefp205p2av0" timestamp="1469624393"&gt;705&lt;/key&gt;&lt;/foreign-keys&gt;&lt;ref-type name="Journal Article"&gt;17&lt;/ref-type&gt;&lt;contributors&gt;&lt;authors&gt;&lt;author&gt;Elers, Jimmi&lt;/author&gt;&lt;author&gt;Pedersen, Lars&lt;/author&gt;&lt;author&gt;Henninge, John&lt;/author&gt;&lt;author&gt;Lund, Thomas K&lt;/author&gt;&lt;author&gt;Hemmersbach, Peter&lt;/author&gt;&lt;author&gt;Dalhoff, Kim&lt;/author&gt;&lt;author&gt;Backer, Vibeke&lt;/author&gt;&lt;/authors&gt;&lt;/contributors&gt;&lt;titles&gt;&lt;title&gt;Blood and urinary concentrations of salbutamol in asthmatic subjects&lt;/title&gt;&lt;secondary-title&gt;Med Sci Sports Exerc&lt;/secondary-title&gt;&lt;/titles&gt;&lt;periodical&gt;&lt;full-title&gt;Med Sci Sports Exerc&lt;/full-title&gt;&lt;/periodical&gt;&lt;pages&gt;244-249&lt;/pages&gt;&lt;volume&gt;42&lt;/volume&gt;&lt;number&gt;2&lt;/number&gt;&lt;dates&gt;&lt;year&gt;2010&lt;/year&gt;&lt;/dates&gt;&lt;urls&gt;&lt;/urls&gt;&lt;/record&gt;&lt;/Cite&gt;&lt;/EndNote&gt;</w:instrText>
      </w:r>
      <w:r w:rsidR="00CB46D8">
        <w:fldChar w:fldCharType="separate"/>
      </w:r>
      <w:r>
        <w:rPr>
          <w:noProof/>
        </w:rPr>
        <w:t>[22]</w:t>
      </w:r>
      <w:r w:rsidR="00CB46D8">
        <w:fldChar w:fldCharType="end"/>
      </w:r>
      <w:r>
        <w:t xml:space="preserve">. The mean concentration values were extracted from these figures using shareware </w:t>
      </w:r>
      <w:proofErr w:type="spellStart"/>
      <w:r>
        <w:t>TechDig</w:t>
      </w:r>
      <w:proofErr w:type="spellEnd"/>
      <w:r>
        <w:t xml:space="preserve"> (</w:t>
      </w:r>
      <w:r w:rsidRPr="00C928B5">
        <w:t>Ronald Jones</w:t>
      </w:r>
      <w:r>
        <w:t xml:space="preserve">, </w:t>
      </w:r>
      <w:proofErr w:type="spellStart"/>
      <w:r>
        <w:t>TechDig</w:t>
      </w:r>
      <w:proofErr w:type="spellEnd"/>
      <w:r>
        <w:t xml:space="preserve"> 2.0, Mundelein, IL), and then scaled to the pMDI dose (400µg) administered in period four of this study. </w:t>
      </w:r>
    </w:p>
    <w:p w:rsidR="002A01F3" w:rsidRDefault="002A01F3" w:rsidP="002A01F3">
      <w:pPr>
        <w:pStyle w:val="Heading2"/>
      </w:pPr>
      <w:r>
        <w:t>Charcoal Block Results</w:t>
      </w:r>
    </w:p>
    <w:p w:rsidR="002A01F3" w:rsidRDefault="002A01F3" w:rsidP="002A01F3">
      <w:pPr>
        <w:spacing w:line="480" w:lineRule="auto"/>
        <w:jc w:val="both"/>
      </w:pPr>
      <w:r>
        <w:t>Two subjects tolerated 240mL of oral charcoal, three subjects did not take any charcoal, the others drank between 10mL and 120mL of charcoal; no apparent relationship between PK and the amount of charcoal consumed was detected. The PK results reported here included all subjects regardless of charcoal intake.</w:t>
      </w:r>
    </w:p>
    <w:p w:rsidR="00B5351E" w:rsidRPr="00B5351E" w:rsidRDefault="00B919D9" w:rsidP="00F9634F">
      <w:pPr>
        <w:spacing w:line="480" w:lineRule="auto"/>
        <w:jc w:val="both"/>
      </w:pPr>
      <w:r>
        <w:t xml:space="preserve">Variable volumes of activated charcoal were tolerated by our IPF subjects, where the majority was unable to ingest the planned full dose. However, the amount of drug excreted in urine during the first 30 minutes after dosing, accurately reflects lung </w:t>
      </w:r>
      <w:proofErr w:type="spellStart"/>
      <w:r>
        <w:t>absorbtion</w:t>
      </w:r>
      <w:proofErr w:type="spellEnd"/>
      <w:r>
        <w:t xml:space="preserve"> and is independent of swallowed dose. </w:t>
      </w:r>
      <w:bookmarkStart w:id="0" w:name="_GoBack"/>
      <w:bookmarkEnd w:id="0"/>
    </w:p>
    <w:p w:rsidR="00AE1154" w:rsidRDefault="00B5351E" w:rsidP="00AE1154">
      <w:pPr>
        <w:pStyle w:val="Heading1"/>
      </w:pPr>
      <w:r>
        <w:t>Supplementary D</w:t>
      </w:r>
      <w:r w:rsidR="00AE1154">
        <w:t>ata</w:t>
      </w:r>
    </w:p>
    <w:p w:rsidR="00AE1154" w:rsidRPr="002E6841" w:rsidRDefault="00AE1154" w:rsidP="00AE1154">
      <w:pPr>
        <w:rPr>
          <w:b/>
        </w:rPr>
      </w:pPr>
      <w:r w:rsidRPr="002E6841">
        <w:rPr>
          <w:b/>
        </w:rPr>
        <w:t xml:space="preserve">Table </w:t>
      </w:r>
      <w:r w:rsidR="00CB46D8" w:rsidRPr="002E6841">
        <w:rPr>
          <w:b/>
        </w:rPr>
        <w:fldChar w:fldCharType="begin"/>
      </w:r>
      <w:r w:rsidRPr="002E6841">
        <w:rPr>
          <w:b/>
        </w:rPr>
        <w:instrText xml:space="preserve"> SEQ Table \* ARABIC </w:instrText>
      </w:r>
      <w:r w:rsidR="00CB46D8" w:rsidRPr="002E6841">
        <w:rPr>
          <w:b/>
        </w:rPr>
        <w:fldChar w:fldCharType="separate"/>
      </w:r>
      <w:r>
        <w:rPr>
          <w:b/>
          <w:noProof/>
        </w:rPr>
        <w:t>4</w:t>
      </w:r>
      <w:r w:rsidR="00CB46D8" w:rsidRPr="002E6841">
        <w:rPr>
          <w:b/>
        </w:rPr>
        <w:fldChar w:fldCharType="end"/>
      </w:r>
      <w:r w:rsidRPr="002E6841">
        <w:rPr>
          <w:b/>
        </w:rPr>
        <w:t>: Total lung deposition as a percentage of administered dose</w:t>
      </w:r>
      <w:r>
        <w:rPr>
          <w:b/>
        </w:rPr>
        <w:t xml:space="preserve"> for each subject</w:t>
      </w:r>
    </w:p>
    <w:tbl>
      <w:tblPr>
        <w:tblStyle w:val="TableGrid"/>
        <w:tblW w:w="4760" w:type="dxa"/>
        <w:tblLook w:val="04A0"/>
      </w:tblPr>
      <w:tblGrid>
        <w:gridCol w:w="960"/>
        <w:gridCol w:w="1240"/>
        <w:gridCol w:w="1300"/>
        <w:gridCol w:w="1260"/>
      </w:tblGrid>
      <w:tr w:rsidR="00AE1154" w:rsidRPr="00742E7A" w:rsidTr="00F1597A">
        <w:trPr>
          <w:trHeight w:val="300"/>
        </w:trPr>
        <w:tc>
          <w:tcPr>
            <w:tcW w:w="96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Subject</w:t>
            </w:r>
          </w:p>
        </w:tc>
        <w:tc>
          <w:tcPr>
            <w:tcW w:w="124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1.5µm</w:t>
            </w:r>
          </w:p>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50µg</w:t>
            </w:r>
          </w:p>
        </w:tc>
        <w:tc>
          <w:tcPr>
            <w:tcW w:w="130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6µm</w:t>
            </w:r>
          </w:p>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50µg</w:t>
            </w:r>
          </w:p>
        </w:tc>
        <w:tc>
          <w:tcPr>
            <w:tcW w:w="126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Nebuliser</w:t>
            </w:r>
          </w:p>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2.5mg</w:t>
            </w:r>
          </w:p>
        </w:tc>
      </w:tr>
      <w:tr w:rsidR="00AE1154" w:rsidRPr="00742E7A" w:rsidTr="00F1597A">
        <w:trPr>
          <w:trHeight w:val="300"/>
        </w:trPr>
        <w:tc>
          <w:tcPr>
            <w:tcW w:w="96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001</w:t>
            </w:r>
          </w:p>
        </w:tc>
        <w:tc>
          <w:tcPr>
            <w:tcW w:w="124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70.85</w:t>
            </w:r>
          </w:p>
        </w:tc>
        <w:tc>
          <w:tcPr>
            <w:tcW w:w="130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65.10</w:t>
            </w:r>
          </w:p>
        </w:tc>
        <w:tc>
          <w:tcPr>
            <w:tcW w:w="126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9.30</w:t>
            </w:r>
          </w:p>
        </w:tc>
      </w:tr>
      <w:tr w:rsidR="00AE1154" w:rsidRPr="00742E7A" w:rsidTr="00F1597A">
        <w:trPr>
          <w:trHeight w:val="300"/>
        </w:trPr>
        <w:tc>
          <w:tcPr>
            <w:tcW w:w="96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002</w:t>
            </w:r>
          </w:p>
        </w:tc>
        <w:tc>
          <w:tcPr>
            <w:tcW w:w="124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69.05</w:t>
            </w:r>
          </w:p>
        </w:tc>
        <w:tc>
          <w:tcPr>
            <w:tcW w:w="130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51.43</w:t>
            </w:r>
          </w:p>
        </w:tc>
        <w:tc>
          <w:tcPr>
            <w:tcW w:w="126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11.43</w:t>
            </w:r>
          </w:p>
        </w:tc>
      </w:tr>
      <w:tr w:rsidR="00AE1154" w:rsidRPr="00742E7A" w:rsidTr="00F1597A">
        <w:trPr>
          <w:trHeight w:val="300"/>
        </w:trPr>
        <w:tc>
          <w:tcPr>
            <w:tcW w:w="96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003</w:t>
            </w:r>
          </w:p>
        </w:tc>
        <w:tc>
          <w:tcPr>
            <w:tcW w:w="124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78.96</w:t>
            </w:r>
          </w:p>
        </w:tc>
        <w:tc>
          <w:tcPr>
            <w:tcW w:w="130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49.93</w:t>
            </w:r>
          </w:p>
        </w:tc>
        <w:tc>
          <w:tcPr>
            <w:tcW w:w="126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1.02</w:t>
            </w:r>
          </w:p>
        </w:tc>
      </w:tr>
      <w:tr w:rsidR="00AE1154" w:rsidRPr="00742E7A" w:rsidTr="00F1597A">
        <w:trPr>
          <w:trHeight w:val="300"/>
        </w:trPr>
        <w:tc>
          <w:tcPr>
            <w:tcW w:w="96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004</w:t>
            </w:r>
          </w:p>
        </w:tc>
        <w:tc>
          <w:tcPr>
            <w:tcW w:w="124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60.15</w:t>
            </w:r>
          </w:p>
        </w:tc>
        <w:tc>
          <w:tcPr>
            <w:tcW w:w="130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56.52</w:t>
            </w:r>
          </w:p>
        </w:tc>
        <w:tc>
          <w:tcPr>
            <w:tcW w:w="126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23.57</w:t>
            </w:r>
          </w:p>
        </w:tc>
      </w:tr>
      <w:tr w:rsidR="00AE1154" w:rsidRPr="00742E7A" w:rsidTr="00F1597A">
        <w:trPr>
          <w:trHeight w:val="300"/>
        </w:trPr>
        <w:tc>
          <w:tcPr>
            <w:tcW w:w="96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005</w:t>
            </w:r>
          </w:p>
        </w:tc>
        <w:tc>
          <w:tcPr>
            <w:tcW w:w="124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48.68</w:t>
            </w:r>
          </w:p>
        </w:tc>
        <w:tc>
          <w:tcPr>
            <w:tcW w:w="130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17.55</w:t>
            </w:r>
          </w:p>
        </w:tc>
        <w:tc>
          <w:tcPr>
            <w:tcW w:w="126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1.06</w:t>
            </w:r>
          </w:p>
        </w:tc>
      </w:tr>
      <w:tr w:rsidR="00AE1154" w:rsidRPr="00742E7A" w:rsidTr="00F1597A">
        <w:trPr>
          <w:trHeight w:val="300"/>
        </w:trPr>
        <w:tc>
          <w:tcPr>
            <w:tcW w:w="96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006</w:t>
            </w:r>
          </w:p>
        </w:tc>
        <w:tc>
          <w:tcPr>
            <w:tcW w:w="124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64.60</w:t>
            </w:r>
          </w:p>
        </w:tc>
        <w:tc>
          <w:tcPr>
            <w:tcW w:w="130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68.23</w:t>
            </w:r>
          </w:p>
        </w:tc>
        <w:tc>
          <w:tcPr>
            <w:tcW w:w="126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11.93</w:t>
            </w:r>
          </w:p>
        </w:tc>
      </w:tr>
      <w:tr w:rsidR="00AE1154" w:rsidRPr="00742E7A" w:rsidTr="00F1597A">
        <w:trPr>
          <w:trHeight w:val="300"/>
        </w:trPr>
        <w:tc>
          <w:tcPr>
            <w:tcW w:w="96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008</w:t>
            </w:r>
          </w:p>
        </w:tc>
        <w:tc>
          <w:tcPr>
            <w:tcW w:w="124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52.09</w:t>
            </w:r>
          </w:p>
        </w:tc>
        <w:tc>
          <w:tcPr>
            <w:tcW w:w="130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33.98</w:t>
            </w:r>
          </w:p>
        </w:tc>
        <w:tc>
          <w:tcPr>
            <w:tcW w:w="126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1.25</w:t>
            </w:r>
          </w:p>
        </w:tc>
      </w:tr>
      <w:tr w:rsidR="00AE1154" w:rsidRPr="00742E7A" w:rsidTr="00F1597A">
        <w:trPr>
          <w:trHeight w:val="300"/>
        </w:trPr>
        <w:tc>
          <w:tcPr>
            <w:tcW w:w="96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009</w:t>
            </w:r>
          </w:p>
        </w:tc>
        <w:tc>
          <w:tcPr>
            <w:tcW w:w="124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75.08</w:t>
            </w:r>
          </w:p>
        </w:tc>
        <w:tc>
          <w:tcPr>
            <w:tcW w:w="130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60.93</w:t>
            </w:r>
          </w:p>
        </w:tc>
        <w:tc>
          <w:tcPr>
            <w:tcW w:w="126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5.95</w:t>
            </w:r>
          </w:p>
        </w:tc>
      </w:tr>
      <w:tr w:rsidR="00AE1154" w:rsidRPr="00742E7A" w:rsidTr="00F1597A">
        <w:trPr>
          <w:trHeight w:val="300"/>
        </w:trPr>
        <w:tc>
          <w:tcPr>
            <w:tcW w:w="96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Mean</w:t>
            </w:r>
          </w:p>
        </w:tc>
        <w:tc>
          <w:tcPr>
            <w:tcW w:w="124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64.93</w:t>
            </w:r>
          </w:p>
        </w:tc>
        <w:tc>
          <w:tcPr>
            <w:tcW w:w="130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50.46</w:t>
            </w:r>
          </w:p>
        </w:tc>
        <w:tc>
          <w:tcPr>
            <w:tcW w:w="126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8.19</w:t>
            </w:r>
          </w:p>
        </w:tc>
      </w:tr>
      <w:tr w:rsidR="00AE1154" w:rsidRPr="00742E7A" w:rsidTr="00F1597A">
        <w:trPr>
          <w:trHeight w:val="300"/>
        </w:trPr>
        <w:tc>
          <w:tcPr>
            <w:tcW w:w="96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SD</w:t>
            </w:r>
          </w:p>
        </w:tc>
        <w:tc>
          <w:tcPr>
            <w:tcW w:w="124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10.72</w:t>
            </w:r>
          </w:p>
        </w:tc>
        <w:tc>
          <w:tcPr>
            <w:tcW w:w="130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17.04</w:t>
            </w:r>
          </w:p>
        </w:tc>
        <w:tc>
          <w:tcPr>
            <w:tcW w:w="126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7.72</w:t>
            </w:r>
          </w:p>
        </w:tc>
      </w:tr>
    </w:tbl>
    <w:p w:rsidR="00AE1154" w:rsidRDefault="00AE1154" w:rsidP="00AE1154">
      <w:pPr>
        <w:jc w:val="both"/>
        <w:rPr>
          <w:sz w:val="22"/>
        </w:rPr>
      </w:pPr>
      <w:r w:rsidRPr="002E6841">
        <w:rPr>
          <w:sz w:val="22"/>
        </w:rPr>
        <w:t>Subject number 007 declined scintigraphy and only completed period 4 (pMDI)</w:t>
      </w:r>
    </w:p>
    <w:p w:rsidR="00AE1154" w:rsidRDefault="00AE1154" w:rsidP="00AE1154">
      <w:pPr>
        <w:spacing w:after="0" w:line="240" w:lineRule="auto"/>
      </w:pPr>
    </w:p>
    <w:p w:rsidR="00AE1154" w:rsidRPr="002E6841" w:rsidRDefault="00AE1154" w:rsidP="00AE1154">
      <w:pPr>
        <w:rPr>
          <w:b/>
        </w:rPr>
      </w:pPr>
      <w:r>
        <w:lastRenderedPageBreak/>
        <w:t xml:space="preserve"> </w:t>
      </w:r>
      <w:r w:rsidRPr="002E6841">
        <w:rPr>
          <w:b/>
        </w:rPr>
        <w:t xml:space="preserve">Table </w:t>
      </w:r>
      <w:r>
        <w:rPr>
          <w:b/>
        </w:rPr>
        <w:t>5: L</w:t>
      </w:r>
      <w:r w:rsidRPr="002E6841">
        <w:rPr>
          <w:b/>
        </w:rPr>
        <w:t>ung deposition</w:t>
      </w:r>
      <w:r>
        <w:rPr>
          <w:b/>
        </w:rPr>
        <w:t xml:space="preserve"> </w:t>
      </w:r>
      <w:r w:rsidR="00372BE4">
        <w:rPr>
          <w:b/>
        </w:rPr>
        <w:t xml:space="preserve">in the </w:t>
      </w:r>
      <w:r>
        <w:rPr>
          <w:b/>
        </w:rPr>
        <w:t>inner (I) and outer (O) regions</w:t>
      </w:r>
      <w:r w:rsidRPr="002E6841">
        <w:rPr>
          <w:b/>
        </w:rPr>
        <w:t xml:space="preserve"> as a percentage of administered dose</w:t>
      </w:r>
      <w:r>
        <w:rPr>
          <w:b/>
        </w:rPr>
        <w:t xml:space="preserve"> for each subject</w:t>
      </w:r>
    </w:p>
    <w:tbl>
      <w:tblPr>
        <w:tblStyle w:val="TableGrid"/>
        <w:tblW w:w="8620" w:type="dxa"/>
        <w:tblLook w:val="04A0"/>
      </w:tblPr>
      <w:tblGrid>
        <w:gridCol w:w="960"/>
        <w:gridCol w:w="1240"/>
        <w:gridCol w:w="1300"/>
        <w:gridCol w:w="1300"/>
        <w:gridCol w:w="1300"/>
        <w:gridCol w:w="1260"/>
        <w:gridCol w:w="1260"/>
      </w:tblGrid>
      <w:tr w:rsidR="00AE1154" w:rsidRPr="00742E7A" w:rsidTr="00F1597A">
        <w:trPr>
          <w:trHeight w:val="300"/>
        </w:trPr>
        <w:tc>
          <w:tcPr>
            <w:tcW w:w="96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Subject</w:t>
            </w:r>
          </w:p>
        </w:tc>
        <w:tc>
          <w:tcPr>
            <w:tcW w:w="2540" w:type="dxa"/>
            <w:gridSpan w:val="2"/>
            <w:noWrap/>
            <w:hideMark/>
          </w:tcPr>
          <w:p w:rsidR="00AE1154" w:rsidRPr="00B52F5F" w:rsidRDefault="00AE1154" w:rsidP="00F1597A">
            <w:pPr>
              <w:jc w:val="center"/>
              <w:rPr>
                <w:rFonts w:asciiTheme="minorHAnsi" w:hAnsiTheme="minorHAnsi" w:cstheme="minorHAnsi"/>
                <w:lang w:eastAsia="en-GB"/>
              </w:rPr>
            </w:pPr>
            <w:r w:rsidRPr="00B52F5F">
              <w:rPr>
                <w:rFonts w:asciiTheme="minorHAnsi" w:hAnsiTheme="minorHAnsi" w:cstheme="minorHAnsi"/>
                <w:lang w:eastAsia="en-GB"/>
              </w:rPr>
              <w:t>1.5µm 50µg</w:t>
            </w:r>
          </w:p>
        </w:tc>
        <w:tc>
          <w:tcPr>
            <w:tcW w:w="2600" w:type="dxa"/>
            <w:gridSpan w:val="2"/>
          </w:tcPr>
          <w:p w:rsidR="00AE1154" w:rsidRPr="00B52F5F" w:rsidRDefault="00AE1154" w:rsidP="00F1597A">
            <w:pPr>
              <w:jc w:val="center"/>
              <w:rPr>
                <w:rFonts w:asciiTheme="minorHAnsi" w:hAnsiTheme="minorHAnsi" w:cstheme="minorHAnsi"/>
                <w:lang w:eastAsia="en-GB"/>
              </w:rPr>
            </w:pPr>
            <w:r w:rsidRPr="00B52F5F">
              <w:rPr>
                <w:rFonts w:asciiTheme="minorHAnsi" w:hAnsiTheme="minorHAnsi" w:cstheme="minorHAnsi"/>
                <w:lang w:eastAsia="en-GB"/>
              </w:rPr>
              <w:t>6µm 50µg</w:t>
            </w:r>
          </w:p>
        </w:tc>
        <w:tc>
          <w:tcPr>
            <w:tcW w:w="2520" w:type="dxa"/>
            <w:gridSpan w:val="2"/>
          </w:tcPr>
          <w:p w:rsidR="00AE1154" w:rsidRPr="00B52F5F" w:rsidRDefault="00AE1154" w:rsidP="00F1597A">
            <w:pPr>
              <w:jc w:val="center"/>
              <w:rPr>
                <w:rFonts w:asciiTheme="minorHAnsi" w:hAnsiTheme="minorHAnsi" w:cstheme="minorHAnsi"/>
                <w:lang w:eastAsia="en-GB"/>
              </w:rPr>
            </w:pPr>
            <w:r w:rsidRPr="00B52F5F">
              <w:rPr>
                <w:rFonts w:asciiTheme="minorHAnsi" w:hAnsiTheme="minorHAnsi" w:cstheme="minorHAnsi"/>
                <w:lang w:eastAsia="en-GB"/>
              </w:rPr>
              <w:t>Nebuliser 2.5mg</w:t>
            </w:r>
          </w:p>
        </w:tc>
      </w:tr>
      <w:tr w:rsidR="00AE1154" w:rsidRPr="00742E7A" w:rsidTr="00F1597A">
        <w:trPr>
          <w:trHeight w:val="300"/>
        </w:trPr>
        <w:tc>
          <w:tcPr>
            <w:tcW w:w="960" w:type="dxa"/>
            <w:noWrap/>
          </w:tcPr>
          <w:p w:rsidR="00AE1154" w:rsidRPr="00B52F5F" w:rsidRDefault="00AE1154" w:rsidP="00F1597A">
            <w:pPr>
              <w:rPr>
                <w:rFonts w:asciiTheme="minorHAnsi" w:hAnsiTheme="minorHAnsi" w:cstheme="minorHAnsi"/>
                <w:lang w:eastAsia="en-GB"/>
              </w:rPr>
            </w:pPr>
          </w:p>
        </w:tc>
        <w:tc>
          <w:tcPr>
            <w:tcW w:w="1240" w:type="dxa"/>
            <w:noWrap/>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I</w:t>
            </w:r>
          </w:p>
        </w:tc>
        <w:tc>
          <w:tcPr>
            <w:tcW w:w="1300" w:type="dxa"/>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O</w:t>
            </w:r>
          </w:p>
        </w:tc>
        <w:tc>
          <w:tcPr>
            <w:tcW w:w="1300" w:type="dxa"/>
          </w:tcPr>
          <w:p w:rsidR="00AE1154" w:rsidRPr="00B52F5F" w:rsidRDefault="00AE1154" w:rsidP="00F1597A">
            <w:pPr>
              <w:jc w:val="center"/>
              <w:rPr>
                <w:rFonts w:asciiTheme="minorHAnsi" w:hAnsiTheme="minorHAnsi" w:cstheme="minorHAnsi"/>
                <w:lang w:eastAsia="en-GB"/>
              </w:rPr>
            </w:pPr>
            <w:r w:rsidRPr="00B52F5F">
              <w:rPr>
                <w:rFonts w:asciiTheme="minorHAnsi" w:hAnsiTheme="minorHAnsi" w:cstheme="minorHAnsi"/>
                <w:lang w:eastAsia="en-GB"/>
              </w:rPr>
              <w:t>I</w:t>
            </w:r>
          </w:p>
        </w:tc>
        <w:tc>
          <w:tcPr>
            <w:tcW w:w="1300" w:type="dxa"/>
            <w:noWrap/>
          </w:tcPr>
          <w:p w:rsidR="00AE1154" w:rsidRPr="00B52F5F" w:rsidRDefault="00AE1154" w:rsidP="00F1597A">
            <w:pPr>
              <w:jc w:val="center"/>
              <w:rPr>
                <w:rFonts w:asciiTheme="minorHAnsi" w:hAnsiTheme="minorHAnsi" w:cstheme="minorHAnsi"/>
                <w:lang w:eastAsia="en-GB"/>
              </w:rPr>
            </w:pPr>
            <w:r w:rsidRPr="00B52F5F">
              <w:rPr>
                <w:rFonts w:asciiTheme="minorHAnsi" w:hAnsiTheme="minorHAnsi" w:cstheme="minorHAnsi"/>
                <w:lang w:eastAsia="en-GB"/>
              </w:rPr>
              <w:t>O</w:t>
            </w:r>
          </w:p>
        </w:tc>
        <w:tc>
          <w:tcPr>
            <w:tcW w:w="1260" w:type="dxa"/>
          </w:tcPr>
          <w:p w:rsidR="00AE1154" w:rsidRPr="00B52F5F" w:rsidRDefault="00AE1154" w:rsidP="00F1597A">
            <w:pPr>
              <w:jc w:val="center"/>
              <w:rPr>
                <w:rFonts w:asciiTheme="minorHAnsi" w:hAnsiTheme="minorHAnsi" w:cstheme="minorHAnsi"/>
                <w:lang w:eastAsia="en-GB"/>
              </w:rPr>
            </w:pPr>
            <w:r w:rsidRPr="00B52F5F">
              <w:rPr>
                <w:rFonts w:asciiTheme="minorHAnsi" w:hAnsiTheme="minorHAnsi" w:cstheme="minorHAnsi"/>
                <w:lang w:eastAsia="en-GB"/>
              </w:rPr>
              <w:t>I</w:t>
            </w:r>
          </w:p>
        </w:tc>
        <w:tc>
          <w:tcPr>
            <w:tcW w:w="1260" w:type="dxa"/>
            <w:noWrap/>
          </w:tcPr>
          <w:p w:rsidR="00AE1154" w:rsidRPr="00B52F5F" w:rsidRDefault="00AE1154" w:rsidP="00F1597A">
            <w:pPr>
              <w:jc w:val="center"/>
              <w:rPr>
                <w:rFonts w:asciiTheme="minorHAnsi" w:hAnsiTheme="minorHAnsi" w:cstheme="minorHAnsi"/>
                <w:lang w:eastAsia="en-GB"/>
              </w:rPr>
            </w:pPr>
            <w:r w:rsidRPr="00B52F5F">
              <w:rPr>
                <w:rFonts w:asciiTheme="minorHAnsi" w:hAnsiTheme="minorHAnsi" w:cstheme="minorHAnsi"/>
                <w:lang w:eastAsia="en-GB"/>
              </w:rPr>
              <w:t>O</w:t>
            </w:r>
          </w:p>
        </w:tc>
      </w:tr>
      <w:tr w:rsidR="00AE1154" w:rsidRPr="00742E7A" w:rsidTr="00F1597A">
        <w:trPr>
          <w:trHeight w:val="300"/>
        </w:trPr>
        <w:tc>
          <w:tcPr>
            <w:tcW w:w="96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001</w:t>
            </w:r>
          </w:p>
        </w:tc>
        <w:tc>
          <w:tcPr>
            <w:tcW w:w="1240" w:type="dxa"/>
            <w:noWrap/>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31.49</w:t>
            </w:r>
          </w:p>
        </w:tc>
        <w:tc>
          <w:tcPr>
            <w:tcW w:w="1300" w:type="dxa"/>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39.36</w:t>
            </w:r>
          </w:p>
        </w:tc>
        <w:tc>
          <w:tcPr>
            <w:tcW w:w="1300" w:type="dxa"/>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50.15</w:t>
            </w:r>
          </w:p>
        </w:tc>
        <w:tc>
          <w:tcPr>
            <w:tcW w:w="1300" w:type="dxa"/>
            <w:noWrap/>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14.95</w:t>
            </w:r>
          </w:p>
        </w:tc>
        <w:tc>
          <w:tcPr>
            <w:tcW w:w="1260" w:type="dxa"/>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4.22</w:t>
            </w:r>
          </w:p>
        </w:tc>
        <w:tc>
          <w:tcPr>
            <w:tcW w:w="1260" w:type="dxa"/>
            <w:noWrap/>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5.08</w:t>
            </w:r>
          </w:p>
        </w:tc>
      </w:tr>
      <w:tr w:rsidR="00AE1154" w:rsidRPr="00742E7A" w:rsidTr="00F1597A">
        <w:trPr>
          <w:trHeight w:val="300"/>
        </w:trPr>
        <w:tc>
          <w:tcPr>
            <w:tcW w:w="96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002</w:t>
            </w:r>
          </w:p>
        </w:tc>
        <w:tc>
          <w:tcPr>
            <w:tcW w:w="1240" w:type="dxa"/>
            <w:noWrap/>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29.99</w:t>
            </w:r>
          </w:p>
        </w:tc>
        <w:tc>
          <w:tcPr>
            <w:tcW w:w="1300" w:type="dxa"/>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39.06</w:t>
            </w:r>
          </w:p>
        </w:tc>
        <w:tc>
          <w:tcPr>
            <w:tcW w:w="1300" w:type="dxa"/>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31.69</w:t>
            </w:r>
          </w:p>
        </w:tc>
        <w:tc>
          <w:tcPr>
            <w:tcW w:w="1300" w:type="dxa"/>
            <w:noWrap/>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19.74</w:t>
            </w:r>
          </w:p>
        </w:tc>
        <w:tc>
          <w:tcPr>
            <w:tcW w:w="1260" w:type="dxa"/>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4.71</w:t>
            </w:r>
          </w:p>
        </w:tc>
        <w:tc>
          <w:tcPr>
            <w:tcW w:w="1260" w:type="dxa"/>
            <w:noWrap/>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6.72</w:t>
            </w:r>
          </w:p>
        </w:tc>
      </w:tr>
      <w:tr w:rsidR="00AE1154" w:rsidRPr="00742E7A" w:rsidTr="00F1597A">
        <w:trPr>
          <w:trHeight w:val="300"/>
        </w:trPr>
        <w:tc>
          <w:tcPr>
            <w:tcW w:w="96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003</w:t>
            </w:r>
          </w:p>
        </w:tc>
        <w:tc>
          <w:tcPr>
            <w:tcW w:w="1240" w:type="dxa"/>
            <w:noWrap/>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32.75</w:t>
            </w:r>
          </w:p>
        </w:tc>
        <w:tc>
          <w:tcPr>
            <w:tcW w:w="1300" w:type="dxa"/>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46.21</w:t>
            </w:r>
          </w:p>
        </w:tc>
        <w:tc>
          <w:tcPr>
            <w:tcW w:w="1300" w:type="dxa"/>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28.59</w:t>
            </w:r>
          </w:p>
        </w:tc>
        <w:tc>
          <w:tcPr>
            <w:tcW w:w="1300" w:type="dxa"/>
            <w:noWrap/>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21.34</w:t>
            </w:r>
          </w:p>
        </w:tc>
        <w:tc>
          <w:tcPr>
            <w:tcW w:w="1260" w:type="dxa"/>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0.42</w:t>
            </w:r>
          </w:p>
        </w:tc>
        <w:tc>
          <w:tcPr>
            <w:tcW w:w="1260" w:type="dxa"/>
            <w:noWrap/>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0.60</w:t>
            </w:r>
          </w:p>
        </w:tc>
      </w:tr>
      <w:tr w:rsidR="00AE1154" w:rsidRPr="00742E7A" w:rsidTr="00F1597A">
        <w:trPr>
          <w:trHeight w:val="300"/>
        </w:trPr>
        <w:tc>
          <w:tcPr>
            <w:tcW w:w="96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004</w:t>
            </w:r>
          </w:p>
        </w:tc>
        <w:tc>
          <w:tcPr>
            <w:tcW w:w="1240" w:type="dxa"/>
            <w:noWrap/>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17.60</w:t>
            </w:r>
          </w:p>
        </w:tc>
        <w:tc>
          <w:tcPr>
            <w:tcW w:w="1300" w:type="dxa"/>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42.55</w:t>
            </w:r>
          </w:p>
        </w:tc>
        <w:tc>
          <w:tcPr>
            <w:tcW w:w="1300" w:type="dxa"/>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21.32</w:t>
            </w:r>
          </w:p>
        </w:tc>
        <w:tc>
          <w:tcPr>
            <w:tcW w:w="1300" w:type="dxa"/>
            <w:noWrap/>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35.20</w:t>
            </w:r>
          </w:p>
        </w:tc>
        <w:tc>
          <w:tcPr>
            <w:tcW w:w="1260" w:type="dxa"/>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7.59</w:t>
            </w:r>
          </w:p>
        </w:tc>
        <w:tc>
          <w:tcPr>
            <w:tcW w:w="1260" w:type="dxa"/>
            <w:noWrap/>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15.98</w:t>
            </w:r>
          </w:p>
        </w:tc>
      </w:tr>
      <w:tr w:rsidR="00AE1154" w:rsidRPr="00742E7A" w:rsidTr="00F1597A">
        <w:trPr>
          <w:trHeight w:val="300"/>
        </w:trPr>
        <w:tc>
          <w:tcPr>
            <w:tcW w:w="96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005</w:t>
            </w:r>
          </w:p>
        </w:tc>
        <w:tc>
          <w:tcPr>
            <w:tcW w:w="1240" w:type="dxa"/>
            <w:noWrap/>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16.33</w:t>
            </w:r>
          </w:p>
        </w:tc>
        <w:tc>
          <w:tcPr>
            <w:tcW w:w="1300" w:type="dxa"/>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32.35</w:t>
            </w:r>
          </w:p>
        </w:tc>
        <w:tc>
          <w:tcPr>
            <w:tcW w:w="1300" w:type="dxa"/>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6.55</w:t>
            </w:r>
          </w:p>
        </w:tc>
        <w:tc>
          <w:tcPr>
            <w:tcW w:w="1300" w:type="dxa"/>
            <w:noWrap/>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11.00</w:t>
            </w:r>
          </w:p>
        </w:tc>
        <w:tc>
          <w:tcPr>
            <w:tcW w:w="1260" w:type="dxa"/>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0.38</w:t>
            </w:r>
          </w:p>
        </w:tc>
        <w:tc>
          <w:tcPr>
            <w:tcW w:w="1260" w:type="dxa"/>
            <w:noWrap/>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0.68</w:t>
            </w:r>
          </w:p>
        </w:tc>
      </w:tr>
      <w:tr w:rsidR="00AE1154" w:rsidRPr="00742E7A" w:rsidTr="00F1597A">
        <w:trPr>
          <w:trHeight w:val="300"/>
        </w:trPr>
        <w:tc>
          <w:tcPr>
            <w:tcW w:w="96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006</w:t>
            </w:r>
          </w:p>
        </w:tc>
        <w:tc>
          <w:tcPr>
            <w:tcW w:w="1240" w:type="dxa"/>
            <w:noWrap/>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21.24</w:t>
            </w:r>
          </w:p>
        </w:tc>
        <w:tc>
          <w:tcPr>
            <w:tcW w:w="1300" w:type="dxa"/>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43.36</w:t>
            </w:r>
          </w:p>
        </w:tc>
        <w:tc>
          <w:tcPr>
            <w:tcW w:w="1300" w:type="dxa"/>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33.81</w:t>
            </w:r>
          </w:p>
        </w:tc>
        <w:tc>
          <w:tcPr>
            <w:tcW w:w="1300" w:type="dxa"/>
            <w:noWrap/>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34.42</w:t>
            </w:r>
          </w:p>
        </w:tc>
        <w:tc>
          <w:tcPr>
            <w:tcW w:w="1260" w:type="dxa"/>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11.08</w:t>
            </w:r>
          </w:p>
        </w:tc>
        <w:tc>
          <w:tcPr>
            <w:tcW w:w="1260" w:type="dxa"/>
            <w:noWrap/>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0.85</w:t>
            </w:r>
          </w:p>
        </w:tc>
      </w:tr>
      <w:tr w:rsidR="00AE1154" w:rsidRPr="00742E7A" w:rsidTr="00F1597A">
        <w:trPr>
          <w:trHeight w:val="300"/>
        </w:trPr>
        <w:tc>
          <w:tcPr>
            <w:tcW w:w="96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008</w:t>
            </w:r>
          </w:p>
        </w:tc>
        <w:tc>
          <w:tcPr>
            <w:tcW w:w="1240" w:type="dxa"/>
            <w:noWrap/>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22.42</w:t>
            </w:r>
          </w:p>
        </w:tc>
        <w:tc>
          <w:tcPr>
            <w:tcW w:w="1300" w:type="dxa"/>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29.67</w:t>
            </w:r>
          </w:p>
        </w:tc>
        <w:tc>
          <w:tcPr>
            <w:tcW w:w="1300" w:type="dxa"/>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17.21</w:t>
            </w:r>
          </w:p>
        </w:tc>
        <w:tc>
          <w:tcPr>
            <w:tcW w:w="1300" w:type="dxa"/>
            <w:noWrap/>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16.77</w:t>
            </w:r>
          </w:p>
        </w:tc>
        <w:tc>
          <w:tcPr>
            <w:tcW w:w="1260" w:type="dxa"/>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0.97</w:t>
            </w:r>
          </w:p>
        </w:tc>
        <w:tc>
          <w:tcPr>
            <w:tcW w:w="1260" w:type="dxa"/>
            <w:noWrap/>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0.29</w:t>
            </w:r>
          </w:p>
        </w:tc>
      </w:tr>
      <w:tr w:rsidR="00AE1154" w:rsidRPr="00742E7A" w:rsidTr="00F1597A">
        <w:trPr>
          <w:trHeight w:val="300"/>
        </w:trPr>
        <w:tc>
          <w:tcPr>
            <w:tcW w:w="960" w:type="dxa"/>
            <w:noWrap/>
            <w:hideMark/>
          </w:tcPr>
          <w:p w:rsidR="00AE1154" w:rsidRPr="00B52F5F" w:rsidRDefault="00AE1154" w:rsidP="00F1597A">
            <w:pPr>
              <w:rPr>
                <w:rFonts w:asciiTheme="minorHAnsi" w:hAnsiTheme="minorHAnsi" w:cstheme="minorHAnsi"/>
                <w:lang w:eastAsia="en-GB"/>
              </w:rPr>
            </w:pPr>
            <w:r w:rsidRPr="00B52F5F">
              <w:rPr>
                <w:rFonts w:asciiTheme="minorHAnsi" w:hAnsiTheme="minorHAnsi" w:cstheme="minorHAnsi"/>
                <w:lang w:eastAsia="en-GB"/>
              </w:rPr>
              <w:t>009</w:t>
            </w:r>
          </w:p>
        </w:tc>
        <w:tc>
          <w:tcPr>
            <w:tcW w:w="1240" w:type="dxa"/>
            <w:noWrap/>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27.23</w:t>
            </w:r>
          </w:p>
        </w:tc>
        <w:tc>
          <w:tcPr>
            <w:tcW w:w="1300" w:type="dxa"/>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47.85</w:t>
            </w:r>
          </w:p>
        </w:tc>
        <w:tc>
          <w:tcPr>
            <w:tcW w:w="1300" w:type="dxa"/>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25.06</w:t>
            </w:r>
          </w:p>
        </w:tc>
        <w:tc>
          <w:tcPr>
            <w:tcW w:w="1300" w:type="dxa"/>
            <w:noWrap/>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35.87</w:t>
            </w:r>
          </w:p>
        </w:tc>
        <w:tc>
          <w:tcPr>
            <w:tcW w:w="1260" w:type="dxa"/>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5.12</w:t>
            </w:r>
          </w:p>
        </w:tc>
        <w:tc>
          <w:tcPr>
            <w:tcW w:w="1260" w:type="dxa"/>
            <w:noWrap/>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0.83</w:t>
            </w:r>
          </w:p>
        </w:tc>
      </w:tr>
      <w:tr w:rsidR="00AE1154" w:rsidRPr="00742E7A" w:rsidTr="00F1597A">
        <w:trPr>
          <w:trHeight w:val="300"/>
        </w:trPr>
        <w:tc>
          <w:tcPr>
            <w:tcW w:w="960" w:type="dxa"/>
            <w:noWrap/>
            <w:hideMark/>
          </w:tcPr>
          <w:p w:rsidR="00AE1154" w:rsidRPr="00B52F5F" w:rsidRDefault="00AE1154" w:rsidP="00F1597A">
            <w:pPr>
              <w:jc w:val="center"/>
              <w:rPr>
                <w:rFonts w:asciiTheme="minorHAnsi" w:hAnsiTheme="minorHAnsi" w:cstheme="minorHAnsi"/>
                <w:lang w:eastAsia="en-GB"/>
              </w:rPr>
            </w:pPr>
            <w:r w:rsidRPr="00B52F5F">
              <w:rPr>
                <w:rFonts w:asciiTheme="minorHAnsi" w:hAnsiTheme="minorHAnsi" w:cstheme="minorHAnsi"/>
                <w:lang w:eastAsia="en-GB"/>
              </w:rPr>
              <w:t>Mean</w:t>
            </w:r>
          </w:p>
        </w:tc>
        <w:tc>
          <w:tcPr>
            <w:tcW w:w="1240" w:type="dxa"/>
            <w:noWrap/>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24.88</w:t>
            </w:r>
          </w:p>
        </w:tc>
        <w:tc>
          <w:tcPr>
            <w:tcW w:w="1300" w:type="dxa"/>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40.05</w:t>
            </w:r>
          </w:p>
        </w:tc>
        <w:tc>
          <w:tcPr>
            <w:tcW w:w="1300" w:type="dxa"/>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26.80</w:t>
            </w:r>
          </w:p>
        </w:tc>
        <w:tc>
          <w:tcPr>
            <w:tcW w:w="1300" w:type="dxa"/>
            <w:noWrap/>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23.66</w:t>
            </w:r>
          </w:p>
        </w:tc>
        <w:tc>
          <w:tcPr>
            <w:tcW w:w="1260" w:type="dxa"/>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4.31</w:t>
            </w:r>
          </w:p>
        </w:tc>
        <w:tc>
          <w:tcPr>
            <w:tcW w:w="1260" w:type="dxa"/>
            <w:noWrap/>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3.88</w:t>
            </w:r>
          </w:p>
        </w:tc>
      </w:tr>
      <w:tr w:rsidR="00AE1154" w:rsidRPr="00742E7A" w:rsidTr="00F1597A">
        <w:trPr>
          <w:trHeight w:val="300"/>
        </w:trPr>
        <w:tc>
          <w:tcPr>
            <w:tcW w:w="960" w:type="dxa"/>
            <w:noWrap/>
            <w:hideMark/>
          </w:tcPr>
          <w:p w:rsidR="00AE1154" w:rsidRPr="00B52F5F" w:rsidRDefault="00AE1154" w:rsidP="00F1597A">
            <w:pPr>
              <w:jc w:val="center"/>
              <w:rPr>
                <w:rFonts w:asciiTheme="minorHAnsi" w:hAnsiTheme="minorHAnsi" w:cstheme="minorHAnsi"/>
                <w:lang w:eastAsia="en-GB"/>
              </w:rPr>
            </w:pPr>
            <w:r w:rsidRPr="00B52F5F">
              <w:rPr>
                <w:rFonts w:asciiTheme="minorHAnsi" w:hAnsiTheme="minorHAnsi" w:cstheme="minorHAnsi"/>
                <w:lang w:eastAsia="en-GB"/>
              </w:rPr>
              <w:t>SD</w:t>
            </w:r>
          </w:p>
        </w:tc>
        <w:tc>
          <w:tcPr>
            <w:tcW w:w="1240" w:type="dxa"/>
            <w:noWrap/>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6.36</w:t>
            </w:r>
          </w:p>
        </w:tc>
        <w:tc>
          <w:tcPr>
            <w:tcW w:w="1300" w:type="dxa"/>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6.37</w:t>
            </w:r>
          </w:p>
        </w:tc>
        <w:tc>
          <w:tcPr>
            <w:tcW w:w="1300" w:type="dxa"/>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12.85</w:t>
            </w:r>
          </w:p>
        </w:tc>
        <w:tc>
          <w:tcPr>
            <w:tcW w:w="1300" w:type="dxa"/>
            <w:noWrap/>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10.02</w:t>
            </w:r>
          </w:p>
        </w:tc>
        <w:tc>
          <w:tcPr>
            <w:tcW w:w="1260" w:type="dxa"/>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3.76</w:t>
            </w:r>
          </w:p>
        </w:tc>
        <w:tc>
          <w:tcPr>
            <w:tcW w:w="1260" w:type="dxa"/>
            <w:noWrap/>
          </w:tcPr>
          <w:p w:rsidR="00AE1154" w:rsidRPr="00B52F5F" w:rsidRDefault="00AE1154" w:rsidP="00F1597A">
            <w:pPr>
              <w:jc w:val="center"/>
              <w:rPr>
                <w:rFonts w:asciiTheme="minorHAnsi" w:hAnsiTheme="minorHAnsi" w:cstheme="minorHAnsi"/>
              </w:rPr>
            </w:pPr>
            <w:r w:rsidRPr="00B52F5F">
              <w:rPr>
                <w:rFonts w:asciiTheme="minorHAnsi" w:hAnsiTheme="minorHAnsi" w:cstheme="minorHAnsi"/>
              </w:rPr>
              <w:t>5.45</w:t>
            </w:r>
          </w:p>
        </w:tc>
      </w:tr>
    </w:tbl>
    <w:p w:rsidR="00AE1154" w:rsidRDefault="00AE1154" w:rsidP="00AE1154">
      <w:pPr>
        <w:jc w:val="both"/>
        <w:rPr>
          <w:sz w:val="22"/>
        </w:rPr>
      </w:pPr>
      <w:r w:rsidRPr="002E6841">
        <w:rPr>
          <w:sz w:val="22"/>
        </w:rPr>
        <w:t>Subject number 007 declined scintigraphy and only completed period 4 (pMDI)</w:t>
      </w:r>
    </w:p>
    <w:p w:rsidR="00AE1154" w:rsidRDefault="00AE1154" w:rsidP="00AE1154">
      <w:pPr>
        <w:spacing w:after="0" w:line="240" w:lineRule="auto"/>
        <w:rPr>
          <w:rFonts w:asciiTheme="majorHAnsi" w:eastAsiaTheme="majorEastAsia" w:hAnsiTheme="majorHAnsi" w:cstheme="majorBidi"/>
          <w:color w:val="2F5496" w:themeColor="accent1" w:themeShade="BF"/>
          <w:sz w:val="32"/>
          <w:szCs w:val="32"/>
        </w:rPr>
      </w:pPr>
      <w:r>
        <w:br w:type="page"/>
      </w:r>
    </w:p>
    <w:p w:rsidR="00AE1154" w:rsidRPr="00D405A5" w:rsidRDefault="00AE1154" w:rsidP="00AE1154"/>
    <w:p w:rsidR="00AE1154" w:rsidRDefault="00AE1154" w:rsidP="00AE1154">
      <w:pPr>
        <w:keepNext/>
      </w:pPr>
      <w:r>
        <w:rPr>
          <w:noProof/>
          <w:lang w:val="en-PH" w:eastAsia="en-PH"/>
        </w:rPr>
        <w:drawing>
          <wp:inline distT="0" distB="0" distL="0" distR="0">
            <wp:extent cx="5173200" cy="377280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173200" cy="3772800"/>
                    </a:xfrm>
                    <a:prstGeom prst="rect">
                      <a:avLst/>
                    </a:prstGeom>
                    <a:noFill/>
                  </pic:spPr>
                </pic:pic>
              </a:graphicData>
            </a:graphic>
          </wp:inline>
        </w:drawing>
      </w:r>
    </w:p>
    <w:p w:rsidR="00AE1154" w:rsidRDefault="00AE1154" w:rsidP="00AE1154">
      <w:bookmarkStart w:id="1" w:name="_Toc460929465"/>
      <w:bookmarkStart w:id="2" w:name="_Toc467159196"/>
      <w:r w:rsidRPr="003756F5">
        <w:rPr>
          <w:b/>
        </w:rPr>
        <w:t xml:space="preserve">Figure </w:t>
      </w:r>
      <w:r w:rsidR="00CB46D8" w:rsidRPr="003756F5">
        <w:rPr>
          <w:b/>
        </w:rPr>
        <w:fldChar w:fldCharType="begin"/>
      </w:r>
      <w:r w:rsidRPr="003756F5">
        <w:rPr>
          <w:b/>
        </w:rPr>
        <w:instrText xml:space="preserve"> SEQ Figure \* ARABIC </w:instrText>
      </w:r>
      <w:r w:rsidR="00CB46D8" w:rsidRPr="003756F5">
        <w:rPr>
          <w:b/>
        </w:rPr>
        <w:fldChar w:fldCharType="separate"/>
      </w:r>
      <w:r>
        <w:rPr>
          <w:b/>
          <w:noProof/>
        </w:rPr>
        <w:t>6</w:t>
      </w:r>
      <w:r w:rsidR="00CB46D8" w:rsidRPr="003756F5">
        <w:rPr>
          <w:b/>
        </w:rPr>
        <w:fldChar w:fldCharType="end"/>
      </w:r>
      <w:r w:rsidRPr="003756F5">
        <w:rPr>
          <w:b/>
        </w:rPr>
        <w:t xml:space="preserve"> </w:t>
      </w:r>
      <w:r w:rsidRPr="009E4124">
        <w:rPr>
          <w:b/>
        </w:rPr>
        <w:t>Box and whisker plot of lung penetration index</w:t>
      </w:r>
      <w:r>
        <w:rPr>
          <w:b/>
        </w:rPr>
        <w:t xml:space="preserve"> for subject lungs</w:t>
      </w:r>
      <w:r w:rsidRPr="009E4124">
        <w:rPr>
          <w:b/>
        </w:rPr>
        <w:t xml:space="preserve">. </w:t>
      </w:r>
      <w:r w:rsidRPr="009B5FD4">
        <w:t>Lung penetration index is illustrated for the left and right lungs separately. Results for the 1.5</w:t>
      </w:r>
      <w:r>
        <w:t>µ</w:t>
      </w:r>
      <w:r w:rsidRPr="009B5FD4">
        <w:t>m particle size, the 6</w:t>
      </w:r>
      <w:r>
        <w:t>µ</w:t>
      </w:r>
      <w:r w:rsidRPr="009B5FD4">
        <w:t xml:space="preserve">m particle size and the nebulised salbutamol are shown. Mean (x), median (-), interquartile range </w:t>
      </w:r>
      <w:r>
        <w:t xml:space="preserve">(boxes) </w:t>
      </w:r>
      <w:r w:rsidRPr="009B5FD4">
        <w:t>are shown.</w:t>
      </w:r>
      <w:bookmarkEnd w:id="1"/>
      <w:bookmarkEnd w:id="2"/>
      <w:r>
        <w:t xml:space="preserve"> </w:t>
      </w:r>
    </w:p>
    <w:p w:rsidR="00AE1154" w:rsidRDefault="00AE1154" w:rsidP="00AE1154">
      <w:pPr>
        <w:keepNext/>
      </w:pPr>
      <w:r>
        <w:rPr>
          <w:noProof/>
          <w:lang w:val="en-PH" w:eastAsia="en-PH"/>
        </w:rPr>
        <w:lastRenderedPageBreak/>
        <w:drawing>
          <wp:inline distT="0" distB="0" distL="0" distR="0">
            <wp:extent cx="5731510" cy="4116070"/>
            <wp:effectExtent l="0" t="0" r="254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5" cstate="print"/>
                    <a:srcRect/>
                    <a:stretch>
                      <a:fillRect/>
                    </a:stretch>
                  </pic:blipFill>
                  <pic:spPr bwMode="auto">
                    <a:xfrm>
                      <a:off x="0" y="0"/>
                      <a:ext cx="5731510" cy="4116070"/>
                    </a:xfrm>
                    <a:prstGeom prst="rect">
                      <a:avLst/>
                    </a:prstGeom>
                    <a:noFill/>
                    <a:ln w="9525">
                      <a:noFill/>
                      <a:miter lim="800000"/>
                      <a:headEnd/>
                      <a:tailEnd/>
                    </a:ln>
                  </pic:spPr>
                </pic:pic>
              </a:graphicData>
            </a:graphic>
          </wp:inline>
        </w:drawing>
      </w:r>
    </w:p>
    <w:p w:rsidR="00AE1154" w:rsidRPr="00316AD6" w:rsidRDefault="00AE1154" w:rsidP="00AE1154">
      <w:bookmarkStart w:id="3" w:name="_Toc460929467"/>
      <w:bookmarkStart w:id="4" w:name="_Toc467159197"/>
      <w:r w:rsidRPr="00234923">
        <w:rPr>
          <w:b/>
        </w:rPr>
        <w:t xml:space="preserve">Figure </w:t>
      </w:r>
      <w:r w:rsidR="00CB46D8" w:rsidRPr="00234923">
        <w:rPr>
          <w:b/>
        </w:rPr>
        <w:fldChar w:fldCharType="begin"/>
      </w:r>
      <w:r w:rsidRPr="00234923">
        <w:rPr>
          <w:b/>
        </w:rPr>
        <w:instrText xml:space="preserve"> SEQ Figure \* ARABIC </w:instrText>
      </w:r>
      <w:r w:rsidR="00CB46D8" w:rsidRPr="00234923">
        <w:rPr>
          <w:b/>
        </w:rPr>
        <w:fldChar w:fldCharType="separate"/>
      </w:r>
      <w:r>
        <w:rPr>
          <w:b/>
          <w:noProof/>
        </w:rPr>
        <w:t>7</w:t>
      </w:r>
      <w:r w:rsidR="00CB46D8" w:rsidRPr="00234923">
        <w:rPr>
          <w:b/>
        </w:rPr>
        <w:fldChar w:fldCharType="end"/>
      </w:r>
      <w:r w:rsidRPr="00234923">
        <w:rPr>
          <w:b/>
        </w:rPr>
        <w:t>: Plasma salbutamol concentration per treatment group.</w:t>
      </w:r>
      <w:r>
        <w:rPr>
          <w:b/>
        </w:rPr>
        <w:t xml:space="preserve"> </w:t>
      </w:r>
      <w:r w:rsidRPr="00316AD6">
        <w:t>Treatment group 1.5</w:t>
      </w:r>
      <w:r>
        <w:t>µ</w:t>
      </w:r>
      <w:r w:rsidRPr="00316AD6">
        <w:t>m salbutamol 50</w:t>
      </w:r>
      <w:r>
        <w:t>µg</w:t>
      </w:r>
      <w:r w:rsidRPr="00316AD6">
        <w:t xml:space="preserve"> delivered by </w:t>
      </w:r>
      <w:r>
        <w:t>the STAG device (</w:t>
      </w:r>
      <w:r w:rsidRPr="00316AD6">
        <w:t xml:space="preserve"> </w:t>
      </w:r>
      <w:r w:rsidRPr="00316AD6">
        <w:rPr>
          <w:rFonts w:ascii="Cambria Math" w:hAnsi="Cambria Math"/>
        </w:rPr>
        <w:t>∎</w:t>
      </w:r>
      <w:r w:rsidRPr="00316AD6">
        <w:t>), 6</w:t>
      </w:r>
      <w:r>
        <w:t>µ</w:t>
      </w:r>
      <w:r w:rsidRPr="00316AD6">
        <w:t>m salbutamol 50</w:t>
      </w:r>
      <w:r>
        <w:t>µ</w:t>
      </w:r>
      <w:r w:rsidRPr="00316AD6">
        <w:t>g delivered by the STAG device (</w:t>
      </w:r>
      <w:r w:rsidRPr="00316AD6">
        <w:rPr>
          <w:color w:val="FF0000"/>
        </w:rPr>
        <w:t xml:space="preserve"> </w:t>
      </w:r>
      <w:r w:rsidRPr="00316AD6">
        <w:rPr>
          <w:rFonts w:ascii="Calibri" w:hAnsi="Calibri"/>
          <w:color w:val="FF0000"/>
        </w:rPr>
        <w:t>●</w:t>
      </w:r>
      <w:r w:rsidRPr="00316AD6">
        <w:t>), nebulised 2.5 mg salbutamol (</w:t>
      </w:r>
      <w:r w:rsidRPr="00316AD6">
        <w:rPr>
          <w:color w:val="70AD47" w:themeColor="accent6"/>
        </w:rPr>
        <w:t xml:space="preserve"> </w:t>
      </w:r>
      <w:r w:rsidRPr="00316AD6">
        <w:rPr>
          <w:rFonts w:ascii="Century Schoolbook" w:hAnsi="Century Schoolbook"/>
          <w:color w:val="70AD47" w:themeColor="accent6"/>
        </w:rPr>
        <w:t>▲</w:t>
      </w:r>
      <w:r w:rsidRPr="00316AD6">
        <w:t>), 400</w:t>
      </w:r>
      <w:r>
        <w:t>µ</w:t>
      </w:r>
      <w:r w:rsidRPr="00316AD6">
        <w:t>g salbutamol delivered by the pMDI (</w:t>
      </w:r>
      <w:r w:rsidRPr="00316AD6">
        <w:rPr>
          <w:color w:val="2F5496" w:themeColor="accent1" w:themeShade="BF"/>
        </w:rPr>
        <w:t xml:space="preserve"> ◊</w:t>
      </w:r>
      <w:r w:rsidRPr="00316AD6">
        <w:t>).</w:t>
      </w:r>
      <w:bookmarkEnd w:id="3"/>
      <w:bookmarkEnd w:id="4"/>
    </w:p>
    <w:p w:rsidR="00540752" w:rsidRDefault="00540752">
      <w:r>
        <w:br w:type="page"/>
      </w:r>
    </w:p>
    <w:p w:rsidR="00AE1154" w:rsidRDefault="00540752" w:rsidP="00AE1154">
      <w:r>
        <w:rPr>
          <w:noProof/>
          <w:lang w:val="en-PH" w:eastAsia="en-PH"/>
        </w:rPr>
        <w:lastRenderedPageBreak/>
        <w:drawing>
          <wp:inline distT="0" distB="0" distL="0" distR="0">
            <wp:extent cx="3733267" cy="6724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36894" cy="6731183"/>
                    </a:xfrm>
                    <a:prstGeom prst="rect">
                      <a:avLst/>
                    </a:prstGeom>
                    <a:noFill/>
                  </pic:spPr>
                </pic:pic>
              </a:graphicData>
            </a:graphic>
          </wp:inline>
        </w:drawing>
      </w:r>
    </w:p>
    <w:p w:rsidR="00540752" w:rsidRDefault="00540752" w:rsidP="00540752">
      <w:bookmarkStart w:id="5" w:name="_Toc460929470"/>
      <w:bookmarkStart w:id="6" w:name="_Toc467159198"/>
      <w:r>
        <w:rPr>
          <w:b/>
        </w:rPr>
        <w:t>F</w:t>
      </w:r>
      <w:r w:rsidR="00AE1154" w:rsidRPr="00EE545A">
        <w:rPr>
          <w:b/>
        </w:rPr>
        <w:t xml:space="preserve">igure </w:t>
      </w:r>
      <w:r w:rsidR="00CB46D8" w:rsidRPr="00EE545A">
        <w:rPr>
          <w:b/>
        </w:rPr>
        <w:fldChar w:fldCharType="begin"/>
      </w:r>
      <w:r w:rsidR="00AE1154" w:rsidRPr="00EE545A">
        <w:rPr>
          <w:b/>
        </w:rPr>
        <w:instrText xml:space="preserve"> SEQ Figure \* ARABIC </w:instrText>
      </w:r>
      <w:r w:rsidR="00CB46D8" w:rsidRPr="00EE545A">
        <w:rPr>
          <w:b/>
        </w:rPr>
        <w:fldChar w:fldCharType="separate"/>
      </w:r>
      <w:r w:rsidR="00AE1154">
        <w:rPr>
          <w:b/>
          <w:noProof/>
        </w:rPr>
        <w:t>8</w:t>
      </w:r>
      <w:r w:rsidR="00CB46D8" w:rsidRPr="00EE545A">
        <w:rPr>
          <w:b/>
        </w:rPr>
        <w:fldChar w:fldCharType="end"/>
      </w:r>
      <w:r w:rsidR="00AE1154" w:rsidRPr="00EE545A">
        <w:rPr>
          <w:b/>
        </w:rPr>
        <w:t xml:space="preserve">: </w:t>
      </w:r>
      <w:bookmarkEnd w:id="5"/>
      <w:bookmarkEnd w:id="6"/>
      <w:r w:rsidRPr="003429F3">
        <w:rPr>
          <w:b/>
        </w:rPr>
        <w:t xml:space="preserve">Relationship between </w:t>
      </w:r>
      <w:r>
        <w:rPr>
          <w:b/>
        </w:rPr>
        <w:t>p</w:t>
      </w:r>
      <w:r w:rsidRPr="003429F3">
        <w:rPr>
          <w:b/>
        </w:rPr>
        <w:t>ulmonary function</w:t>
      </w:r>
      <w:r>
        <w:rPr>
          <w:b/>
        </w:rPr>
        <w:t xml:space="preserve"> and </w:t>
      </w:r>
      <w:r w:rsidRPr="003429F3">
        <w:rPr>
          <w:b/>
        </w:rPr>
        <w:t>penetration index</w:t>
      </w:r>
      <w:r>
        <w:t xml:space="preserve">. </w:t>
      </w:r>
      <w:r w:rsidRPr="0009072A">
        <w:t>Scatter plots of the</w:t>
      </w:r>
      <w:r>
        <w:t xml:space="preserve"> relationship between </w:t>
      </w:r>
      <w:r w:rsidRPr="0009072A">
        <w:t>FVC (</w:t>
      </w:r>
      <w:r>
        <w:t>%</w:t>
      </w:r>
      <w:r w:rsidRPr="0009072A">
        <w:t xml:space="preserve">) and penetration index </w:t>
      </w:r>
      <w:r>
        <w:t xml:space="preserve">(PI) </w:t>
      </w:r>
      <w:r w:rsidRPr="0009072A">
        <w:t>for:</w:t>
      </w:r>
      <w:r w:rsidRPr="00316AD6">
        <w:t xml:space="preserve"> </w:t>
      </w:r>
      <w:r>
        <w:t xml:space="preserve">(A) </w:t>
      </w:r>
      <w:r w:rsidRPr="00316AD6">
        <w:t>1.5</w:t>
      </w:r>
      <w:r>
        <w:t>µ</w:t>
      </w:r>
      <w:r w:rsidRPr="00316AD6">
        <w:t>m particle size (STAG)</w:t>
      </w:r>
      <w:r>
        <w:t>, rho = 0.66667 p = 0.07099; (B) 6µm particle size (STAG) rho = 0.42857 p = 0.2894</w:t>
      </w:r>
      <w:r w:rsidRPr="00316AD6">
        <w:t xml:space="preserve">; </w:t>
      </w:r>
      <w:r>
        <w:t xml:space="preserve">(C) </w:t>
      </w:r>
      <w:r w:rsidRPr="00316AD6">
        <w:t>nebulised</w:t>
      </w:r>
      <w:r>
        <w:t xml:space="preserve"> rho = </w:t>
      </w:r>
      <w:r w:rsidRPr="00A23CFD">
        <w:t>0.</w:t>
      </w:r>
      <w:r>
        <w:t xml:space="preserve">80952 p = 0.0149. Linear regression analysis (line) is illustrated with its equation. </w:t>
      </w:r>
      <w:r w:rsidRPr="00316AD6">
        <w:t xml:space="preserve">FVC </w:t>
      </w:r>
      <w:r>
        <w:t>(%)</w:t>
      </w:r>
      <w:r w:rsidRPr="00316AD6">
        <w:t xml:space="preserve">: </w:t>
      </w:r>
      <w:r>
        <w:t xml:space="preserve">percent predicted </w:t>
      </w:r>
      <w:r w:rsidRPr="00316AD6">
        <w:t>forced vital capacity</w:t>
      </w:r>
      <w:r>
        <w:t>; rho: Spearman Rank Correlation Coefficient</w:t>
      </w:r>
    </w:p>
    <w:p w:rsidR="00540752" w:rsidRDefault="00540752">
      <w:r>
        <w:br w:type="page"/>
      </w:r>
    </w:p>
    <w:p w:rsidR="00540752" w:rsidRPr="009B5FD4" w:rsidRDefault="00540752" w:rsidP="00AE1154">
      <w:r>
        <w:rPr>
          <w:noProof/>
          <w:lang w:val="en-PH" w:eastAsia="en-PH"/>
        </w:rPr>
        <w:lastRenderedPageBreak/>
        <w:drawing>
          <wp:inline distT="0" distB="0" distL="0" distR="0">
            <wp:extent cx="3670538" cy="65627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73553" cy="6568116"/>
                    </a:xfrm>
                    <a:prstGeom prst="rect">
                      <a:avLst/>
                    </a:prstGeom>
                    <a:noFill/>
                  </pic:spPr>
                </pic:pic>
              </a:graphicData>
            </a:graphic>
          </wp:inline>
        </w:drawing>
      </w:r>
    </w:p>
    <w:p w:rsidR="00540752" w:rsidRDefault="00AE1154" w:rsidP="00540752">
      <w:bookmarkStart w:id="7" w:name="_Toc460929472"/>
      <w:bookmarkStart w:id="8" w:name="_Toc467159200"/>
      <w:r>
        <w:t xml:space="preserve">Figure </w:t>
      </w:r>
      <w:fldSimple w:instr=" SEQ Figure \* ARABIC ">
        <w:r>
          <w:rPr>
            <w:noProof/>
          </w:rPr>
          <w:t>9</w:t>
        </w:r>
      </w:fldSimple>
      <w:r w:rsidRPr="00EE545A">
        <w:rPr>
          <w:b/>
        </w:rPr>
        <w:t xml:space="preserve"> </w:t>
      </w:r>
      <w:r w:rsidR="00540752" w:rsidRPr="003429F3">
        <w:rPr>
          <w:b/>
        </w:rPr>
        <w:t xml:space="preserve">Relationship between </w:t>
      </w:r>
      <w:r w:rsidR="00540752">
        <w:rPr>
          <w:b/>
        </w:rPr>
        <w:t>p</w:t>
      </w:r>
      <w:r w:rsidR="00540752" w:rsidRPr="003429F3">
        <w:rPr>
          <w:b/>
        </w:rPr>
        <w:t>ulmonary function</w:t>
      </w:r>
      <w:r w:rsidR="00540752">
        <w:rPr>
          <w:b/>
        </w:rPr>
        <w:t xml:space="preserve"> and </w:t>
      </w:r>
      <w:r w:rsidR="00540752" w:rsidRPr="003429F3">
        <w:rPr>
          <w:b/>
        </w:rPr>
        <w:t>penetration index</w:t>
      </w:r>
      <w:r w:rsidR="00540752">
        <w:t xml:space="preserve">. </w:t>
      </w:r>
      <w:r w:rsidR="00540752" w:rsidRPr="0009072A">
        <w:t>Scatter plots of the</w:t>
      </w:r>
      <w:r w:rsidR="00540752">
        <w:t xml:space="preserve"> relationship between DLco</w:t>
      </w:r>
      <w:r w:rsidR="00540752" w:rsidRPr="0009072A">
        <w:t xml:space="preserve"> (</w:t>
      </w:r>
      <w:r w:rsidR="00540752">
        <w:t>L</w:t>
      </w:r>
      <w:r w:rsidR="00540752" w:rsidRPr="0009072A">
        <w:t xml:space="preserve">) and penetration index </w:t>
      </w:r>
      <w:r w:rsidR="00540752">
        <w:t xml:space="preserve">(PI) </w:t>
      </w:r>
      <w:r w:rsidR="00540752" w:rsidRPr="0009072A">
        <w:t>for:</w:t>
      </w:r>
      <w:r w:rsidR="00540752" w:rsidRPr="00316AD6">
        <w:t xml:space="preserve"> </w:t>
      </w:r>
      <w:r w:rsidR="00540752">
        <w:t xml:space="preserve">(A) </w:t>
      </w:r>
      <w:r w:rsidR="00540752" w:rsidRPr="00316AD6">
        <w:t>1.5</w:t>
      </w:r>
      <w:r w:rsidR="00540752">
        <w:t>µ</w:t>
      </w:r>
      <w:r w:rsidR="00540752" w:rsidRPr="00316AD6">
        <w:t>m particle size (STAG)</w:t>
      </w:r>
      <w:r w:rsidR="00540752">
        <w:t>, rho = 0.09524 p = 0.82251; (B) 6µm particle size (STAG) rho = 0.04762 p = 0.91085</w:t>
      </w:r>
      <w:r w:rsidR="00540752" w:rsidRPr="00316AD6">
        <w:t xml:space="preserve">; </w:t>
      </w:r>
      <w:r w:rsidR="00540752">
        <w:t xml:space="preserve">(C) </w:t>
      </w:r>
      <w:r w:rsidR="00540752" w:rsidRPr="00316AD6">
        <w:t>nebulised</w:t>
      </w:r>
      <w:r w:rsidR="00540752">
        <w:t xml:space="preserve"> rho = </w:t>
      </w:r>
      <w:r w:rsidR="00540752" w:rsidRPr="00A23CFD">
        <w:t>0.</w:t>
      </w:r>
      <w:r w:rsidR="00540752">
        <w:t>52381 p = 18272. Linear regression analysis (line) is illustrated with its equation. DLco</w:t>
      </w:r>
      <w:r w:rsidR="00540752" w:rsidRPr="0009072A">
        <w:t xml:space="preserve"> (</w:t>
      </w:r>
      <w:r w:rsidR="00540752">
        <w:t xml:space="preserve">L): </w:t>
      </w:r>
      <w:r w:rsidR="00540752" w:rsidRPr="009B5FD4">
        <w:t>diffusion capacity for carbon monoxide measured in litres</w:t>
      </w:r>
      <w:r w:rsidR="00540752">
        <w:t>; rho: Spearman Rank Correlation Coefficient</w:t>
      </w:r>
    </w:p>
    <w:bookmarkEnd w:id="7"/>
    <w:bookmarkEnd w:id="8"/>
    <w:p w:rsidR="00540752" w:rsidRDefault="00540752">
      <w:pPr>
        <w:rPr>
          <w:iCs/>
          <w:noProof/>
          <w:color w:val="44546A" w:themeColor="text2"/>
          <w:sz w:val="18"/>
          <w:szCs w:val="18"/>
          <w:lang w:eastAsia="en-GB"/>
        </w:rPr>
      </w:pPr>
      <w:r>
        <w:rPr>
          <w:i/>
          <w:noProof/>
          <w:lang w:eastAsia="en-GB"/>
        </w:rPr>
        <w:br w:type="page"/>
      </w:r>
    </w:p>
    <w:p w:rsidR="00AE1154" w:rsidRPr="00234C40" w:rsidRDefault="00234C40" w:rsidP="00AE1154">
      <w:pPr>
        <w:pStyle w:val="Caption"/>
        <w:keepNext/>
        <w:keepLines/>
        <w:rPr>
          <w:i w:val="0"/>
        </w:rPr>
      </w:pPr>
      <w:r>
        <w:rPr>
          <w:i w:val="0"/>
          <w:noProof/>
          <w:lang w:val="en-PH" w:eastAsia="en-PH"/>
        </w:rPr>
        <w:lastRenderedPageBreak/>
        <w:drawing>
          <wp:inline distT="0" distB="0" distL="0" distR="0">
            <wp:extent cx="4308822" cy="7353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10646" cy="7356413"/>
                    </a:xfrm>
                    <a:prstGeom prst="rect">
                      <a:avLst/>
                    </a:prstGeom>
                    <a:noFill/>
                  </pic:spPr>
                </pic:pic>
              </a:graphicData>
            </a:graphic>
          </wp:inline>
        </w:drawing>
      </w:r>
    </w:p>
    <w:p w:rsidR="00234C40" w:rsidRDefault="00AE1154" w:rsidP="00234C40">
      <w:r>
        <w:t xml:space="preserve">Figure </w:t>
      </w:r>
      <w:fldSimple w:instr=" SEQ Figure \* ARABIC ">
        <w:r>
          <w:rPr>
            <w:noProof/>
          </w:rPr>
          <w:t>10</w:t>
        </w:r>
      </w:fldSimple>
      <w:r w:rsidRPr="00820D5B">
        <w:rPr>
          <w:b/>
        </w:rPr>
        <w:t xml:space="preserve"> </w:t>
      </w:r>
      <w:r w:rsidR="00234C40" w:rsidRPr="003429F3">
        <w:rPr>
          <w:b/>
        </w:rPr>
        <w:t xml:space="preserve">Relationship between </w:t>
      </w:r>
      <w:r w:rsidR="00234C40">
        <w:rPr>
          <w:b/>
        </w:rPr>
        <w:t>p</w:t>
      </w:r>
      <w:r w:rsidR="00234C40" w:rsidRPr="003429F3">
        <w:rPr>
          <w:b/>
        </w:rPr>
        <w:t>ulmonary function</w:t>
      </w:r>
      <w:r w:rsidR="00234C40">
        <w:rPr>
          <w:b/>
        </w:rPr>
        <w:t xml:space="preserve"> and </w:t>
      </w:r>
      <w:r w:rsidR="00234C40" w:rsidRPr="003429F3">
        <w:rPr>
          <w:b/>
        </w:rPr>
        <w:t>penetration index</w:t>
      </w:r>
      <w:r w:rsidR="00234C40">
        <w:t xml:space="preserve">. </w:t>
      </w:r>
      <w:r w:rsidR="00234C40" w:rsidRPr="0009072A">
        <w:t>Scatter plots of the</w:t>
      </w:r>
      <w:r w:rsidR="00234C40">
        <w:t xml:space="preserve"> relationship between DLco</w:t>
      </w:r>
      <w:r w:rsidR="00234C40" w:rsidRPr="0009072A">
        <w:t xml:space="preserve"> (</w:t>
      </w:r>
      <w:r w:rsidR="00234C40">
        <w:t>%</w:t>
      </w:r>
      <w:r w:rsidR="00234C40" w:rsidRPr="0009072A">
        <w:t xml:space="preserve">) and penetration index </w:t>
      </w:r>
      <w:r w:rsidR="00234C40">
        <w:t xml:space="preserve">(PI) </w:t>
      </w:r>
      <w:r w:rsidR="00234C40" w:rsidRPr="0009072A">
        <w:t>for:</w:t>
      </w:r>
      <w:r w:rsidR="00234C40" w:rsidRPr="00316AD6">
        <w:t xml:space="preserve"> </w:t>
      </w:r>
      <w:r w:rsidR="00234C40">
        <w:t xml:space="preserve">(A) </w:t>
      </w:r>
      <w:r w:rsidR="00234C40" w:rsidRPr="00316AD6">
        <w:t>1.5</w:t>
      </w:r>
      <w:r w:rsidR="00234C40">
        <w:t>µ</w:t>
      </w:r>
      <w:r w:rsidR="00234C40" w:rsidRPr="00316AD6">
        <w:t>m particle size (STAG)</w:t>
      </w:r>
      <w:r w:rsidR="00234C40">
        <w:t>, rho = 0.11905 p = 0.77889; (B) 6µm particle size (STAG) rho = 0.04762 p = 0.91085</w:t>
      </w:r>
      <w:r w:rsidR="00234C40" w:rsidRPr="00316AD6">
        <w:t xml:space="preserve">; </w:t>
      </w:r>
      <w:r w:rsidR="00234C40">
        <w:t xml:space="preserve">(C) </w:t>
      </w:r>
      <w:r w:rsidR="00234C40" w:rsidRPr="00316AD6">
        <w:t>nebulised</w:t>
      </w:r>
      <w:r w:rsidR="00234C40">
        <w:t xml:space="preserve"> rho = </w:t>
      </w:r>
      <w:r w:rsidR="00234C40" w:rsidRPr="00A23CFD">
        <w:t>0.</w:t>
      </w:r>
      <w:r w:rsidR="00234C40">
        <w:t>52381 p = 18272. Linear regression analysis (line) is illustrated with its equation. DLco</w:t>
      </w:r>
      <w:r w:rsidR="00234C40" w:rsidRPr="0009072A">
        <w:t xml:space="preserve"> (</w:t>
      </w:r>
      <w:r w:rsidR="00234C40">
        <w:t xml:space="preserve">%): percent predicted </w:t>
      </w:r>
      <w:r w:rsidR="00234C40" w:rsidRPr="009B5FD4">
        <w:t>diffusion capacity for carbon monoxide</w:t>
      </w:r>
      <w:r w:rsidR="00234C40">
        <w:t>; rho: Spearman Rank Correlation Coefficient</w:t>
      </w:r>
    </w:p>
    <w:p w:rsidR="00540752" w:rsidRDefault="00540752">
      <w:pPr>
        <w:rPr>
          <w:iCs/>
          <w:color w:val="44546A" w:themeColor="text2"/>
          <w:sz w:val="18"/>
          <w:szCs w:val="18"/>
        </w:rPr>
      </w:pPr>
      <w:r>
        <w:rPr>
          <w:i/>
        </w:rPr>
        <w:br w:type="page"/>
      </w:r>
    </w:p>
    <w:p w:rsidR="00AE1154" w:rsidRDefault="00AE1154" w:rsidP="00AE1154">
      <w:pPr>
        <w:pStyle w:val="Caption"/>
        <w:rPr>
          <w:i w:val="0"/>
        </w:rPr>
      </w:pPr>
    </w:p>
    <w:p w:rsidR="00AE1154" w:rsidRPr="00820D5B" w:rsidRDefault="00AE1154" w:rsidP="00AE1154"/>
    <w:p w:rsidR="00AE1154" w:rsidRPr="00820D5B" w:rsidRDefault="00AE1154" w:rsidP="00AE1154"/>
    <w:p w:rsidR="00AE1154" w:rsidRDefault="00AE1154" w:rsidP="00AE1154">
      <w:pPr>
        <w:keepNext/>
      </w:pPr>
      <w:r>
        <w:rPr>
          <w:noProof/>
          <w:lang w:val="en-PH" w:eastAsia="en-PH"/>
        </w:rPr>
        <w:drawing>
          <wp:inline distT="0" distB="0" distL="0" distR="0">
            <wp:extent cx="5731510" cy="3002280"/>
            <wp:effectExtent l="0" t="0" r="2540" b="7620"/>
            <wp:docPr id="17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9" name="Picture 1"/>
                    <pic:cNvPicPr>
                      <a:picLocks noChangeAspect="1" noChangeArrowheads="1"/>
                    </pic:cNvPicPr>
                  </pic:nvPicPr>
                  <pic:blipFill>
                    <a:blip r:embed="rId9" cstate="print"/>
                    <a:srcRect/>
                    <a:stretch>
                      <a:fillRect/>
                    </a:stretch>
                  </pic:blipFill>
                  <pic:spPr bwMode="auto">
                    <a:xfrm>
                      <a:off x="0" y="0"/>
                      <a:ext cx="5731510" cy="3002280"/>
                    </a:xfrm>
                    <a:prstGeom prst="rect">
                      <a:avLst/>
                    </a:prstGeom>
                    <a:noFill/>
                    <a:ln w="9525">
                      <a:noFill/>
                      <a:miter lim="800000"/>
                      <a:headEnd/>
                      <a:tailEnd/>
                    </a:ln>
                  </pic:spPr>
                </pic:pic>
              </a:graphicData>
            </a:graphic>
          </wp:inline>
        </w:drawing>
      </w:r>
    </w:p>
    <w:p w:rsidR="00AE1154" w:rsidRPr="00472229" w:rsidRDefault="00AE1154" w:rsidP="00AE1154">
      <w:bookmarkStart w:id="9" w:name="_Toc460929476"/>
      <w:bookmarkStart w:id="10" w:name="_Toc467159201"/>
      <w:r w:rsidRPr="00377D64">
        <w:rPr>
          <w:b/>
        </w:rPr>
        <w:t xml:space="preserve">Figure </w:t>
      </w:r>
      <w:r w:rsidR="00CB46D8" w:rsidRPr="00377D64">
        <w:rPr>
          <w:b/>
        </w:rPr>
        <w:fldChar w:fldCharType="begin"/>
      </w:r>
      <w:r w:rsidRPr="00377D64">
        <w:rPr>
          <w:b/>
        </w:rPr>
        <w:instrText xml:space="preserve"> SEQ Figure \* ARABIC </w:instrText>
      </w:r>
      <w:r w:rsidR="00CB46D8" w:rsidRPr="00377D64">
        <w:rPr>
          <w:b/>
        </w:rPr>
        <w:fldChar w:fldCharType="separate"/>
      </w:r>
      <w:r>
        <w:rPr>
          <w:b/>
          <w:noProof/>
        </w:rPr>
        <w:t>11</w:t>
      </w:r>
      <w:r w:rsidR="00CB46D8" w:rsidRPr="00377D64">
        <w:rPr>
          <w:b/>
        </w:rPr>
        <w:fldChar w:fldCharType="end"/>
      </w:r>
      <w:r>
        <w:rPr>
          <w:b/>
        </w:rPr>
        <w:t xml:space="preserve">: Salbutamol PK in urine of IPF subjects. </w:t>
      </w:r>
      <w:r w:rsidRPr="00472229">
        <w:t xml:space="preserve">Cumulative levels of salbutamol in the urine of IPF </w:t>
      </w:r>
      <w:r>
        <w:t>subject</w:t>
      </w:r>
      <w:r w:rsidRPr="00472229">
        <w:t>s over 8 hours post dose. Salbutamol was delivered at 1.5</w:t>
      </w:r>
      <w:r>
        <w:t>µ</w:t>
      </w:r>
      <w:r w:rsidRPr="00472229">
        <w:t>m particle size via the STAG device (black line) or 6</w:t>
      </w:r>
      <w:r>
        <w:t>µ</w:t>
      </w:r>
      <w:r w:rsidRPr="00472229">
        <w:t>m particle size via the STAG device (red line)</w:t>
      </w:r>
      <w:bookmarkEnd w:id="9"/>
      <w:bookmarkEnd w:id="10"/>
    </w:p>
    <w:p w:rsidR="00AE1154" w:rsidRDefault="00AE1154" w:rsidP="00AE1154">
      <w:pPr>
        <w:keepNext/>
      </w:pPr>
      <w:r>
        <w:rPr>
          <w:noProof/>
          <w:lang w:val="en-PH" w:eastAsia="en-PH"/>
        </w:rPr>
        <w:lastRenderedPageBreak/>
        <w:drawing>
          <wp:inline distT="0" distB="0" distL="0" distR="0">
            <wp:extent cx="5731510" cy="4067175"/>
            <wp:effectExtent l="0" t="0" r="2540" b="9525"/>
            <wp:docPr id="7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9" name="Picture 1"/>
                    <pic:cNvPicPr>
                      <a:picLocks noChangeAspect="1" noChangeArrowheads="1"/>
                    </pic:cNvPicPr>
                  </pic:nvPicPr>
                  <pic:blipFill>
                    <a:blip r:embed="rId10" cstate="print"/>
                    <a:srcRect/>
                    <a:stretch>
                      <a:fillRect/>
                    </a:stretch>
                  </pic:blipFill>
                  <pic:spPr bwMode="auto">
                    <a:xfrm>
                      <a:off x="0" y="0"/>
                      <a:ext cx="5731510" cy="4067175"/>
                    </a:xfrm>
                    <a:prstGeom prst="rect">
                      <a:avLst/>
                    </a:prstGeom>
                    <a:noFill/>
                    <a:ln w="9525">
                      <a:noFill/>
                      <a:miter lim="800000"/>
                      <a:headEnd/>
                      <a:tailEnd/>
                    </a:ln>
                  </pic:spPr>
                </pic:pic>
              </a:graphicData>
            </a:graphic>
          </wp:inline>
        </w:drawing>
      </w:r>
    </w:p>
    <w:p w:rsidR="00AE1154" w:rsidRDefault="00AE1154" w:rsidP="00AE1154">
      <w:bookmarkStart w:id="11" w:name="_Toc460929477"/>
      <w:bookmarkStart w:id="12" w:name="_Toc467159202"/>
      <w:r w:rsidRPr="00377D64">
        <w:rPr>
          <w:b/>
        </w:rPr>
        <w:t xml:space="preserve">Figure </w:t>
      </w:r>
      <w:r w:rsidR="00CB46D8" w:rsidRPr="00377D64">
        <w:rPr>
          <w:b/>
        </w:rPr>
        <w:fldChar w:fldCharType="begin"/>
      </w:r>
      <w:r w:rsidRPr="00377D64">
        <w:rPr>
          <w:b/>
        </w:rPr>
        <w:instrText xml:space="preserve"> SEQ Figure \* ARABIC </w:instrText>
      </w:r>
      <w:r w:rsidR="00CB46D8" w:rsidRPr="00377D64">
        <w:rPr>
          <w:b/>
        </w:rPr>
        <w:fldChar w:fldCharType="separate"/>
      </w:r>
      <w:r>
        <w:rPr>
          <w:b/>
          <w:noProof/>
        </w:rPr>
        <w:t>12</w:t>
      </w:r>
      <w:r w:rsidR="00CB46D8" w:rsidRPr="00377D64">
        <w:rPr>
          <w:b/>
        </w:rPr>
        <w:fldChar w:fldCharType="end"/>
      </w:r>
      <w:r>
        <w:rPr>
          <w:b/>
        </w:rPr>
        <w:t xml:space="preserve">: Subject salbutamol plasma PK profiles by treatment group. </w:t>
      </w:r>
      <w:r w:rsidRPr="00472229">
        <w:t>A: 50</w:t>
      </w:r>
      <w:r>
        <w:t>µ</w:t>
      </w:r>
      <w:r w:rsidRPr="00472229">
        <w:t>g salbutamol was delivered at 1.5</w:t>
      </w:r>
      <w:r>
        <w:t>µ</w:t>
      </w:r>
      <w:r w:rsidRPr="00472229">
        <w:t>m particle size via the STAG device; B: 50</w:t>
      </w:r>
      <w:r>
        <w:t>µ</w:t>
      </w:r>
      <w:r w:rsidRPr="00472229">
        <w:t>g salbutamol was delivered at 6</w:t>
      </w:r>
      <w:r>
        <w:t>µ</w:t>
      </w:r>
      <w:r w:rsidRPr="00472229">
        <w:t>m particle size via the STAG device; C: 2.5mg</w:t>
      </w:r>
      <w:r>
        <w:rPr>
          <w:b/>
        </w:rPr>
        <w:t xml:space="preserve"> </w:t>
      </w:r>
      <w:r w:rsidRPr="00472229">
        <w:t>salbutamol was delivered via nebulisation; D: 400</w:t>
      </w:r>
      <w:r>
        <w:t>µ</w:t>
      </w:r>
      <w:r w:rsidRPr="00472229">
        <w:t>g salbutamol was delivered via pMDI.</w:t>
      </w:r>
      <w:bookmarkEnd w:id="11"/>
      <w:bookmarkEnd w:id="12"/>
    </w:p>
    <w:p w:rsidR="00AE1154" w:rsidRDefault="00AE1154" w:rsidP="00AE1154">
      <w:pPr>
        <w:pStyle w:val="Caption"/>
        <w:keepNext/>
      </w:pPr>
      <w:r w:rsidRPr="007119CF">
        <w:rPr>
          <w:noProof/>
          <w:lang w:val="en-PH" w:eastAsia="en-PH"/>
        </w:rPr>
        <w:lastRenderedPageBreak/>
        <w:drawing>
          <wp:inline distT="0" distB="0" distL="0" distR="0">
            <wp:extent cx="2751455" cy="4761781"/>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51956" b="6741"/>
                    <a:stretch/>
                  </pic:blipFill>
                  <pic:spPr bwMode="auto">
                    <a:xfrm>
                      <a:off x="0" y="0"/>
                      <a:ext cx="2751826" cy="476242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AE1154" w:rsidRDefault="00AE1154" w:rsidP="00AE1154">
      <w:bookmarkStart w:id="13" w:name="_Toc460929479"/>
      <w:bookmarkStart w:id="14" w:name="_Toc467159203"/>
      <w:r>
        <w:t xml:space="preserve">Figure </w:t>
      </w:r>
      <w:fldSimple w:instr=" SEQ Figure \* ARABIC ">
        <w:r>
          <w:rPr>
            <w:noProof/>
          </w:rPr>
          <w:t>13</w:t>
        </w:r>
      </w:fldSimple>
      <w:r>
        <w:t>: Amount of salbutamol in lungs vs the amount excreted in urine during the first 30min post dose</w:t>
      </w:r>
      <w:bookmarkEnd w:id="13"/>
      <w:bookmarkEnd w:id="14"/>
    </w:p>
    <w:p w:rsidR="00AE1154" w:rsidRDefault="00AE1154" w:rsidP="00AE1154">
      <w:pPr>
        <w:pStyle w:val="Caption"/>
      </w:pPr>
    </w:p>
    <w:p w:rsidR="00AE1154" w:rsidRDefault="00AE1154" w:rsidP="00AE1154">
      <w:pPr>
        <w:keepNext/>
      </w:pPr>
      <w:r>
        <w:rPr>
          <w:b/>
          <w:noProof/>
          <w:lang w:val="en-PH" w:eastAsia="en-PH"/>
        </w:rPr>
        <w:lastRenderedPageBreak/>
        <w:drawing>
          <wp:inline distT="0" distB="0" distL="0" distR="0">
            <wp:extent cx="5731510" cy="3745623"/>
            <wp:effectExtent l="0" t="0" r="254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31510" cy="3745623"/>
                    </a:xfrm>
                    <a:prstGeom prst="rect">
                      <a:avLst/>
                    </a:prstGeom>
                    <a:noFill/>
                    <a:ln>
                      <a:noFill/>
                    </a:ln>
                  </pic:spPr>
                </pic:pic>
              </a:graphicData>
            </a:graphic>
          </wp:inline>
        </w:drawing>
      </w:r>
    </w:p>
    <w:p w:rsidR="00AE1154" w:rsidRDefault="00AE1154" w:rsidP="00AE1154">
      <w:r>
        <w:t xml:space="preserve">Figure </w:t>
      </w:r>
      <w:fldSimple w:instr=" SEQ Figure \* ARABIC ">
        <w:r>
          <w:rPr>
            <w:noProof/>
          </w:rPr>
          <w:t>14</w:t>
        </w:r>
      </w:fldSimple>
      <w:r w:rsidR="00C46BF1">
        <w:rPr>
          <w:noProof/>
        </w:rPr>
        <w:t xml:space="preserve"> :</w:t>
      </w:r>
      <w:r>
        <w:t xml:space="preserve"> Impulse Oscillometry parameters </w:t>
      </w:r>
      <w:r w:rsidR="00F70342">
        <w:t>pre-dose</w:t>
      </w:r>
      <w:r>
        <w:t xml:space="preserve">, 60 minutes post-dose and 3 hours post-dose for each subject receiving:  50µg salbutamol </w:t>
      </w:r>
      <w:r w:rsidRPr="00CC20A7">
        <w:t>delivered at 1.5µm p</w:t>
      </w:r>
      <w:r>
        <w:t xml:space="preserve">article size via the STAG; 50µg salbutamol </w:t>
      </w:r>
      <w:r w:rsidRPr="00CC20A7">
        <w:t>delivered at 6µm p</w:t>
      </w:r>
      <w:r>
        <w:t xml:space="preserve">article size via the STAG; 2.5mg salbutamol </w:t>
      </w:r>
      <w:r w:rsidRPr="00CC20A7">
        <w:t>delive</w:t>
      </w:r>
      <w:r>
        <w:t xml:space="preserve">red via nebulisation; 400µg salbutamol </w:t>
      </w:r>
      <w:r w:rsidRPr="00CC20A7">
        <w:t>delivered via pMDI.</w:t>
      </w:r>
    </w:p>
    <w:p w:rsidR="00AE1154" w:rsidRDefault="00AE1154" w:rsidP="00AE1154">
      <w:r>
        <w:br w:type="page"/>
      </w:r>
    </w:p>
    <w:p w:rsidR="00AE1154" w:rsidRDefault="00AE1154" w:rsidP="00AE1154">
      <w:r>
        <w:rPr>
          <w:b/>
          <w:noProof/>
          <w:lang w:val="en-PH" w:eastAsia="en-PH"/>
        </w:rPr>
        <w:lastRenderedPageBreak/>
        <w:drawing>
          <wp:inline distT="0" distB="0" distL="0" distR="0">
            <wp:extent cx="5731510" cy="3186689"/>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31510" cy="3186689"/>
                    </a:xfrm>
                    <a:prstGeom prst="rect">
                      <a:avLst/>
                    </a:prstGeom>
                    <a:noFill/>
                    <a:ln>
                      <a:noFill/>
                    </a:ln>
                  </pic:spPr>
                </pic:pic>
              </a:graphicData>
            </a:graphic>
          </wp:inline>
        </w:drawing>
      </w:r>
    </w:p>
    <w:p w:rsidR="00AE1154" w:rsidRDefault="00AE1154" w:rsidP="00AE1154">
      <w:r>
        <w:t xml:space="preserve">Figure </w:t>
      </w:r>
      <w:fldSimple w:instr=" SEQ Figure \* ARABIC ">
        <w:r>
          <w:rPr>
            <w:noProof/>
          </w:rPr>
          <w:t>15</w:t>
        </w:r>
      </w:fldSimple>
      <w:r w:rsidR="00C46BF1">
        <w:rPr>
          <w:noProof/>
        </w:rPr>
        <w:t xml:space="preserve">: </w:t>
      </w:r>
      <w:r>
        <w:t xml:space="preserve">Pulmonary Function parameters </w:t>
      </w:r>
      <w:r w:rsidR="00C33DA9">
        <w:t>pre-dose</w:t>
      </w:r>
      <w:r>
        <w:t xml:space="preserve">, </w:t>
      </w:r>
      <w:r w:rsidRPr="00211AD5">
        <w:t>60 minutes</w:t>
      </w:r>
      <w:r>
        <w:t xml:space="preserve"> post-</w:t>
      </w:r>
      <w:r w:rsidR="005A7412">
        <w:t>dose and</w:t>
      </w:r>
      <w:r>
        <w:t xml:space="preserve"> 3 hours post-</w:t>
      </w:r>
      <w:r w:rsidRPr="00211AD5">
        <w:t xml:space="preserve">dose for each </w:t>
      </w:r>
      <w:r>
        <w:t>subject</w:t>
      </w:r>
      <w:r w:rsidRPr="00211AD5">
        <w:t xml:space="preserve"> receiving</w:t>
      </w:r>
      <w:r>
        <w:t>:</w:t>
      </w:r>
      <w:r w:rsidRPr="00211AD5">
        <w:t xml:space="preserve">  50µg salbutamol delivered at 1.5µm particle size via the STAG; 50µg salbutamol delivered at 6µm particle size via the STAG; 2.5mg salbutamol delivered via nebulisation; 400µg salbutamol delivered via pMDI.</w:t>
      </w:r>
    </w:p>
    <w:p w:rsidR="00297434" w:rsidRDefault="00297434"/>
    <w:sectPr w:rsidR="00297434" w:rsidSect="00CB46D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altName w:val="Calibr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entury Schoolbook">
    <w:altName w:val="Century"/>
    <w:charset w:val="00"/>
    <w:family w:val="roman"/>
    <w:pitch w:val="variable"/>
    <w:sig w:usb0="00000001"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docVars>
    <w:docVar w:name="Total_Editing_Time" w:val="27"/>
  </w:docVars>
  <w:rsids>
    <w:rsidRoot w:val="00AE1154"/>
    <w:rsid w:val="00083C52"/>
    <w:rsid w:val="000A0097"/>
    <w:rsid w:val="00234C40"/>
    <w:rsid w:val="00297434"/>
    <w:rsid w:val="002A01F3"/>
    <w:rsid w:val="00372BE4"/>
    <w:rsid w:val="00375E1E"/>
    <w:rsid w:val="00540752"/>
    <w:rsid w:val="005A7412"/>
    <w:rsid w:val="00683FA1"/>
    <w:rsid w:val="00697CE5"/>
    <w:rsid w:val="006D4F3E"/>
    <w:rsid w:val="007A319B"/>
    <w:rsid w:val="00804B8E"/>
    <w:rsid w:val="00981A4C"/>
    <w:rsid w:val="009B752D"/>
    <w:rsid w:val="00AE1154"/>
    <w:rsid w:val="00B5351E"/>
    <w:rsid w:val="00B919D9"/>
    <w:rsid w:val="00C33DA9"/>
    <w:rsid w:val="00C46BF1"/>
    <w:rsid w:val="00CB46D8"/>
    <w:rsid w:val="00EF1347"/>
    <w:rsid w:val="00F70342"/>
    <w:rsid w:val="00F9634F"/>
  </w:rsids>
  <m:mathPr>
    <m:mathFont m:val="Cambria Math"/>
    <m:brkBin m:val="before"/>
    <m:brkBinSub m:val="--"/>
    <m:smallFrac m:val="off"/>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154"/>
    <w:rPr>
      <w:rFonts w:ascii="Times New Roman" w:hAnsi="Times New Roman" w:cs="Times New Roman"/>
      <w:sz w:val="24"/>
      <w:szCs w:val="24"/>
    </w:rPr>
  </w:style>
  <w:style w:type="paragraph" w:styleId="Heading1">
    <w:name w:val="heading 1"/>
    <w:basedOn w:val="Normal"/>
    <w:next w:val="Normal"/>
    <w:link w:val="Heading1Char"/>
    <w:uiPriority w:val="9"/>
    <w:qFormat/>
    <w:rsid w:val="00AE115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535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1154"/>
    <w:rPr>
      <w:rFonts w:asciiTheme="majorHAnsi" w:eastAsiaTheme="majorEastAsia" w:hAnsiTheme="majorHAnsi" w:cstheme="majorBidi"/>
      <w:color w:val="2F5496" w:themeColor="accent1" w:themeShade="BF"/>
      <w:sz w:val="32"/>
      <w:szCs w:val="32"/>
    </w:rPr>
  </w:style>
  <w:style w:type="paragraph" w:styleId="Caption">
    <w:name w:val="caption"/>
    <w:basedOn w:val="Normal"/>
    <w:next w:val="Normal"/>
    <w:uiPriority w:val="35"/>
    <w:unhideWhenUsed/>
    <w:qFormat/>
    <w:rsid w:val="00AE1154"/>
    <w:pPr>
      <w:spacing w:after="200" w:line="240" w:lineRule="auto"/>
    </w:pPr>
    <w:rPr>
      <w:i/>
      <w:iCs/>
      <w:color w:val="44546A" w:themeColor="text2"/>
      <w:sz w:val="18"/>
      <w:szCs w:val="18"/>
    </w:rPr>
  </w:style>
  <w:style w:type="table" w:styleId="TableGrid">
    <w:name w:val="Table Grid"/>
    <w:basedOn w:val="TableNormal"/>
    <w:uiPriority w:val="39"/>
    <w:rsid w:val="00AE11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B5351E"/>
    <w:rPr>
      <w:rFonts w:asciiTheme="majorHAnsi" w:eastAsiaTheme="majorEastAsia" w:hAnsiTheme="majorHAnsi" w:cstheme="majorBidi"/>
      <w:color w:val="2F5496" w:themeColor="accent1" w:themeShade="BF"/>
      <w:sz w:val="26"/>
      <w:szCs w:val="26"/>
    </w:rPr>
  </w:style>
  <w:style w:type="character" w:customStyle="1" w:styleId="apple-converted-space">
    <w:name w:val="apple-converted-space"/>
    <w:basedOn w:val="DefaultParagraphFont"/>
    <w:rsid w:val="00B5351E"/>
  </w:style>
  <w:style w:type="paragraph" w:customStyle="1" w:styleId="Default">
    <w:name w:val="Default"/>
    <w:link w:val="DefaultChar"/>
    <w:rsid w:val="00B5351E"/>
    <w:pPr>
      <w:autoSpaceDE w:val="0"/>
      <w:autoSpaceDN w:val="0"/>
      <w:adjustRightInd w:val="0"/>
      <w:spacing w:after="0" w:line="240" w:lineRule="auto"/>
    </w:pPr>
    <w:rPr>
      <w:rFonts w:ascii="Arial" w:hAnsi="Arial" w:cs="Arial"/>
      <w:color w:val="000000"/>
      <w:sz w:val="24"/>
      <w:szCs w:val="24"/>
    </w:rPr>
  </w:style>
  <w:style w:type="character" w:customStyle="1" w:styleId="DefaultChar">
    <w:name w:val="Default Char"/>
    <w:basedOn w:val="DefaultParagraphFont"/>
    <w:link w:val="Default"/>
    <w:rsid w:val="00B5351E"/>
    <w:rPr>
      <w:rFonts w:ascii="Arial" w:hAnsi="Arial" w:cs="Arial"/>
      <w:color w:val="000000"/>
      <w:sz w:val="24"/>
      <w:szCs w:val="24"/>
    </w:rPr>
  </w:style>
  <w:style w:type="character" w:styleId="CommentReference">
    <w:name w:val="annotation reference"/>
    <w:basedOn w:val="DefaultParagraphFont"/>
    <w:uiPriority w:val="99"/>
    <w:semiHidden/>
    <w:unhideWhenUsed/>
    <w:rsid w:val="002A01F3"/>
    <w:rPr>
      <w:sz w:val="16"/>
      <w:szCs w:val="16"/>
    </w:rPr>
  </w:style>
  <w:style w:type="paragraph" w:styleId="CommentText">
    <w:name w:val="annotation text"/>
    <w:basedOn w:val="Normal"/>
    <w:link w:val="CommentTextChar"/>
    <w:uiPriority w:val="99"/>
    <w:semiHidden/>
    <w:unhideWhenUsed/>
    <w:rsid w:val="002A01F3"/>
    <w:pPr>
      <w:spacing w:line="240" w:lineRule="auto"/>
    </w:pPr>
    <w:rPr>
      <w:sz w:val="20"/>
      <w:szCs w:val="20"/>
    </w:rPr>
  </w:style>
  <w:style w:type="character" w:customStyle="1" w:styleId="CommentTextChar">
    <w:name w:val="Comment Text Char"/>
    <w:basedOn w:val="DefaultParagraphFont"/>
    <w:link w:val="CommentText"/>
    <w:uiPriority w:val="99"/>
    <w:semiHidden/>
    <w:rsid w:val="002A01F3"/>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2A01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01F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emf"/><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emf"/><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15</Pages>
  <Words>2754</Words>
  <Characters>14929</Characters>
  <Application>Microsoft Office Word</Application>
  <DocSecurity>0</DocSecurity>
  <Lines>466</Lines>
  <Paragraphs>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Lukey</dc:creator>
  <cp:keywords/>
  <dc:description/>
  <cp:lastModifiedBy>LCAYETANO</cp:lastModifiedBy>
  <cp:revision>13</cp:revision>
  <dcterms:created xsi:type="dcterms:W3CDTF">2017-06-08T12:33:00Z</dcterms:created>
  <dcterms:modified xsi:type="dcterms:W3CDTF">2018-02-02T04:52:00Z</dcterms:modified>
</cp:coreProperties>
</file>