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A80" w:rsidRDefault="00C53A80" w:rsidP="00291F41">
      <w:pPr>
        <w:spacing w:after="0" w:line="480" w:lineRule="auto"/>
        <w:rPr>
          <w:rFonts w:ascii="Arial" w:hAnsi="Arial" w:cs="Arial"/>
          <w:b/>
        </w:rPr>
      </w:pPr>
      <w:bookmarkStart w:id="0" w:name="_GoBack"/>
      <w:bookmarkEnd w:id="0"/>
      <w:r>
        <w:rPr>
          <w:rFonts w:ascii="Arial" w:hAnsi="Arial" w:cs="Arial"/>
          <w:b/>
        </w:rPr>
        <w:t xml:space="preserve">Figure </w:t>
      </w:r>
      <w:proofErr w:type="spellStart"/>
      <w:r w:rsidR="00D93160">
        <w:rPr>
          <w:rFonts w:ascii="Arial" w:hAnsi="Arial" w:cs="Arial"/>
          <w:b/>
        </w:rPr>
        <w:t>S</w:t>
      </w:r>
      <w:r>
        <w:rPr>
          <w:rFonts w:ascii="Arial" w:hAnsi="Arial" w:cs="Arial"/>
          <w:b/>
        </w:rPr>
        <w:t>1</w:t>
      </w:r>
      <w:proofErr w:type="spellEnd"/>
      <w:r>
        <w:rPr>
          <w:rFonts w:ascii="Arial" w:hAnsi="Arial" w:cs="Arial"/>
          <w:b/>
        </w:rPr>
        <w:t>:</w:t>
      </w:r>
    </w:p>
    <w:p w:rsidR="00C53A80" w:rsidRDefault="00C53A80" w:rsidP="00291F41">
      <w:pPr>
        <w:spacing w:after="0" w:line="48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Normal human lung fibroblasts (IMR-90) were cultured on polyacrylamide hydrogels with stiffness ranging from </w:t>
      </w:r>
      <w:r w:rsidR="00C26F7D">
        <w:rPr>
          <w:rFonts w:ascii="Arial" w:hAnsi="Arial" w:cs="Arial"/>
        </w:rPr>
        <w:t>4</w:t>
      </w:r>
      <w:r>
        <w:rPr>
          <w:rFonts w:ascii="Arial" w:hAnsi="Arial" w:cs="Arial"/>
        </w:rPr>
        <w:t xml:space="preserve">00 Pa to 25,600 Pa or on glass slides for 24 hours in serum-free media prior to treatment with/without a </w:t>
      </w:r>
      <w:proofErr w:type="spellStart"/>
      <w:r>
        <w:rPr>
          <w:rFonts w:ascii="Arial" w:hAnsi="Arial" w:cs="Arial"/>
        </w:rPr>
        <w:t>Fas</w:t>
      </w:r>
      <w:proofErr w:type="spellEnd"/>
      <w:r>
        <w:rPr>
          <w:rFonts w:ascii="Arial" w:hAnsi="Arial" w:cs="Arial"/>
        </w:rPr>
        <w:t>-activating antibody (</w:t>
      </w:r>
      <w:proofErr w:type="spellStart"/>
      <w:r>
        <w:rPr>
          <w:rFonts w:ascii="Arial" w:hAnsi="Arial" w:cs="Arial"/>
        </w:rPr>
        <w:t>Fas</w:t>
      </w:r>
      <w:proofErr w:type="spellEnd"/>
      <w:r>
        <w:rPr>
          <w:rFonts w:ascii="Arial" w:hAnsi="Arial" w:cs="Arial"/>
        </w:rPr>
        <w:t xml:space="preserve">-Ab, 250 ng/ml) for 16 hours. Apoptosis was assessed by ELISA detection of histone-associated DNA-fragments. Data are pooled from 4 independent experiments and each “stiffness” variable was included in at least 3 of the 4 experimental replicates (such that the total “n” for each condition is either 3 or 4). </w:t>
      </w:r>
      <w:r w:rsidR="00884111">
        <w:rPr>
          <w:rFonts w:ascii="Arial" w:hAnsi="Arial" w:cs="Arial"/>
        </w:rPr>
        <w:t>To allow comparisons, data for each experimental replicate have been normalized so that the extent of apoptosis in untreated fibroblasts on glass substrates is equal to 1.</w:t>
      </w:r>
    </w:p>
    <w:p w:rsidR="00C26F7D" w:rsidRDefault="00054CAC" w:rsidP="00291F41">
      <w:pPr>
        <w:spacing w:after="0" w:line="480" w:lineRule="auto"/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w:drawing>
          <wp:inline distT="0" distB="0" distL="0" distR="0" wp14:anchorId="58D07D08" wp14:editId="51598C99">
            <wp:extent cx="4097734" cy="33909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Apoptosis by stiffness.em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07960" cy="33993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48FF" w:rsidRDefault="00AB48FF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:rsidR="00AB48FF" w:rsidRDefault="00AB48FF" w:rsidP="00AB48FF">
      <w:pPr>
        <w:spacing w:after="0" w:line="480" w:lineRule="auto"/>
        <w:rPr>
          <w:rFonts w:ascii="Arial" w:hAnsi="Arial" w:cs="Arial"/>
          <w:b/>
        </w:rPr>
      </w:pPr>
      <w:r w:rsidRPr="00291F41">
        <w:rPr>
          <w:rFonts w:ascii="Arial" w:hAnsi="Arial" w:cs="Arial"/>
          <w:b/>
        </w:rPr>
        <w:lastRenderedPageBreak/>
        <w:t xml:space="preserve">Figure </w:t>
      </w:r>
      <w:proofErr w:type="spellStart"/>
      <w:r w:rsidR="00D93160">
        <w:rPr>
          <w:rFonts w:ascii="Arial" w:hAnsi="Arial" w:cs="Arial"/>
          <w:b/>
        </w:rPr>
        <w:t>S</w:t>
      </w:r>
      <w:r>
        <w:rPr>
          <w:rFonts w:ascii="Arial" w:hAnsi="Arial" w:cs="Arial"/>
          <w:b/>
        </w:rPr>
        <w:t>2</w:t>
      </w:r>
      <w:proofErr w:type="spellEnd"/>
      <w:r w:rsidRPr="00291F41">
        <w:rPr>
          <w:rFonts w:ascii="Arial" w:hAnsi="Arial" w:cs="Arial"/>
          <w:b/>
        </w:rPr>
        <w:t xml:space="preserve">: </w:t>
      </w:r>
    </w:p>
    <w:p w:rsidR="00AB48FF" w:rsidRPr="00AB48FF" w:rsidRDefault="00AB48FF" w:rsidP="00AB48FF">
      <w:pPr>
        <w:spacing w:after="0" w:line="48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Normal human lung fibroblasts (IMR-90) were cultured on compliant, 400 Pa polyacrylamide hydrogel substrates and treated with/without TGF-b1 (2 ng/ml) for 24 hours. </w:t>
      </w:r>
      <w:proofErr w:type="spellStart"/>
      <w:r>
        <w:rPr>
          <w:rFonts w:ascii="Arial" w:hAnsi="Arial" w:cs="Arial"/>
        </w:rPr>
        <w:t>Fas</w:t>
      </w:r>
      <w:proofErr w:type="spellEnd"/>
      <w:r>
        <w:rPr>
          <w:rFonts w:ascii="Arial" w:hAnsi="Arial" w:cs="Arial"/>
        </w:rPr>
        <w:t xml:space="preserve"> expression was assessed by ELISA. Data are pooled from three independent experiments. For each experiment, the </w:t>
      </w:r>
      <w:proofErr w:type="spellStart"/>
      <w:r>
        <w:rPr>
          <w:rFonts w:ascii="Arial" w:hAnsi="Arial" w:cs="Arial"/>
        </w:rPr>
        <w:t>Fas</w:t>
      </w:r>
      <w:proofErr w:type="spellEnd"/>
      <w:r>
        <w:rPr>
          <w:rFonts w:ascii="Arial" w:hAnsi="Arial" w:cs="Arial"/>
        </w:rPr>
        <w:t xml:space="preserve"> concentration (</w:t>
      </w:r>
      <w:proofErr w:type="spellStart"/>
      <w:r>
        <w:rPr>
          <w:rFonts w:ascii="Arial" w:hAnsi="Arial" w:cs="Arial"/>
        </w:rPr>
        <w:t>ug</w:t>
      </w:r>
      <w:proofErr w:type="spellEnd"/>
      <w:r>
        <w:rPr>
          <w:rFonts w:ascii="Arial" w:hAnsi="Arial" w:cs="Arial"/>
        </w:rPr>
        <w:t xml:space="preserve">/mg total protein) has been normalized to the untreated controls. </w:t>
      </w:r>
    </w:p>
    <w:p w:rsidR="00AB48FF" w:rsidRDefault="00AB48FF" w:rsidP="00291F41">
      <w:pPr>
        <w:spacing w:after="0" w:line="480" w:lineRule="auto"/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w:drawing>
          <wp:inline distT="0" distB="0" distL="0" distR="0" wp14:anchorId="18022BC7" wp14:editId="26562824">
            <wp:extent cx="3398520" cy="3111146"/>
            <wp:effectExtent l="0" t="0" r="0" b="0"/>
            <wp:docPr id="4" name="Picture 4" descr="C:\Users\jchorow\Desktop\Box Sync\RESEARCH FILES\Fibroblast Fas Regulation\Manuscript preparation-TGF regulation of Fas\REVISIONS\Data for Revision\Fas-400 Pa hydrogel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jchorow\Desktop\Box Sync\RESEARCH FILES\Fibroblast Fas Regulation\Manuscript preparation-TGF regulation of Fas\REVISIONS\Data for Revision\Fas-400 Pa hydrogel.em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5689" cy="3136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48FF" w:rsidRDefault="00AB48FF" w:rsidP="00291F41">
      <w:pPr>
        <w:spacing w:after="0" w:line="480" w:lineRule="auto"/>
        <w:rPr>
          <w:rFonts w:ascii="Arial" w:hAnsi="Arial" w:cs="Arial"/>
          <w:b/>
        </w:rPr>
      </w:pPr>
    </w:p>
    <w:p w:rsidR="00AB48FF" w:rsidRDefault="00AB48FF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:rsidR="00291F41" w:rsidRPr="00291F41" w:rsidRDefault="00291F41" w:rsidP="00291F41">
      <w:pPr>
        <w:spacing w:after="0" w:line="480" w:lineRule="auto"/>
        <w:rPr>
          <w:rFonts w:ascii="Arial" w:hAnsi="Arial" w:cs="Arial"/>
          <w:b/>
        </w:rPr>
      </w:pPr>
      <w:r w:rsidRPr="00291F41">
        <w:rPr>
          <w:rFonts w:ascii="Arial" w:hAnsi="Arial" w:cs="Arial"/>
          <w:b/>
        </w:rPr>
        <w:lastRenderedPageBreak/>
        <w:t xml:space="preserve">Figure </w:t>
      </w:r>
      <w:proofErr w:type="spellStart"/>
      <w:r w:rsidR="00D93160">
        <w:rPr>
          <w:rFonts w:ascii="Arial" w:hAnsi="Arial" w:cs="Arial"/>
          <w:b/>
        </w:rPr>
        <w:t>S</w:t>
      </w:r>
      <w:r w:rsidR="00AB48FF">
        <w:rPr>
          <w:rFonts w:ascii="Arial" w:hAnsi="Arial" w:cs="Arial"/>
          <w:b/>
        </w:rPr>
        <w:t>3</w:t>
      </w:r>
      <w:proofErr w:type="spellEnd"/>
      <w:r w:rsidRPr="00291F41">
        <w:rPr>
          <w:rFonts w:ascii="Arial" w:hAnsi="Arial" w:cs="Arial"/>
          <w:b/>
        </w:rPr>
        <w:t xml:space="preserve">: </w:t>
      </w:r>
    </w:p>
    <w:p w:rsidR="00291F41" w:rsidRPr="00291F41" w:rsidRDefault="00291F41" w:rsidP="00291F41">
      <w:pPr>
        <w:spacing w:after="0" w:line="480" w:lineRule="auto"/>
        <w:ind w:left="60"/>
        <w:rPr>
          <w:rFonts w:ascii="Arial" w:eastAsia="+mn-ea" w:hAnsi="Arial" w:cs="Arial"/>
          <w:bCs/>
          <w:iCs/>
          <w:kern w:val="24"/>
        </w:rPr>
      </w:pPr>
      <w:r w:rsidRPr="00291F41">
        <w:rPr>
          <w:rFonts w:ascii="Arial" w:eastAsia="+mn-ea" w:hAnsi="Arial" w:cs="Arial"/>
          <w:bCs/>
          <w:iCs/>
          <w:kern w:val="24"/>
        </w:rPr>
        <w:t>Flow cytometry analyses: (Left most panels) cells were gated on side scatter vs. forward scatter as live cells gate. Cells that were in the live cell gate were further assessed for doublet</w:t>
      </w:r>
      <w:r w:rsidR="004F69B4">
        <w:rPr>
          <w:rFonts w:ascii="Arial" w:eastAsia="+mn-ea" w:hAnsi="Arial" w:cs="Arial"/>
          <w:bCs/>
          <w:iCs/>
          <w:kern w:val="24"/>
        </w:rPr>
        <w:t xml:space="preserve"> discrimination</w:t>
      </w:r>
      <w:r w:rsidRPr="00291F41">
        <w:rPr>
          <w:rFonts w:ascii="Arial" w:eastAsia="+mn-ea" w:hAnsi="Arial" w:cs="Arial"/>
          <w:bCs/>
          <w:iCs/>
          <w:kern w:val="24"/>
        </w:rPr>
        <w:t xml:space="preserve"> (FSC_H vs. FSC-A). Gates show percentages of cells present. </w:t>
      </w:r>
      <w:proofErr w:type="spellStart"/>
      <w:r w:rsidRPr="00291F41">
        <w:rPr>
          <w:rFonts w:ascii="Arial" w:eastAsia="+mn-ea" w:hAnsi="Arial" w:cs="Arial"/>
          <w:bCs/>
          <w:iCs/>
          <w:kern w:val="24"/>
        </w:rPr>
        <w:t>Propidium</w:t>
      </w:r>
      <w:proofErr w:type="spellEnd"/>
      <w:r w:rsidRPr="00291F41">
        <w:rPr>
          <w:rFonts w:ascii="Arial" w:eastAsia="+mn-ea" w:hAnsi="Arial" w:cs="Arial"/>
          <w:bCs/>
          <w:iCs/>
          <w:kern w:val="24"/>
        </w:rPr>
        <w:t xml:space="preserve"> iodide was used a viable cell marker, so we then gated </w:t>
      </w:r>
      <w:r w:rsidR="004F69B4">
        <w:rPr>
          <w:rFonts w:ascii="Arial" w:eastAsia="+mn-ea" w:hAnsi="Arial" w:cs="Arial"/>
          <w:bCs/>
          <w:iCs/>
          <w:kern w:val="24"/>
        </w:rPr>
        <w:t>on</w:t>
      </w:r>
      <w:r w:rsidRPr="00291F41">
        <w:rPr>
          <w:rFonts w:ascii="Arial" w:eastAsia="+mn-ea" w:hAnsi="Arial" w:cs="Arial"/>
          <w:bCs/>
          <w:iCs/>
          <w:kern w:val="24"/>
        </w:rPr>
        <w:t xml:space="preserve"> PI negative cells (SSC-A vs. PI). From this gate we assessed PI negative vs. CD95-FITC positive cells to identify our population of interest (PI </w:t>
      </w:r>
      <w:r w:rsidR="004F69B4">
        <w:rPr>
          <w:rFonts w:ascii="Arial" w:eastAsia="+mn-ea" w:hAnsi="Arial" w:cs="Arial"/>
          <w:bCs/>
          <w:iCs/>
          <w:kern w:val="24"/>
        </w:rPr>
        <w:t xml:space="preserve">negative, </w:t>
      </w:r>
      <w:r w:rsidRPr="00291F41">
        <w:rPr>
          <w:rFonts w:ascii="Arial" w:eastAsia="+mn-ea" w:hAnsi="Arial" w:cs="Arial"/>
          <w:bCs/>
          <w:iCs/>
          <w:kern w:val="24"/>
        </w:rPr>
        <w:t>CD95-FITC</w:t>
      </w:r>
      <w:r w:rsidR="004F69B4">
        <w:rPr>
          <w:rFonts w:ascii="Arial" w:eastAsia="+mn-ea" w:hAnsi="Arial" w:cs="Arial"/>
          <w:bCs/>
          <w:iCs/>
          <w:kern w:val="24"/>
        </w:rPr>
        <w:t xml:space="preserve"> positive</w:t>
      </w:r>
      <w:r w:rsidRPr="00291F41">
        <w:rPr>
          <w:rFonts w:ascii="Arial" w:eastAsia="+mn-ea" w:hAnsi="Arial" w:cs="Arial"/>
          <w:bCs/>
          <w:iCs/>
          <w:kern w:val="24"/>
        </w:rPr>
        <w:t>). Shown here is the isotype-control demonstrating background positive staining of 0.653% of untreated cells.</w:t>
      </w:r>
    </w:p>
    <w:p w:rsidR="00291F41" w:rsidRPr="00291F41" w:rsidRDefault="00291F41" w:rsidP="00291F41"/>
    <w:p w:rsidR="00DF6346" w:rsidRDefault="00134FDB">
      <w:r>
        <w:rPr>
          <w:noProof/>
        </w:rPr>
        <w:drawing>
          <wp:inline distT="0" distB="0" distL="0" distR="0" wp14:anchorId="5AEA87EC" wp14:editId="726D5321">
            <wp:extent cx="6076950" cy="1773555"/>
            <wp:effectExtent l="0" t="0" r="0" b="0"/>
            <wp:docPr id="1" name="Picture 1" descr="C:\Users\jchorow\Desktop\Box Sync\RESEARCH FILES\Fas Expression and Fibroblasts-1.22.14\Manuscript preparation-TGF regulation of Fas\Figure Files\Figure 4_TGF- treatment promotes release of soluble Fas\Fas-flow cytometry cell surface (Ashley)\Gating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chorow\Desktop\Box Sync\RESEARCH FILES\Fas Expression and Fibroblasts-1.22.14\Manuscript preparation-TGF regulation of Fas\Figure Files\Figure 4_TGF- treatment promotes release of soluble Fas\Fas-flow cytometry cell surface (Ashley)\Gating.t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8256" cy="17739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7F84" w:rsidRDefault="00A37F84"/>
    <w:p w:rsidR="00A37F84" w:rsidRPr="00FE0D22" w:rsidRDefault="00A37F84">
      <w:pPr>
        <w:rPr>
          <w:b/>
          <w:sz w:val="36"/>
        </w:rPr>
      </w:pPr>
    </w:p>
    <w:p w:rsidR="00A37F84" w:rsidRDefault="00A37F84" w:rsidP="00FE0D22">
      <w:pPr>
        <w:ind w:left="360"/>
      </w:pPr>
    </w:p>
    <w:p w:rsidR="00FE0D22" w:rsidRDefault="00FE0D22" w:rsidP="00FE0D22">
      <w:pPr>
        <w:rPr>
          <w:b/>
          <w:sz w:val="36"/>
        </w:rPr>
      </w:pPr>
    </w:p>
    <w:p w:rsidR="00FE0D22" w:rsidRPr="00FE0D22" w:rsidRDefault="00FE0D22" w:rsidP="00FE0D22">
      <w:pPr>
        <w:rPr>
          <w:b/>
          <w:sz w:val="36"/>
        </w:rPr>
      </w:pPr>
    </w:p>
    <w:sectPr w:rsidR="00FE0D22" w:rsidRPr="00FE0D2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326040"/>
    <w:multiLevelType w:val="hybridMultilevel"/>
    <w:tmpl w:val="36D4C2A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38"/>
  </w:docVars>
  <w:rsids>
    <w:rsidRoot w:val="00291F41"/>
    <w:rsid w:val="00054CAC"/>
    <w:rsid w:val="00134FDB"/>
    <w:rsid w:val="001A153A"/>
    <w:rsid w:val="002603D5"/>
    <w:rsid w:val="00291F41"/>
    <w:rsid w:val="004F69B4"/>
    <w:rsid w:val="00884111"/>
    <w:rsid w:val="00A37F84"/>
    <w:rsid w:val="00AB48FF"/>
    <w:rsid w:val="00C26F7D"/>
    <w:rsid w:val="00C53A80"/>
    <w:rsid w:val="00D93160"/>
    <w:rsid w:val="00DF6346"/>
    <w:rsid w:val="00FE0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4F69B4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F69B4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F69B4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F69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69B4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A37F8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4F69B4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F69B4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F69B4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F69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69B4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A37F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3" Type="http://schemas.microsoft.com/office/2007/relationships/stylesWithEffects" Target="stylesWithEffect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267</Words>
  <Characters>1492</Characters>
  <Application>Microsoft Office Word</Application>
  <DocSecurity>0</DocSecurity>
  <Lines>33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Michigan Health System</Company>
  <LinksUpToDate>false</LinksUpToDate>
  <CharactersWithSpaces>1752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Horowitz, Jeffrey</dc:creator>
  <cp:keywords/>
  <dc:description/>
  <cp:lastModifiedBy>MPACANA</cp:lastModifiedBy>
  <cp:revision>11</cp:revision>
  <dcterms:created xsi:type="dcterms:W3CDTF">2018-03-30T13:36:00Z</dcterms:created>
  <dcterms:modified xsi:type="dcterms:W3CDTF">2018-05-04T09:34:00Z</dcterms:modified>
</cp:coreProperties>
</file>