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AC" w:rsidRPr="00667EBF" w:rsidRDefault="00B01D0A" w:rsidP="00631B55">
      <w:pPr>
        <w:wordWrap/>
        <w:autoSpaceDE/>
        <w:autoSpaceDN/>
        <w:spacing w:after="0" w:line="480" w:lineRule="auto"/>
        <w:contextualSpacing/>
        <w:rPr>
          <w:rFonts w:ascii="Times New Roman" w:eastAsia="바탕체" w:hAnsi="Times New Roman" w:cs="Times New Roman"/>
          <w:b/>
          <w:bCs/>
          <w:sz w:val="22"/>
        </w:rPr>
      </w:pPr>
      <w:r w:rsidRPr="00667EBF">
        <w:rPr>
          <w:rFonts w:ascii="Times New Roman" w:eastAsia="바탕체" w:hAnsi="Times New Roman" w:cs="Times New Roman"/>
          <w:b/>
          <w:bCs/>
          <w:sz w:val="22"/>
        </w:rPr>
        <w:t xml:space="preserve">Table </w:t>
      </w:r>
      <w:r w:rsidR="001D2E7D" w:rsidRPr="00667EBF">
        <w:rPr>
          <w:rFonts w:ascii="Times New Roman" w:eastAsia="바탕체" w:hAnsi="Times New Roman" w:cs="Times New Roman"/>
          <w:b/>
          <w:bCs/>
          <w:sz w:val="22"/>
        </w:rPr>
        <w:t>S</w:t>
      </w:r>
      <w:r w:rsidR="0082754B" w:rsidRPr="00667EBF">
        <w:rPr>
          <w:rFonts w:ascii="Times New Roman" w:eastAsia="바탕체" w:hAnsi="Times New Roman" w:cs="Times New Roman"/>
          <w:b/>
          <w:bCs/>
          <w:sz w:val="22"/>
        </w:rPr>
        <w:t>1</w:t>
      </w:r>
      <w:r w:rsidR="007F59DE" w:rsidRPr="00667EBF">
        <w:rPr>
          <w:rFonts w:ascii="Times New Roman" w:eastAsia="바탕체" w:hAnsi="Times New Roman" w:cs="Times New Roman"/>
          <w:b/>
          <w:bCs/>
          <w:sz w:val="22"/>
        </w:rPr>
        <w:t>.</w:t>
      </w:r>
      <w:r w:rsidRPr="00667EBF">
        <w:rPr>
          <w:rFonts w:ascii="Times New Roman" w:eastAsia="바탕체" w:hAnsi="Times New Roman" w:cs="Times New Roman"/>
          <w:b/>
          <w:bCs/>
          <w:sz w:val="22"/>
        </w:rPr>
        <w:t xml:space="preserve"> Inclusion and exclusion criteria of the named patient use </w:t>
      </w:r>
      <w:proofErr w:type="spellStart"/>
      <w:r w:rsidRPr="00667EBF">
        <w:rPr>
          <w:rFonts w:ascii="Times New Roman" w:eastAsia="바탕체" w:hAnsi="Times New Roman" w:cs="Times New Roman"/>
          <w:b/>
          <w:bCs/>
          <w:sz w:val="22"/>
        </w:rPr>
        <w:t>program</w:t>
      </w:r>
      <w:r w:rsidR="00090A7F" w:rsidRPr="00667EBF">
        <w:rPr>
          <w:rFonts w:ascii="Times New Roman" w:eastAsia="바탕체" w:hAnsi="Times New Roman" w:cs="Times New Roman"/>
          <w:b/>
          <w:bCs/>
          <w:sz w:val="22"/>
        </w:rPr>
        <w:t>me</w:t>
      </w:r>
      <w:proofErr w:type="spellEnd"/>
      <w:r w:rsidRPr="00667EBF">
        <w:rPr>
          <w:rFonts w:ascii="Times New Roman" w:eastAsia="바탕체" w:hAnsi="Times New Roman" w:cs="Times New Roman"/>
          <w:b/>
          <w:bCs/>
          <w:sz w:val="22"/>
        </w:rPr>
        <w:t xml:space="preserve"> for nintedanib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627AC" w:rsidRPr="00667EBF" w:rsidTr="009627AC"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7AC" w:rsidRPr="00667EBF" w:rsidRDefault="00B01D0A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2"/>
              </w:rPr>
              <w:t>Inclusion criteria</w:t>
            </w:r>
          </w:p>
        </w:tc>
      </w:tr>
      <w:tr w:rsidR="009627AC" w:rsidRPr="00667EBF" w:rsidTr="009627AC">
        <w:tc>
          <w:tcPr>
            <w:tcW w:w="9224" w:type="dxa"/>
            <w:tcBorders>
              <w:top w:val="single" w:sz="4" w:space="0" w:color="auto"/>
              <w:bottom w:val="nil"/>
            </w:tcBorders>
            <w:vAlign w:val="center"/>
          </w:tcPr>
          <w:p w:rsidR="009627AC" w:rsidRPr="00667EBF" w:rsidRDefault="00B01D0A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Age ≥</w:t>
            </w:r>
            <w:r w:rsidR="00AF34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40 years</w:t>
            </w:r>
          </w:p>
        </w:tc>
        <w:bookmarkStart w:id="0" w:name="_GoBack"/>
        <w:bookmarkEnd w:id="0"/>
      </w:tr>
      <w:tr w:rsidR="009627AC" w:rsidRPr="00667EBF" w:rsidTr="009627AC">
        <w:tc>
          <w:tcPr>
            <w:tcW w:w="9224" w:type="dxa"/>
            <w:tcBorders>
              <w:top w:val="nil"/>
              <w:bottom w:val="single" w:sz="4" w:space="0" w:color="auto"/>
            </w:tcBorders>
            <w:vAlign w:val="center"/>
          </w:tcPr>
          <w:p w:rsidR="009627AC" w:rsidRPr="00667EBF" w:rsidRDefault="00B01D0A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IPF satisfying the ATS/ERS/JRS/ALAT </w:t>
            </w:r>
            <w:r w:rsidR="00A86881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diagnostic criteria for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IPF </w:t>
            </w:r>
            <w:r w:rsidR="00A86881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(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2011</w:t>
            </w:r>
            <w:r w:rsidR="00A86881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)</w:t>
            </w:r>
          </w:p>
        </w:tc>
      </w:tr>
      <w:tr w:rsidR="009627AC" w:rsidRPr="00667EBF" w:rsidTr="009627AC"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7AC" w:rsidRPr="00667EBF" w:rsidRDefault="00B01D0A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/>
                <w:bCs/>
                <w:color w:val="000D19"/>
                <w:kern w:val="24"/>
                <w:sz w:val="22"/>
              </w:rPr>
              <w:t>Exclusion criteria</w:t>
            </w:r>
          </w:p>
        </w:tc>
      </w:tr>
      <w:tr w:rsidR="009627AC" w:rsidRPr="00667EBF" w:rsidTr="009627AC">
        <w:tc>
          <w:tcPr>
            <w:tcW w:w="9224" w:type="dxa"/>
            <w:tcBorders>
              <w:top w:val="single" w:sz="4" w:space="0" w:color="auto"/>
            </w:tcBorders>
            <w:vAlign w:val="center"/>
          </w:tcPr>
          <w:p w:rsidR="009627AC" w:rsidRPr="00667EBF" w:rsidRDefault="009627AC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631B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AST,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ALT &gt;</w:t>
            </w:r>
            <w:r w:rsidR="00AF34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1</w:t>
            </w:r>
            <w:r w:rsidR="004906D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.5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sym w:font="Symbol" w:char="F0B4"/>
            </w:r>
            <w:r w:rsidR="004906D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upper limit of normal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Total bilirubin &gt;</w:t>
            </w:r>
            <w:r w:rsidR="00AF34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1.5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sym w:font="Symbol" w:char="F0B4"/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4906D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upper limit of normal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Condition</w:t>
            </w:r>
            <w:r w:rsidR="00AF34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s with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increased bleeding risk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1. Taking anticoagulation therapy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2. INR &gt;</w:t>
            </w:r>
            <w:r w:rsidR="00AF3455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2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3.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Intracranial </w:t>
            </w:r>
            <w:proofErr w:type="spellStart"/>
            <w:r w:rsidR="0001378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haemorrhage</w:t>
            </w:r>
            <w:proofErr w:type="spellEnd"/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, </w:t>
            </w:r>
            <w:r w:rsidR="00B01D0A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stroke and transient cerebral infarction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in 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the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past 12 months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 w:rsidP="00090A7F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4. </w:t>
            </w:r>
            <w:proofErr w:type="spellStart"/>
            <w:r w:rsidR="0001378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Haemoptysis</w:t>
            </w:r>
            <w:proofErr w:type="spellEnd"/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, </w:t>
            </w:r>
            <w:proofErr w:type="spellStart"/>
            <w:r w:rsidR="0001378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haematuria</w:t>
            </w:r>
            <w:proofErr w:type="spellEnd"/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, active gastrointestinal bleeding or ulcer in 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the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past 3 months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5. Congenital coagulopathy</w:t>
            </w:r>
          </w:p>
        </w:tc>
      </w:tr>
      <w:tr w:rsidR="009627AC" w:rsidRPr="00667EBF" w:rsidTr="009627AC">
        <w:tc>
          <w:tcPr>
            <w:tcW w:w="9224" w:type="dxa"/>
            <w:vAlign w:val="center"/>
          </w:tcPr>
          <w:p w:rsidR="009627AC" w:rsidRPr="00667EBF" w:rsidRDefault="009627AC">
            <w:pPr>
              <w:widowControl/>
              <w:wordWrap/>
              <w:autoSpaceDE/>
              <w:autoSpaceDN/>
              <w:spacing w:after="160" w:line="480" w:lineRule="auto"/>
              <w:rPr>
                <w:rFonts w:ascii="Times New Roman" w:eastAsia="바탕체" w:hAnsi="Times New Roman" w:cs="Times New Roman"/>
                <w:b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6.</w:t>
            </w:r>
            <w:r w:rsidR="00B01D0A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History of thrombosis in the past 12 months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9627AC" w:rsidP="00871ABF">
            <w:pPr>
              <w:widowControl/>
              <w:wordWrap/>
              <w:autoSpaceDE/>
              <w:autoSpaceDN/>
              <w:spacing w:line="480" w:lineRule="auto"/>
              <w:ind w:firstLineChars="50" w:firstLine="110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Plan for lung transplantation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6D15F3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or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major abdominal surgery </w:t>
            </w:r>
            <w:r w:rsidR="00871ABF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with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in </w:t>
            </w:r>
            <w:r w:rsidR="00AA74D4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the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next 3 months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B01D0A">
            <w:pPr>
              <w:widowControl/>
              <w:wordWrap/>
              <w:autoSpaceDE/>
              <w:autoSpaceDN/>
              <w:spacing w:line="480" w:lineRule="auto"/>
              <w:ind w:firstLineChars="50" w:firstLine="110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Heart disease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B01D0A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1. Acute myocardia</w:t>
            </w:r>
            <w:r w:rsidR="004406D0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l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infarction in the past 6 months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B01D0A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   2. Unstable angina in the past 1 month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B01D0A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Concurrent use of investigational drugs</w:t>
            </w:r>
          </w:p>
        </w:tc>
      </w:tr>
      <w:tr w:rsidR="009627AC" w:rsidRPr="00667EBF" w:rsidTr="00886968">
        <w:tc>
          <w:tcPr>
            <w:tcW w:w="9224" w:type="dxa"/>
          </w:tcPr>
          <w:p w:rsidR="009627AC" w:rsidRPr="00667EBF" w:rsidRDefault="00B01D0A" w:rsidP="00090A7F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Concurrent use of high-dose prednisolone, other antifibrotic agents </w:t>
            </w:r>
            <w:r w:rsidR="006D15F3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or</w:t>
            </w:r>
            <w:r w:rsidR="003675BC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immunosuppressants</w:t>
            </w:r>
          </w:p>
        </w:tc>
      </w:tr>
      <w:tr w:rsidR="009627AC" w:rsidRPr="00667EBF" w:rsidTr="00886968">
        <w:tc>
          <w:tcPr>
            <w:tcW w:w="9224" w:type="dxa"/>
          </w:tcPr>
          <w:p w:rsidR="0014555A" w:rsidRPr="00667EBF" w:rsidRDefault="00B01D0A" w:rsidP="00564F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Pregnan</w:t>
            </w:r>
            <w:r w:rsidR="00564FE7"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cy</w:t>
            </w:r>
            <w:r w:rsidRPr="00667EB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 xml:space="preserve"> or breastfeeding</w:t>
            </w:r>
          </w:p>
        </w:tc>
      </w:tr>
    </w:tbl>
    <w:p w:rsidR="0014555A" w:rsidRPr="00667EBF" w:rsidRDefault="00B01D0A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667EBF">
        <w:rPr>
          <w:rFonts w:ascii="Times New Roman" w:eastAsia="바탕체" w:hAnsi="Times New Roman" w:cs="Times New Roman"/>
          <w:bCs/>
          <w:sz w:val="22"/>
        </w:rPr>
        <w:t xml:space="preserve">IPF, idiopathic pulmonary fibrosis; ATS, </w:t>
      </w:r>
      <w:r w:rsidRPr="00667EBF">
        <w:rPr>
          <w:rFonts w:ascii="Times New Roman" w:eastAsia="바탕"/>
          <w:sz w:val="22"/>
        </w:rPr>
        <w:t xml:space="preserve">American Thoracic Society; ERS, European Respiratory Society; JRS, Japanese Respiratory Society; ALAT, Latin American Thoracic Association; </w:t>
      </w:r>
      <w:r w:rsidR="00631B55" w:rsidRPr="00667EBF">
        <w:rPr>
          <w:rFonts w:ascii="Times New Roman" w:eastAsia="바탕"/>
          <w:sz w:val="22"/>
        </w:rPr>
        <w:t xml:space="preserve">AST, </w:t>
      </w:r>
      <w:r w:rsidR="00631B55" w:rsidRPr="00667EBF">
        <w:rPr>
          <w:rFonts w:ascii="Times New Roman" w:eastAsia="바탕"/>
          <w:sz w:val="22"/>
        </w:rPr>
        <w:lastRenderedPageBreak/>
        <w:t xml:space="preserve">aspartate aminotransferase; </w:t>
      </w:r>
      <w:r w:rsidRPr="00667EBF">
        <w:rPr>
          <w:rFonts w:ascii="Times New Roman" w:eastAsia="바탕"/>
          <w:sz w:val="22"/>
        </w:rPr>
        <w:t xml:space="preserve">ALT, alanine aminotransferase; INR, international </w:t>
      </w:r>
      <w:proofErr w:type="spellStart"/>
      <w:r w:rsidRPr="00667EBF">
        <w:rPr>
          <w:rFonts w:ascii="Times New Roman" w:eastAsia="바탕"/>
          <w:sz w:val="22"/>
        </w:rPr>
        <w:t>normali</w:t>
      </w:r>
      <w:r w:rsidR="00906C8C" w:rsidRPr="00667EBF">
        <w:rPr>
          <w:rFonts w:ascii="Times New Roman" w:eastAsia="바탕"/>
          <w:sz w:val="22"/>
        </w:rPr>
        <w:t>s</w:t>
      </w:r>
      <w:r w:rsidRPr="00667EBF">
        <w:rPr>
          <w:rFonts w:ascii="Times New Roman" w:eastAsia="바탕"/>
          <w:sz w:val="22"/>
        </w:rPr>
        <w:t>ed</w:t>
      </w:r>
      <w:proofErr w:type="spellEnd"/>
      <w:r w:rsidRPr="00667EBF">
        <w:rPr>
          <w:rFonts w:ascii="Times New Roman" w:eastAsia="바탕"/>
          <w:sz w:val="22"/>
        </w:rPr>
        <w:t xml:space="preserve"> ratio.</w:t>
      </w:r>
    </w:p>
    <w:p w:rsidR="007163C0" w:rsidRPr="00667EBF" w:rsidRDefault="002760A7">
      <w:pPr>
        <w:wordWrap/>
        <w:autoSpaceDE/>
        <w:autoSpaceDN/>
        <w:spacing w:after="0" w:line="480" w:lineRule="auto"/>
        <w:contextualSpacing/>
        <w:rPr>
          <w:rFonts w:ascii="Times New Roman" w:eastAsia="바탕체" w:hAnsi="Times New Roman" w:cs="Times New Roman"/>
          <w:b/>
          <w:bCs/>
          <w:sz w:val="22"/>
        </w:rPr>
      </w:pPr>
      <w:r w:rsidRPr="00667EBF">
        <w:rPr>
          <w:rFonts w:ascii="Times New Roman" w:eastAsia="바탕체" w:hAnsi="Times New Roman" w:cs="Times New Roman"/>
          <w:b/>
          <w:bCs/>
          <w:sz w:val="22"/>
        </w:rPr>
        <w:br w:type="page"/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lastRenderedPageBreak/>
        <w:t>Table</w:t>
      </w:r>
      <w:r w:rsidR="001D2E7D" w:rsidRPr="00667EBF">
        <w:rPr>
          <w:rFonts w:ascii="Times New Roman" w:eastAsia="바탕체" w:hAnsi="Times New Roman" w:cs="Times New Roman"/>
          <w:b/>
          <w:bCs/>
          <w:sz w:val="22"/>
        </w:rPr>
        <w:t xml:space="preserve"> S</w:t>
      </w:r>
      <w:r w:rsidR="003B3722" w:rsidRPr="00667EBF">
        <w:rPr>
          <w:rFonts w:ascii="Times New Roman" w:eastAsia="바탕체" w:hAnsi="Times New Roman" w:cs="Times New Roman"/>
          <w:b/>
          <w:bCs/>
          <w:sz w:val="22"/>
        </w:rPr>
        <w:t>2</w:t>
      </w:r>
      <w:r w:rsidR="007F59DE" w:rsidRPr="00667EBF">
        <w:rPr>
          <w:rFonts w:ascii="Times New Roman" w:eastAsia="바탕체" w:hAnsi="Times New Roman" w:cs="Times New Roman"/>
          <w:b/>
          <w:bCs/>
          <w:sz w:val="22"/>
        </w:rPr>
        <w:t>.</w:t>
      </w:r>
      <w:r w:rsidR="00B01D0A" w:rsidRPr="00667EBF">
        <w:rPr>
          <w:rFonts w:ascii="Times New Roman" w:eastAsia="바탕체" w:hAnsi="Times New Roman" w:cs="Times New Roman"/>
          <w:bCs/>
          <w:sz w:val="22"/>
        </w:rPr>
        <w:t xml:space="preserve"> 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>Odds ratios for the development of adverse events</w:t>
      </w:r>
      <w:r w:rsidR="00877DE2" w:rsidRPr="00667EBF">
        <w:rPr>
          <w:rFonts w:ascii="Times New Roman" w:eastAsia="바탕체" w:hAnsi="Times New Roman" w:cs="Times New Roman"/>
          <w:b/>
          <w:bCs/>
          <w:sz w:val="22"/>
        </w:rPr>
        <w:t xml:space="preserve">, 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 xml:space="preserve">adjusted </w:t>
      </w:r>
      <w:r w:rsidR="00906C8C" w:rsidRPr="00667EBF">
        <w:rPr>
          <w:rFonts w:ascii="Times New Roman" w:eastAsia="바탕체" w:hAnsi="Times New Roman" w:cs="Times New Roman"/>
          <w:b/>
          <w:bCs/>
          <w:sz w:val="22"/>
        </w:rPr>
        <w:t xml:space="preserve">for 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>treatment duration</w:t>
      </w:r>
      <w:r w:rsidR="00877DE2" w:rsidRPr="00667EBF">
        <w:rPr>
          <w:rFonts w:ascii="Times New Roman" w:eastAsia="바탕체" w:hAnsi="Times New Roman" w:cs="Times New Roman"/>
          <w:b/>
          <w:bCs/>
          <w:sz w:val="22"/>
        </w:rPr>
        <w:t>,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 xml:space="preserve"> in the advanced group compar</w:t>
      </w:r>
      <w:r w:rsidR="00877DE2" w:rsidRPr="00667EBF">
        <w:rPr>
          <w:rFonts w:ascii="Times New Roman" w:eastAsia="바탕체" w:hAnsi="Times New Roman" w:cs="Times New Roman"/>
          <w:b/>
          <w:bCs/>
          <w:sz w:val="22"/>
        </w:rPr>
        <w:t>ed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 xml:space="preserve"> </w:t>
      </w:r>
      <w:r w:rsidR="00090A7F" w:rsidRPr="00667EBF">
        <w:rPr>
          <w:rFonts w:ascii="Times New Roman" w:eastAsia="바탕체" w:hAnsi="Times New Roman" w:cs="Times New Roman"/>
          <w:b/>
          <w:bCs/>
          <w:sz w:val="22"/>
        </w:rPr>
        <w:t>with</w:t>
      </w:r>
      <w:r w:rsidR="00906C8C" w:rsidRPr="00667EBF">
        <w:rPr>
          <w:rFonts w:ascii="Times New Roman" w:eastAsia="바탕체" w:hAnsi="Times New Roman" w:cs="Times New Roman"/>
          <w:b/>
          <w:bCs/>
          <w:sz w:val="22"/>
        </w:rPr>
        <w:t xml:space="preserve"> </w:t>
      </w:r>
      <w:r w:rsidR="00B01D0A" w:rsidRPr="00667EBF">
        <w:rPr>
          <w:rFonts w:ascii="Times New Roman" w:eastAsia="바탕체" w:hAnsi="Times New Roman" w:cs="Times New Roman"/>
          <w:b/>
          <w:bCs/>
          <w:sz w:val="22"/>
        </w:rPr>
        <w:t>the non-advanced idiopathic pulmonary fibrosis group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050"/>
        <w:gridCol w:w="2622"/>
        <w:gridCol w:w="1134"/>
      </w:tblGrid>
      <w:tr w:rsidR="000F0A75" w:rsidRPr="00667EBF" w:rsidTr="008E2D51">
        <w:trPr>
          <w:trHeight w:val="944"/>
        </w:trPr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A75" w:rsidRPr="00667EBF" w:rsidRDefault="00B01D0A" w:rsidP="00DA66F0">
            <w:pPr>
              <w:wordWrap/>
              <w:spacing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Characteristic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A75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OR</w:t>
            </w:r>
            <w:r w:rsidRPr="00667EBF">
              <w:rPr>
                <w:rFonts w:ascii="Times New Roman" w:eastAsia="굴림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A75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A75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p-value</w:t>
            </w:r>
          </w:p>
        </w:tc>
      </w:tr>
      <w:tr w:rsidR="007F2514" w:rsidRPr="00667EBF" w:rsidTr="008E2D5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Adverse events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1.460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0.123–17.292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0.764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proofErr w:type="spellStart"/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Diarrhoea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0.605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0.257–1.425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0.250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Anorexia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1.919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0.826–4.459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0.130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Nausea/vomiting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2.105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0.768–5.769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0.148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Dyspepsia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0.669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0.287–1.557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0.351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Cough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1.156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0.392–3.409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0.793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proofErr w:type="spellStart"/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Dyspnoea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2.459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0.694–8.720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0.164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Weight loss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1.692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0.505–5.664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0.394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General weakness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1.843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0.516–6.578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0.346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Upper respiratory infection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0.728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0.182–2.903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0.652</w:t>
            </w:r>
          </w:p>
        </w:tc>
      </w:tr>
      <w:tr w:rsidR="007F2514" w:rsidRPr="00667EBF" w:rsidTr="00804FA8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sz w:val="22"/>
              </w:rPr>
              <w:t>Hepatotoxicity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2.400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0.568–10.142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0.234</w:t>
            </w:r>
          </w:p>
        </w:tc>
      </w:tr>
    </w:tbl>
    <w:p w:rsidR="000F0A75" w:rsidRPr="00667EBF" w:rsidRDefault="00B01D0A">
      <w:pPr>
        <w:wordWrap/>
        <w:autoSpaceDE/>
        <w:autoSpaceDN/>
        <w:spacing w:after="0" w:line="480" w:lineRule="auto"/>
        <w:contextualSpacing/>
        <w:rPr>
          <w:rFonts w:ascii="Times New Roman" w:eastAsia="바탕체" w:hAnsi="Times New Roman" w:cs="Times New Roman"/>
          <w:color w:val="000000"/>
          <w:sz w:val="22"/>
        </w:rPr>
      </w:pPr>
      <w:r w:rsidRPr="00667EBF">
        <w:rPr>
          <w:rFonts w:ascii="Times New Roman" w:eastAsia="바탕체" w:hAnsi="Times New Roman" w:cs="Times New Roman"/>
          <w:color w:val="000000"/>
          <w:sz w:val="22"/>
        </w:rPr>
        <w:t>OR, odds ratio; CI, confidence interval.</w:t>
      </w:r>
    </w:p>
    <w:p w:rsidR="000F0A75" w:rsidRPr="00667EBF" w:rsidRDefault="00B01D0A">
      <w:pPr>
        <w:wordWrap/>
        <w:autoSpaceDE/>
        <w:autoSpaceDN/>
        <w:spacing w:after="0" w:line="480" w:lineRule="auto"/>
        <w:contextualSpacing/>
        <w:rPr>
          <w:rFonts w:ascii="Times New Roman" w:eastAsia="바탕체" w:hAnsi="Times New Roman" w:cs="Times New Roman"/>
          <w:color w:val="000000"/>
          <w:sz w:val="22"/>
        </w:rPr>
      </w:pPr>
      <w:r w:rsidRPr="00667EBF">
        <w:rPr>
          <w:rFonts w:ascii="Times New Roman" w:eastAsia="굴림" w:hAnsi="Times New Roman" w:cs="Times New Roman"/>
          <w:kern w:val="0"/>
          <w:sz w:val="22"/>
        </w:rPr>
        <w:t>*</w:t>
      </w:r>
      <w:r w:rsidR="00090A7F" w:rsidRPr="00667EBF">
        <w:rPr>
          <w:rFonts w:ascii="Times New Roman" w:eastAsia="굴림" w:hAnsi="Times New Roman" w:cs="Times New Roman"/>
          <w:kern w:val="0"/>
          <w:sz w:val="22"/>
        </w:rPr>
        <w:t xml:space="preserve"> </w:t>
      </w:r>
      <w:r w:rsidRPr="00667EBF">
        <w:rPr>
          <w:rFonts w:ascii="Times New Roman" w:eastAsia="바탕체" w:hAnsi="Times New Roman" w:cs="Times New Roman"/>
          <w:color w:val="000000"/>
          <w:sz w:val="22"/>
        </w:rPr>
        <w:t>Compared with the non-advanced group.</w:t>
      </w:r>
    </w:p>
    <w:p w:rsidR="000F0A75" w:rsidRPr="00667EBF" w:rsidRDefault="000F0A75">
      <w:pPr>
        <w:wordWrap/>
        <w:spacing w:line="480" w:lineRule="auto"/>
      </w:pPr>
    </w:p>
    <w:p w:rsidR="000F0A75" w:rsidRPr="00667EBF" w:rsidRDefault="00B01D0A">
      <w:pPr>
        <w:widowControl/>
        <w:wordWrap/>
        <w:autoSpaceDE/>
        <w:autoSpaceDN/>
        <w:spacing w:line="480" w:lineRule="auto"/>
      </w:pPr>
      <w:r w:rsidRPr="00667EBF">
        <w:br w:type="page"/>
      </w:r>
    </w:p>
    <w:p w:rsidR="00E052E0" w:rsidRPr="00667EBF" w:rsidRDefault="00E052E0">
      <w:pPr>
        <w:wordWrap/>
        <w:spacing w:line="480" w:lineRule="auto"/>
        <w:rPr>
          <w:b/>
        </w:rPr>
      </w:pPr>
      <w:r w:rsidRPr="00667EBF">
        <w:rPr>
          <w:rFonts w:ascii="Times New Roman" w:eastAsia="바탕체" w:hAnsi="Times New Roman" w:cs="Times New Roman"/>
          <w:b/>
          <w:bCs/>
          <w:sz w:val="22"/>
        </w:rPr>
        <w:lastRenderedPageBreak/>
        <w:t xml:space="preserve">Table </w:t>
      </w:r>
      <w:r w:rsidR="001D2E7D" w:rsidRPr="00667EBF">
        <w:rPr>
          <w:rFonts w:ascii="Times New Roman" w:eastAsia="바탕체" w:hAnsi="Times New Roman" w:cs="Times New Roman"/>
          <w:b/>
          <w:bCs/>
          <w:sz w:val="22"/>
        </w:rPr>
        <w:t>S</w:t>
      </w:r>
      <w:r w:rsidR="003B3722" w:rsidRPr="00667EBF">
        <w:rPr>
          <w:rFonts w:ascii="Times New Roman" w:eastAsia="바탕체" w:hAnsi="Times New Roman" w:cs="Times New Roman"/>
          <w:b/>
          <w:bCs/>
          <w:sz w:val="22"/>
        </w:rPr>
        <w:t>3</w:t>
      </w:r>
      <w:r w:rsidRPr="00667EBF">
        <w:rPr>
          <w:rFonts w:ascii="Times New Roman" w:eastAsia="바탕체" w:hAnsi="Times New Roman" w:cs="Times New Roman"/>
          <w:b/>
          <w:bCs/>
          <w:sz w:val="22"/>
        </w:rPr>
        <w:t>. Comparison of time</w:t>
      </w:r>
      <w:r w:rsidR="006F6597" w:rsidRPr="00667EBF">
        <w:rPr>
          <w:rFonts w:ascii="Times New Roman" w:eastAsia="바탕체" w:hAnsi="Times New Roman" w:cs="Times New Roman"/>
          <w:b/>
          <w:bCs/>
          <w:sz w:val="22"/>
        </w:rPr>
        <w:t>-</w:t>
      </w:r>
      <w:r w:rsidRPr="00667EBF">
        <w:rPr>
          <w:rFonts w:ascii="Times New Roman" w:eastAsia="바탕체" w:hAnsi="Times New Roman" w:cs="Times New Roman"/>
          <w:b/>
          <w:bCs/>
          <w:sz w:val="22"/>
        </w:rPr>
        <w:t>to</w:t>
      </w:r>
      <w:r w:rsidR="006F6597" w:rsidRPr="00667EBF">
        <w:rPr>
          <w:rFonts w:ascii="Times New Roman" w:eastAsia="바탕체" w:hAnsi="Times New Roman" w:cs="Times New Roman"/>
          <w:b/>
          <w:bCs/>
          <w:sz w:val="22"/>
        </w:rPr>
        <w:t>-</w:t>
      </w:r>
      <w:r w:rsidRPr="00667EBF">
        <w:rPr>
          <w:rFonts w:ascii="Times New Roman" w:eastAsia="바탕체" w:hAnsi="Times New Roman" w:cs="Times New Roman"/>
          <w:b/>
          <w:bCs/>
          <w:sz w:val="22"/>
        </w:rPr>
        <w:t>occurrence of adverse events between the advanced and non-advanced idiopathic pulmonary fibrosis groups</w:t>
      </w:r>
    </w:p>
    <w:tbl>
      <w:tblPr>
        <w:tblW w:w="4953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1"/>
        <w:gridCol w:w="1982"/>
        <w:gridCol w:w="1982"/>
        <w:gridCol w:w="1988"/>
        <w:gridCol w:w="708"/>
      </w:tblGrid>
      <w:tr w:rsidR="00E052E0" w:rsidRPr="00667EBF" w:rsidTr="00CD59B2">
        <w:trPr>
          <w:trHeight w:val="734"/>
        </w:trPr>
        <w:tc>
          <w:tcPr>
            <w:tcW w:w="126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E052E0" w:rsidRPr="00667EBF" w:rsidRDefault="00E052E0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Characteristic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E052E0" w:rsidRPr="00667EBF" w:rsidRDefault="00E052E0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Total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E052E0" w:rsidRPr="00667EBF" w:rsidRDefault="00E052E0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Advanced</w:t>
            </w:r>
          </w:p>
        </w:tc>
        <w:tc>
          <w:tcPr>
            <w:tcW w:w="111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E052E0" w:rsidRPr="00667EBF" w:rsidRDefault="00E052E0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Non-advanced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:rsidR="00E052E0" w:rsidRPr="00667EBF" w:rsidRDefault="00E052E0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p-value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Adverse events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4.3 [1.6–11.7]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3.9 [ 0.4–8.2]</w:t>
            </w:r>
          </w:p>
        </w:tc>
        <w:tc>
          <w:tcPr>
            <w:tcW w:w="111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4.9 [3.0–15.0]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0.373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proofErr w:type="spellStart"/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Diarrhoea</w:t>
            </w:r>
            <w:proofErr w:type="spellEnd"/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13.9 [4.5–23.5]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8.6 [2.9–20.1]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15.0 [5.2–27.1]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0.053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Anorexia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10.0 [4.3–33.9]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5.0 [2.0–13.6]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17.6 [7.2–43.0]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0.042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Nausea/vomiting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4.1 [0.0–14.0]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3.4 [0.0–14.0]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4.3 [3.7–31.1]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0.296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Dyspepsia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9.1 [3.7–25.6]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5.5 [0.4–25.7]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11.9 [5.6–22.4]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0.749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Cough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16.7 [0.0–40.3]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2.1 [0.0–11.5]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30.0 [10.7–48.6]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0.081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proofErr w:type="spellStart"/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>Dyspnoea</w:t>
            </w:r>
            <w:proofErr w:type="spellEnd"/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16.0 [6.2–20.6]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10.6 [4.9–18.3]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19.9 [18.4–21.8]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0.303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Weight loss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23.0 [16.0–55.7]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15.7 [10.1–32.9]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37.7 [20.0–56.1]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0.299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 xml:space="preserve"> General weakness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10.0 [2.5–24.8]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4.0 [0.0–16.3]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16.0 [15.0–39.3]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0.391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URI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27.3 [10.3–53.6]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19.3 [8.5–31.5]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52.0 [10.4–58.8]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0.332</w:t>
            </w:r>
          </w:p>
        </w:tc>
      </w:tr>
      <w:tr w:rsidR="007F2514" w:rsidRPr="00667EBF" w:rsidTr="00CD59B2">
        <w:trPr>
          <w:trHeight w:val="394"/>
        </w:trPr>
        <w:tc>
          <w:tcPr>
            <w:tcW w:w="1267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r w:rsidRPr="00667EBF">
              <w:rPr>
                <w:rFonts w:ascii="Times New Roman" w:eastAsia="맑은 고딕" w:hAnsi="Times New Roman" w:cs="Times New Roman"/>
                <w:sz w:val="22"/>
              </w:rPr>
              <w:t>Hepatotoxicity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2.1 [0.9–128.1]</w:t>
            </w:r>
          </w:p>
        </w:tc>
        <w:tc>
          <w:tcPr>
            <w:tcW w:w="1111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3.2 [1.0–8.6]</w:t>
            </w:r>
          </w:p>
        </w:tc>
        <w:tc>
          <w:tcPr>
            <w:tcW w:w="1114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224" w:type="dxa"/>
              <w:bottom w:w="54" w:type="dxa"/>
              <w:right w:w="224" w:type="dxa"/>
            </w:tcMar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2.1 [0.9–128.1]</w:t>
            </w:r>
          </w:p>
        </w:tc>
        <w:tc>
          <w:tcPr>
            <w:tcW w:w="397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0.450</w:t>
            </w:r>
          </w:p>
        </w:tc>
      </w:tr>
    </w:tbl>
    <w:p w:rsidR="00E052E0" w:rsidRPr="00667EBF" w:rsidRDefault="00E052E0">
      <w:pPr>
        <w:wordWrap/>
        <w:autoSpaceDE/>
        <w:autoSpaceDN/>
        <w:spacing w:after="0" w:line="480" w:lineRule="auto"/>
        <w:contextualSpacing/>
        <w:rPr>
          <w:rFonts w:ascii="Times New Roman" w:eastAsia="맑은 고딕" w:hAnsi="Times New Roman" w:cs="Times New Roman"/>
          <w:sz w:val="22"/>
        </w:rPr>
      </w:pPr>
      <w:r w:rsidRPr="00667EBF">
        <w:rPr>
          <w:rFonts w:ascii="Times New Roman" w:eastAsia="바탕체" w:hAnsi="Times New Roman" w:cs="Times New Roman"/>
          <w:sz w:val="22"/>
        </w:rPr>
        <w:t>Data are presented as median [</w:t>
      </w:r>
      <w:r w:rsidR="00090A7F" w:rsidRPr="00667EBF">
        <w:rPr>
          <w:rFonts w:ascii="Times New Roman" w:eastAsia="바탕체" w:hAnsi="Times New Roman" w:cs="Times New Roman"/>
          <w:sz w:val="22"/>
        </w:rPr>
        <w:t>i</w:t>
      </w:r>
      <w:r w:rsidR="003C3D94" w:rsidRPr="00667EBF">
        <w:rPr>
          <w:rFonts w:ascii="Times New Roman" w:eastAsia="바탕체" w:hAnsi="Times New Roman" w:cs="Times New Roman"/>
          <w:sz w:val="22"/>
        </w:rPr>
        <w:t>nterquartile range</w:t>
      </w:r>
      <w:r w:rsidR="00CA6031" w:rsidRPr="00667EBF">
        <w:rPr>
          <w:rFonts w:ascii="Times New Roman" w:eastAsia="바탕체" w:hAnsi="Times New Roman" w:cs="Times New Roman" w:hint="eastAsia"/>
          <w:sz w:val="22"/>
        </w:rPr>
        <w:t xml:space="preserve">, </w:t>
      </w:r>
      <w:r w:rsidRPr="00667EBF">
        <w:rPr>
          <w:rFonts w:ascii="Times New Roman" w:eastAsia="바탕체" w:hAnsi="Times New Roman" w:cs="Times New Roman"/>
          <w:sz w:val="22"/>
        </w:rPr>
        <w:t>weeks</w:t>
      </w:r>
      <w:r w:rsidR="00CA6031" w:rsidRPr="00667EBF">
        <w:rPr>
          <w:rFonts w:ascii="Times New Roman" w:eastAsia="바탕체" w:hAnsi="Times New Roman" w:cs="Times New Roman" w:hint="eastAsia"/>
          <w:sz w:val="22"/>
        </w:rPr>
        <w:t>]</w:t>
      </w:r>
      <w:r w:rsidRPr="00667EBF">
        <w:rPr>
          <w:rFonts w:ascii="Times New Roman" w:eastAsia="바탕체" w:hAnsi="Times New Roman" w:cs="Times New Roman"/>
          <w:sz w:val="22"/>
        </w:rPr>
        <w:t>, unless otherwise indicated.</w:t>
      </w:r>
    </w:p>
    <w:p w:rsidR="00E052E0" w:rsidRPr="00667EBF" w:rsidRDefault="00E052E0">
      <w:pPr>
        <w:wordWrap/>
        <w:autoSpaceDE/>
        <w:autoSpaceDN/>
        <w:spacing w:after="0" w:line="480" w:lineRule="auto"/>
        <w:contextualSpacing/>
        <w:rPr>
          <w:rFonts w:ascii="Times New Roman" w:eastAsia="맑은 고딕" w:hAnsi="Times New Roman" w:cs="Times New Roman"/>
          <w:sz w:val="22"/>
        </w:rPr>
      </w:pPr>
      <w:r w:rsidRPr="00667EBF">
        <w:rPr>
          <w:rFonts w:ascii="Times New Roman" w:eastAsia="맑은 고딕" w:hAnsi="Times New Roman" w:cs="Times New Roman"/>
          <w:sz w:val="22"/>
        </w:rPr>
        <w:t>URI, upper respiratory infection.</w:t>
      </w:r>
      <w:r w:rsidR="002B4796" w:rsidRPr="00667EBF">
        <w:rPr>
          <w:rFonts w:ascii="Times New Roman" w:eastAsia="맑은 고딕" w:hAnsi="Times New Roman" w:cs="Times New Roman"/>
          <w:sz w:val="22"/>
        </w:rPr>
        <w:t xml:space="preserve"> </w:t>
      </w:r>
    </w:p>
    <w:p w:rsidR="00E052E0" w:rsidRPr="00667EBF" w:rsidRDefault="00E052E0">
      <w:pPr>
        <w:wordWrap/>
        <w:autoSpaceDE/>
        <w:autoSpaceDN/>
        <w:spacing w:after="0" w:line="480" w:lineRule="auto"/>
        <w:contextualSpacing/>
        <w:rPr>
          <w:rFonts w:ascii="Times New Roman" w:eastAsia="맑은 고딕" w:hAnsi="Times New Roman" w:cs="Times New Roman"/>
          <w:sz w:val="22"/>
        </w:rPr>
      </w:pPr>
    </w:p>
    <w:p w:rsidR="0014555A" w:rsidRPr="00667EBF" w:rsidRDefault="00E052E0">
      <w:pPr>
        <w:widowControl/>
        <w:wordWrap/>
        <w:autoSpaceDE/>
        <w:autoSpaceDN/>
        <w:spacing w:line="480" w:lineRule="auto"/>
        <w:rPr>
          <w:rFonts w:ascii="Times New Roman" w:eastAsia="바탕체" w:hAnsi="Times New Roman" w:cs="Times New Roman"/>
          <w:b/>
          <w:bCs/>
          <w:sz w:val="22"/>
        </w:rPr>
      </w:pPr>
      <w:r w:rsidRPr="00667EBF">
        <w:br w:type="page"/>
      </w:r>
    </w:p>
    <w:p w:rsidR="002E00CC" w:rsidRPr="00667EBF" w:rsidRDefault="00B01D0A">
      <w:pPr>
        <w:pStyle w:val="aa"/>
        <w:rPr>
          <w:b w:val="0"/>
          <w:bCs w:val="0"/>
        </w:rPr>
      </w:pPr>
      <w:r w:rsidRPr="00667EBF">
        <w:lastRenderedPageBreak/>
        <w:t xml:space="preserve">Table </w:t>
      </w:r>
      <w:r w:rsidR="001D2E7D" w:rsidRPr="00667EBF">
        <w:t>S</w:t>
      </w:r>
      <w:r w:rsidR="003B3722" w:rsidRPr="00667EBF">
        <w:t>4.</w:t>
      </w:r>
      <w:r w:rsidRPr="00667EBF">
        <w:t xml:space="preserve"> Odds ratios for the development of serious adverse events</w:t>
      </w:r>
      <w:r w:rsidR="006F6597" w:rsidRPr="00667EBF">
        <w:t xml:space="preserve">, </w:t>
      </w:r>
      <w:r w:rsidRPr="00667EBF">
        <w:t xml:space="preserve">adjusted </w:t>
      </w:r>
      <w:r w:rsidR="006F6597" w:rsidRPr="00667EBF">
        <w:t xml:space="preserve">for </w:t>
      </w:r>
      <w:r w:rsidRPr="00667EBF">
        <w:t>treatment duration</w:t>
      </w:r>
      <w:r w:rsidR="006F6597" w:rsidRPr="00667EBF">
        <w:t>,</w:t>
      </w:r>
      <w:r w:rsidRPr="00667EBF">
        <w:t xml:space="preserve"> in the advanced group compar</w:t>
      </w:r>
      <w:r w:rsidR="006F6597" w:rsidRPr="00667EBF">
        <w:t>ed</w:t>
      </w:r>
      <w:r w:rsidRPr="00667EBF">
        <w:t xml:space="preserve"> </w:t>
      </w:r>
      <w:r w:rsidR="00090A7F" w:rsidRPr="00667EBF">
        <w:t>with</w:t>
      </w:r>
      <w:r w:rsidR="006F6597" w:rsidRPr="00667EBF">
        <w:t xml:space="preserve"> </w:t>
      </w:r>
      <w:r w:rsidRPr="00667EBF">
        <w:t>the non-advanced idiopathic pulmonary fibrosis group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050"/>
        <w:gridCol w:w="2622"/>
        <w:gridCol w:w="1134"/>
      </w:tblGrid>
      <w:tr w:rsidR="00B56F0B" w:rsidRPr="00667EBF" w:rsidTr="00016DAF">
        <w:trPr>
          <w:trHeight w:val="944"/>
        </w:trPr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F0B" w:rsidRPr="00667EBF" w:rsidRDefault="00B01D0A" w:rsidP="00540544">
            <w:pPr>
              <w:wordWrap/>
              <w:spacing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Characteristic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F0B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OR</w:t>
            </w:r>
            <w:r w:rsidRPr="00667EBF">
              <w:rPr>
                <w:rFonts w:ascii="Times New Roman" w:eastAsia="굴림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F0B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F0B" w:rsidRPr="00667EBF" w:rsidRDefault="00B01D0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p-value</w:t>
            </w:r>
          </w:p>
        </w:tc>
      </w:tr>
      <w:tr w:rsidR="007F2514" w:rsidRPr="00667EBF" w:rsidTr="00016DAF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bCs/>
                <w:sz w:val="22"/>
              </w:rPr>
              <w:t>Serious adverse events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2.002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0.857–4.679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0.109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>Pneumonia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1.277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0.508–3.209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0.603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>Pneumothorax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8.611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0.851–87.135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0.068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 xml:space="preserve"> Pulmonary thromboembolism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1.355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0.107–17.245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0.815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>Acute exacerbation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1.322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0.310–5.716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0.700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 xml:space="preserve"> </w:t>
            </w:r>
            <w:proofErr w:type="spellStart"/>
            <w:r w:rsidRPr="00667EBF">
              <w:rPr>
                <w:rFonts w:ascii="Times New Roman" w:eastAsiaTheme="minorHAnsi" w:hAnsi="Times New Roman" w:cs="Times New Roman"/>
                <w:sz w:val="22"/>
              </w:rPr>
              <w:t>Ischaemic</w:t>
            </w:r>
            <w:proofErr w:type="spellEnd"/>
            <w:r w:rsidRPr="00667EBF">
              <w:rPr>
                <w:rFonts w:ascii="Times New Roman" w:eastAsiaTheme="minorHAnsi" w:hAnsi="Times New Roman" w:cs="Times New Roman"/>
                <w:sz w:val="22"/>
              </w:rPr>
              <w:t xml:space="preserve"> heart disease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0.284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0.023–3.517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0.327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 xml:space="preserve"> Lung cancer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1.909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0.133–27.334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0.634</w:t>
            </w:r>
          </w:p>
        </w:tc>
      </w:tr>
      <w:tr w:rsidR="007F2514" w:rsidRPr="00667EBF" w:rsidTr="00016DAF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autoSpaceDE/>
              <w:autoSpaceDN/>
              <w:spacing w:after="0" w:line="480" w:lineRule="auto"/>
              <w:ind w:firstLineChars="50" w:firstLine="110"/>
              <w:rPr>
                <w:rFonts w:ascii="Times New Roman" w:eastAsia="맑은 고딕" w:hAnsi="Times New Roman" w:cs="Times New Roman"/>
                <w:bCs/>
                <w:sz w:val="22"/>
              </w:rPr>
            </w:pPr>
            <w:r w:rsidRPr="00667EBF">
              <w:rPr>
                <w:rFonts w:ascii="Times New Roman" w:eastAsiaTheme="minorHAnsi" w:hAnsi="Times New Roman" w:cs="Times New Roman"/>
                <w:sz w:val="22"/>
              </w:rPr>
              <w:t>Death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1.767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0.568–5.495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2514" w:rsidRPr="00667EBF" w:rsidRDefault="007F2514" w:rsidP="007F2514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67EBF">
              <w:rPr>
                <w:rFonts w:ascii="Times New Roman" w:eastAsia="맑은 고딕" w:hAnsi="Times New Roman" w:cs="Times New Roman"/>
                <w:sz w:val="22"/>
              </w:rPr>
              <w:t>0.325</w:t>
            </w:r>
          </w:p>
        </w:tc>
      </w:tr>
    </w:tbl>
    <w:p w:rsidR="00B56F0B" w:rsidRPr="00667EBF" w:rsidRDefault="00B01D0A">
      <w:pPr>
        <w:wordWrap/>
        <w:autoSpaceDE/>
        <w:autoSpaceDN/>
        <w:spacing w:after="0" w:line="480" w:lineRule="auto"/>
        <w:contextualSpacing/>
        <w:rPr>
          <w:rFonts w:ascii="Times New Roman" w:eastAsia="바탕체" w:hAnsi="Times New Roman" w:cs="Times New Roman"/>
          <w:sz w:val="22"/>
        </w:rPr>
      </w:pPr>
      <w:r w:rsidRPr="00667EBF">
        <w:rPr>
          <w:rFonts w:ascii="Times New Roman" w:eastAsia="바탕체" w:hAnsi="Times New Roman" w:cs="Times New Roman"/>
          <w:color w:val="000000"/>
          <w:sz w:val="22"/>
        </w:rPr>
        <w:t>OR, odds ratio; CI, confidence interval</w:t>
      </w:r>
      <w:r w:rsidR="007F2514" w:rsidRPr="00667EBF">
        <w:rPr>
          <w:rFonts w:ascii="Times New Roman" w:eastAsia="바탕체" w:hAnsi="Times New Roman" w:cs="Times New Roman"/>
          <w:color w:val="000000"/>
          <w:sz w:val="22"/>
        </w:rPr>
        <w:t>.</w:t>
      </w:r>
    </w:p>
    <w:p w:rsidR="00B45A45" w:rsidRPr="00667EBF" w:rsidRDefault="00B01D0A" w:rsidP="00B45A45">
      <w:pPr>
        <w:spacing w:line="480" w:lineRule="auto"/>
        <w:rPr>
          <w:rFonts w:ascii="Times New Roman" w:eastAsia="바탕체" w:hAnsi="Times New Roman" w:cs="Times New Roman"/>
          <w:color w:val="000000"/>
          <w:sz w:val="22"/>
        </w:rPr>
      </w:pPr>
      <w:r w:rsidRPr="00667EBF">
        <w:rPr>
          <w:rFonts w:ascii="Times New Roman" w:eastAsia="굴림" w:hAnsi="Times New Roman" w:cs="Times New Roman"/>
          <w:kern w:val="0"/>
          <w:sz w:val="22"/>
        </w:rPr>
        <w:t>*</w:t>
      </w:r>
      <w:r w:rsidR="00A90E75" w:rsidRPr="00667EBF">
        <w:rPr>
          <w:rFonts w:ascii="Times New Roman" w:eastAsia="굴림" w:hAnsi="Times New Roman" w:cs="Times New Roman"/>
          <w:kern w:val="0"/>
          <w:sz w:val="22"/>
        </w:rPr>
        <w:t xml:space="preserve"> </w:t>
      </w:r>
      <w:r w:rsidRPr="00667EBF">
        <w:rPr>
          <w:rFonts w:ascii="Times New Roman" w:eastAsia="바탕체" w:hAnsi="Times New Roman" w:cs="Times New Roman"/>
          <w:color w:val="000000"/>
          <w:sz w:val="22"/>
        </w:rPr>
        <w:t>Compared with the non-advanced group</w:t>
      </w:r>
      <w:r w:rsidR="00B45A45" w:rsidRPr="00667EBF">
        <w:rPr>
          <w:rFonts w:ascii="Times New Roman" w:eastAsia="바탕체" w:hAnsi="Times New Roman" w:cs="Times New Roman"/>
          <w:color w:val="000000"/>
          <w:sz w:val="22"/>
        </w:rPr>
        <w:t>.</w:t>
      </w:r>
    </w:p>
    <w:p w:rsidR="00CE1E38" w:rsidRPr="00667EBF" w:rsidRDefault="00CE1E38" w:rsidP="0000328A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sectPr w:rsidR="00CE1E38" w:rsidRPr="00667EBF" w:rsidSect="004550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5AE" w:rsidRDefault="004065AE" w:rsidP="004253B0">
      <w:pPr>
        <w:spacing w:after="0" w:line="240" w:lineRule="auto"/>
      </w:pPr>
      <w:r>
        <w:separator/>
      </w:r>
    </w:p>
  </w:endnote>
  <w:endnote w:type="continuationSeparator" w:id="0">
    <w:p w:rsidR="004065AE" w:rsidRDefault="004065AE" w:rsidP="0042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5AE" w:rsidRDefault="004065AE" w:rsidP="004253B0">
      <w:pPr>
        <w:spacing w:after="0" w:line="240" w:lineRule="auto"/>
      </w:pPr>
      <w:r>
        <w:separator/>
      </w:r>
    </w:p>
  </w:footnote>
  <w:footnote w:type="continuationSeparator" w:id="0">
    <w:p w:rsidR="004065AE" w:rsidRDefault="004065AE" w:rsidP="00425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Q1MzAwNjM2tjQzMbRU0lEKTi0uzszPAykwrAUA2bvij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F0A75"/>
    <w:rsid w:val="000004CE"/>
    <w:rsid w:val="0000328A"/>
    <w:rsid w:val="0001378F"/>
    <w:rsid w:val="00026F24"/>
    <w:rsid w:val="000314F9"/>
    <w:rsid w:val="00035D24"/>
    <w:rsid w:val="00080E25"/>
    <w:rsid w:val="00084722"/>
    <w:rsid w:val="00086727"/>
    <w:rsid w:val="00090A7F"/>
    <w:rsid w:val="000F0A75"/>
    <w:rsid w:val="001047EF"/>
    <w:rsid w:val="0011515F"/>
    <w:rsid w:val="0014555A"/>
    <w:rsid w:val="00157120"/>
    <w:rsid w:val="00164797"/>
    <w:rsid w:val="00175319"/>
    <w:rsid w:val="001956F1"/>
    <w:rsid w:val="00196125"/>
    <w:rsid w:val="001C143B"/>
    <w:rsid w:val="001C4696"/>
    <w:rsid w:val="001D2E7D"/>
    <w:rsid w:val="00201542"/>
    <w:rsid w:val="00204F54"/>
    <w:rsid w:val="00232DB2"/>
    <w:rsid w:val="00275DE1"/>
    <w:rsid w:val="002760A7"/>
    <w:rsid w:val="002760D3"/>
    <w:rsid w:val="002A032C"/>
    <w:rsid w:val="002B2B66"/>
    <w:rsid w:val="002B4796"/>
    <w:rsid w:val="002E00CC"/>
    <w:rsid w:val="002E1A18"/>
    <w:rsid w:val="0034130E"/>
    <w:rsid w:val="00341E7F"/>
    <w:rsid w:val="00366298"/>
    <w:rsid w:val="003675BC"/>
    <w:rsid w:val="003753FD"/>
    <w:rsid w:val="003874CA"/>
    <w:rsid w:val="003B1840"/>
    <w:rsid w:val="003B2E4B"/>
    <w:rsid w:val="003B3722"/>
    <w:rsid w:val="003C3D94"/>
    <w:rsid w:val="003D07AF"/>
    <w:rsid w:val="003D6980"/>
    <w:rsid w:val="003F5529"/>
    <w:rsid w:val="004065AE"/>
    <w:rsid w:val="00414372"/>
    <w:rsid w:val="00416624"/>
    <w:rsid w:val="004253B0"/>
    <w:rsid w:val="0043150C"/>
    <w:rsid w:val="004406D0"/>
    <w:rsid w:val="00454E34"/>
    <w:rsid w:val="004550B1"/>
    <w:rsid w:val="0046192B"/>
    <w:rsid w:val="00464BF7"/>
    <w:rsid w:val="004906DF"/>
    <w:rsid w:val="004926CC"/>
    <w:rsid w:val="004A1F0A"/>
    <w:rsid w:val="004C0BF0"/>
    <w:rsid w:val="004F027C"/>
    <w:rsid w:val="00527280"/>
    <w:rsid w:val="00531C0A"/>
    <w:rsid w:val="0053306A"/>
    <w:rsid w:val="00540544"/>
    <w:rsid w:val="00564FE7"/>
    <w:rsid w:val="00573877"/>
    <w:rsid w:val="0057584D"/>
    <w:rsid w:val="005A2080"/>
    <w:rsid w:val="005A3165"/>
    <w:rsid w:val="005B7EE3"/>
    <w:rsid w:val="005C0BD9"/>
    <w:rsid w:val="005D7AE1"/>
    <w:rsid w:val="005E56FC"/>
    <w:rsid w:val="005F4128"/>
    <w:rsid w:val="005F75C1"/>
    <w:rsid w:val="00606DEB"/>
    <w:rsid w:val="006210C4"/>
    <w:rsid w:val="00631B55"/>
    <w:rsid w:val="00636F56"/>
    <w:rsid w:val="00641175"/>
    <w:rsid w:val="006461EF"/>
    <w:rsid w:val="00661EB5"/>
    <w:rsid w:val="00667C0D"/>
    <w:rsid w:val="00667EBF"/>
    <w:rsid w:val="0068624B"/>
    <w:rsid w:val="0069623B"/>
    <w:rsid w:val="006A4727"/>
    <w:rsid w:val="006A68C8"/>
    <w:rsid w:val="006B7086"/>
    <w:rsid w:val="006C09D2"/>
    <w:rsid w:val="006C4C78"/>
    <w:rsid w:val="006D15F3"/>
    <w:rsid w:val="006D6198"/>
    <w:rsid w:val="006D6966"/>
    <w:rsid w:val="006E190C"/>
    <w:rsid w:val="006E4AFB"/>
    <w:rsid w:val="006E70D7"/>
    <w:rsid w:val="006F4762"/>
    <w:rsid w:val="006F6597"/>
    <w:rsid w:val="00707F95"/>
    <w:rsid w:val="0071008E"/>
    <w:rsid w:val="007163C0"/>
    <w:rsid w:val="00725369"/>
    <w:rsid w:val="00745BAF"/>
    <w:rsid w:val="00746B14"/>
    <w:rsid w:val="007969E0"/>
    <w:rsid w:val="007B2A3D"/>
    <w:rsid w:val="007B5C0D"/>
    <w:rsid w:val="007C461E"/>
    <w:rsid w:val="007F2514"/>
    <w:rsid w:val="007F59DE"/>
    <w:rsid w:val="007F6543"/>
    <w:rsid w:val="007F78B8"/>
    <w:rsid w:val="0080195C"/>
    <w:rsid w:val="00813F69"/>
    <w:rsid w:val="0082754B"/>
    <w:rsid w:val="00871ABF"/>
    <w:rsid w:val="00877DE2"/>
    <w:rsid w:val="008D5670"/>
    <w:rsid w:val="00906C8C"/>
    <w:rsid w:val="00922A1F"/>
    <w:rsid w:val="009329C2"/>
    <w:rsid w:val="0094566C"/>
    <w:rsid w:val="009627AC"/>
    <w:rsid w:val="0098361D"/>
    <w:rsid w:val="009A5793"/>
    <w:rsid w:val="009B220C"/>
    <w:rsid w:val="009B22B8"/>
    <w:rsid w:val="00A52E1C"/>
    <w:rsid w:val="00A757E5"/>
    <w:rsid w:val="00A85320"/>
    <w:rsid w:val="00A86881"/>
    <w:rsid w:val="00A90E75"/>
    <w:rsid w:val="00AA0952"/>
    <w:rsid w:val="00AA2778"/>
    <w:rsid w:val="00AA74D4"/>
    <w:rsid w:val="00AC2B3E"/>
    <w:rsid w:val="00AD3ADA"/>
    <w:rsid w:val="00AF3455"/>
    <w:rsid w:val="00B01D0A"/>
    <w:rsid w:val="00B45A45"/>
    <w:rsid w:val="00B466CA"/>
    <w:rsid w:val="00B56F0B"/>
    <w:rsid w:val="00B77920"/>
    <w:rsid w:val="00B82614"/>
    <w:rsid w:val="00BA0612"/>
    <w:rsid w:val="00BD131D"/>
    <w:rsid w:val="00BD533A"/>
    <w:rsid w:val="00BF751F"/>
    <w:rsid w:val="00C51785"/>
    <w:rsid w:val="00C527ED"/>
    <w:rsid w:val="00C70789"/>
    <w:rsid w:val="00C757C0"/>
    <w:rsid w:val="00C76D9A"/>
    <w:rsid w:val="00CA6031"/>
    <w:rsid w:val="00CB437A"/>
    <w:rsid w:val="00CB760A"/>
    <w:rsid w:val="00CD7052"/>
    <w:rsid w:val="00CE1E38"/>
    <w:rsid w:val="00D11C60"/>
    <w:rsid w:val="00D45ADF"/>
    <w:rsid w:val="00D90B16"/>
    <w:rsid w:val="00DA66F0"/>
    <w:rsid w:val="00DD176E"/>
    <w:rsid w:val="00E052E0"/>
    <w:rsid w:val="00E056B3"/>
    <w:rsid w:val="00E5145D"/>
    <w:rsid w:val="00E64449"/>
    <w:rsid w:val="00E84BCF"/>
    <w:rsid w:val="00ED1336"/>
    <w:rsid w:val="00EE5251"/>
    <w:rsid w:val="00EF1CD9"/>
    <w:rsid w:val="00F1790A"/>
    <w:rsid w:val="00F51DC7"/>
    <w:rsid w:val="00F57962"/>
    <w:rsid w:val="00F63447"/>
    <w:rsid w:val="00F814BB"/>
    <w:rsid w:val="00F977AF"/>
    <w:rsid w:val="00FB60BA"/>
    <w:rsid w:val="00FE45E0"/>
    <w:rsid w:val="00FF2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EDF61F-FD8B-4DB4-9AD4-7F00B6D7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7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3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253B0"/>
  </w:style>
  <w:style w:type="paragraph" w:styleId="a4">
    <w:name w:val="footer"/>
    <w:basedOn w:val="a"/>
    <w:link w:val="Char0"/>
    <w:uiPriority w:val="99"/>
    <w:unhideWhenUsed/>
    <w:rsid w:val="004253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253B0"/>
  </w:style>
  <w:style w:type="character" w:styleId="a5">
    <w:name w:val="annotation reference"/>
    <w:basedOn w:val="a0"/>
    <w:uiPriority w:val="99"/>
    <w:semiHidden/>
    <w:unhideWhenUsed/>
    <w:rsid w:val="009A5793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9A5793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9A5793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A5793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9A5793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9A579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9A57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unhideWhenUsed/>
    <w:rsid w:val="009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Char4"/>
    <w:uiPriority w:val="99"/>
    <w:unhideWhenUsed/>
    <w:rsid w:val="00C70789"/>
    <w:pPr>
      <w:wordWrap/>
      <w:autoSpaceDE/>
      <w:autoSpaceDN/>
      <w:spacing w:after="0" w:line="480" w:lineRule="auto"/>
      <w:contextualSpacing/>
    </w:pPr>
    <w:rPr>
      <w:rFonts w:ascii="Times New Roman" w:eastAsia="바탕체" w:hAnsi="Times New Roman" w:cs="Times New Roman"/>
      <w:b/>
      <w:bCs/>
      <w:sz w:val="22"/>
    </w:rPr>
  </w:style>
  <w:style w:type="character" w:customStyle="1" w:styleId="Char4">
    <w:name w:val="본문 Char"/>
    <w:basedOn w:val="a0"/>
    <w:link w:val="aa"/>
    <w:uiPriority w:val="99"/>
    <w:rsid w:val="00C70789"/>
    <w:rPr>
      <w:rFonts w:ascii="Times New Roman" w:eastAsia="바탕체" w:hAnsi="Times New Roman" w:cs="Times New Roman"/>
      <w:b/>
      <w:bCs/>
      <w:sz w:val="22"/>
    </w:rPr>
  </w:style>
  <w:style w:type="table" w:customStyle="1" w:styleId="1">
    <w:name w:val="표 구분선1"/>
    <w:basedOn w:val="a1"/>
    <w:next w:val="a9"/>
    <w:uiPriority w:val="39"/>
    <w:rsid w:val="00276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1B8E-26CC-4E0E-9452-C02CD89A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 MYUNGSUNG</cp:lastModifiedBy>
  <cp:revision>3</cp:revision>
  <dcterms:created xsi:type="dcterms:W3CDTF">2018-08-26T22:10:00Z</dcterms:created>
  <dcterms:modified xsi:type="dcterms:W3CDTF">2018-08-26T22:30:00Z</dcterms:modified>
</cp:coreProperties>
</file>