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32" w:rsidRDefault="00A145F2" w:rsidP="00215432">
      <w:pPr>
        <w:pStyle w:val="Heading1"/>
        <w:rPr>
          <w:lang w:val="en-US"/>
        </w:rPr>
      </w:pPr>
      <w:r>
        <w:rPr>
          <w:lang w:val="en-US"/>
        </w:rPr>
        <w:t>Additional file</w:t>
      </w:r>
      <w:bookmarkStart w:id="0" w:name="_GoBack"/>
      <w:bookmarkEnd w:id="0"/>
    </w:p>
    <w:p w:rsidR="00215432" w:rsidRPr="0073797F" w:rsidRDefault="00215432" w:rsidP="00215432">
      <w:pPr>
        <w:pStyle w:val="Caption"/>
        <w:keepNext/>
        <w:rPr>
          <w:b w:val="0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Additional file 1:</w:t>
      </w:r>
      <w:r w:rsidRPr="0073797F">
        <w:rPr>
          <w:sz w:val="22"/>
          <w:szCs w:val="22"/>
          <w:lang w:val="en-US"/>
        </w:rPr>
        <w:t xml:space="preserve"> Table </w:t>
      </w:r>
      <w:r>
        <w:rPr>
          <w:sz w:val="22"/>
          <w:szCs w:val="22"/>
          <w:lang w:val="en-US"/>
        </w:rPr>
        <w:t>S1.</w:t>
      </w:r>
      <w:r w:rsidRPr="0073797F">
        <w:rPr>
          <w:sz w:val="22"/>
          <w:szCs w:val="22"/>
          <w:lang w:val="en-US"/>
        </w:rPr>
        <w:t xml:space="preserve"> </w:t>
      </w:r>
      <w:r w:rsidRPr="0073797F">
        <w:rPr>
          <w:b w:val="0"/>
          <w:sz w:val="22"/>
          <w:szCs w:val="22"/>
          <w:lang w:val="en-US"/>
        </w:rPr>
        <w:t xml:space="preserve">Associations between change in second-hand smoke (SHS) exposure over time and lung function at follow-up [percent predicted values according to the Global Lung function Initiative – GLI] </w:t>
      </w:r>
    </w:p>
    <w:tbl>
      <w:tblPr>
        <w:tblW w:w="1324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1660"/>
        <w:gridCol w:w="663"/>
        <w:gridCol w:w="1693"/>
        <w:gridCol w:w="1224"/>
        <w:gridCol w:w="280"/>
        <w:gridCol w:w="686"/>
        <w:gridCol w:w="1629"/>
        <w:gridCol w:w="1266"/>
        <w:gridCol w:w="280"/>
        <w:gridCol w:w="686"/>
        <w:gridCol w:w="1629"/>
        <w:gridCol w:w="1266"/>
      </w:tblGrid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3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change ECRHS I-II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change ECRHS II-III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change ECRHS I-III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95%-CI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p-value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β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95%-CI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p-value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β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95%-CI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p-value</w:t>
            </w:r>
          </w:p>
        </w:tc>
      </w:tr>
      <w:tr w:rsidR="00215432" w:rsidRPr="0073797F" w:rsidTr="003C6E29">
        <w:trPr>
          <w:trHeight w:val="295"/>
        </w:trPr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FEV</w:t>
            </w: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1</w:t>
            </w: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pp (GLI)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increase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(-1.2, 1.4)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-1.1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(-3.4, 1.2)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-1.9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(-4.5, 0.6)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0.14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decrease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(-0.9, 0.7)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(-1.2, 0.7)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(-0.8, 0.9)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0.90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both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(-1.2, 0.7)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(-2.1, 1.4)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(-1.1, 2.6)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0.42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</w:tr>
      <w:tr w:rsidR="00215432" w:rsidRPr="0073797F" w:rsidTr="003C6E29">
        <w:trPr>
          <w:trHeight w:val="295"/>
        </w:trPr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FVC pp (GLI)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increase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(-1.7, 0.9)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-1.0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(-3.4, 1.4)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-2.3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(-4.8, 0.2)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0.08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decrease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(-1.1, 0.5)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(-1.2, 0.8)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0.70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(-1.1, 0.6)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0.53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both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-1.0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(-1.9, -0.0)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-0.9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(-2.7, 0.9)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(-1.4, 2.3)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0.64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</w:tr>
      <w:tr w:rsidR="00215432" w:rsidRPr="0073797F" w:rsidTr="003C6E29">
        <w:trPr>
          <w:trHeight w:val="295"/>
        </w:trPr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FEV</w:t>
            </w: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1</w:t>
            </w:r>
            <w:r w:rsidRPr="0073797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/FVC pp (GLI)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increase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(-0.5, 1.3)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(-1.5, 1.4)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(-1.4, 1.7)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0.86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decrease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(-0.5, 0.5)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(-0.6, 0.6)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(-0.2, 0.8)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0.26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SHS both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(-0.0, 1.3)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(-0.6, 1.6)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(-0.7, 1.6)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0.42</w:t>
            </w:r>
          </w:p>
        </w:tc>
      </w:tr>
      <w:tr w:rsidR="00215432" w:rsidRPr="0073797F" w:rsidTr="003C6E29">
        <w:trPr>
          <w:trHeight w:val="29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DE"/>
              </w:rPr>
            </w:pPr>
          </w:p>
        </w:tc>
      </w:tr>
      <w:tr w:rsidR="00215432" w:rsidRPr="0073797F" w:rsidTr="003C6E29">
        <w:trPr>
          <w:trHeight w:val="319"/>
        </w:trPr>
        <w:tc>
          <w:tcPr>
            <w:tcW w:w="13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reference category: no SHS exposure at both examinations</w:t>
            </w:r>
          </w:p>
        </w:tc>
      </w:tr>
      <w:tr w:rsidR="00215432" w:rsidRPr="0073797F" w:rsidTr="003C6E29">
        <w:trPr>
          <w:trHeight w:val="702"/>
        </w:trPr>
        <w:tc>
          <w:tcPr>
            <w:tcW w:w="13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SHS increase: no SHS exposure at first examination but at second examination; SHS decrease: SHS exposure at first examination but not at second examination; SHS both: SHS exposure at both examinations </w:t>
            </w:r>
          </w:p>
        </w:tc>
      </w:tr>
      <w:tr w:rsidR="00215432" w:rsidRPr="0073797F" w:rsidTr="003C6E29">
        <w:trPr>
          <w:trHeight w:val="702"/>
        </w:trPr>
        <w:tc>
          <w:tcPr>
            <w:tcW w:w="132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432" w:rsidRPr="0073797F" w:rsidRDefault="00215432" w:rsidP="003C6E2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adjusted for weight, weight squared, maternal smoking, paternal smoking, combination of smoking status and pack years, education, exposure to dust/fumes, allergic </w:t>
            </w:r>
            <w:proofErr w:type="spellStart"/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sensitisation</w:t>
            </w:r>
            <w:proofErr w:type="spellEnd"/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(at baseline) and baseline lung function (percent predicted </w:t>
            </w:r>
            <w:r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values </w:t>
            </w:r>
            <w:r w:rsidRPr="0073797F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according to GLI) </w:t>
            </w:r>
          </w:p>
        </w:tc>
      </w:tr>
    </w:tbl>
    <w:p w:rsidR="00215432" w:rsidRPr="00BA5E0E" w:rsidRDefault="00215432" w:rsidP="00215432"/>
    <w:p w:rsidR="00EC72F8" w:rsidRDefault="00EC72F8"/>
    <w:sectPr w:rsidR="00EC72F8" w:rsidSect="0063415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32"/>
    <w:rsid w:val="00215432"/>
    <w:rsid w:val="00255792"/>
    <w:rsid w:val="003C648A"/>
    <w:rsid w:val="00A145F2"/>
    <w:rsid w:val="00B65661"/>
    <w:rsid w:val="00C52336"/>
    <w:rsid w:val="00D5697A"/>
    <w:rsid w:val="00D76B31"/>
    <w:rsid w:val="00EC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43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432"/>
    <w:rPr>
      <w:rFonts w:ascii="Cambria" w:eastAsia="Times New Roman" w:hAnsi="Cambria" w:cs="Times New Roman"/>
      <w:b/>
      <w:bCs/>
      <w:kern w:val="32"/>
      <w:sz w:val="32"/>
      <w:szCs w:val="32"/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215432"/>
    <w:rPr>
      <w:rFonts w:ascii="Calibri" w:eastAsia="Calibri" w:hAnsi="Calibri" w:cs="Times New Roman"/>
      <w:b/>
      <w:bCs/>
      <w:sz w:val="20"/>
      <w:szCs w:val="20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43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432"/>
    <w:rPr>
      <w:rFonts w:ascii="Cambria" w:eastAsia="Times New Roman" w:hAnsi="Cambria" w:cs="Times New Roman"/>
      <w:b/>
      <w:bCs/>
      <w:kern w:val="32"/>
      <w:sz w:val="32"/>
      <w:szCs w:val="32"/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215432"/>
    <w:rPr>
      <w:rFonts w:ascii="Calibri" w:eastAsia="Calibri" w:hAnsi="Calibri" w:cs="Times New Roman"/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SSIXTO</dc:creator>
  <cp:lastModifiedBy>Alvarez, Ruth</cp:lastModifiedBy>
  <cp:revision>3</cp:revision>
  <dcterms:created xsi:type="dcterms:W3CDTF">2019-02-05T11:27:00Z</dcterms:created>
  <dcterms:modified xsi:type="dcterms:W3CDTF">2019-02-07T18:03:00Z</dcterms:modified>
</cp:coreProperties>
</file>