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5515A" w14:textId="77777777" w:rsidR="00CF5BA9" w:rsidRPr="008E7E16" w:rsidRDefault="00CF5BA9" w:rsidP="00CF5BA9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0" w:name="_Hlk534629255"/>
      <w:bookmarkStart w:id="1" w:name="_GoBack"/>
      <w:bookmarkEnd w:id="1"/>
      <w:r w:rsidRPr="008E7E16">
        <w:rPr>
          <w:rFonts w:ascii="Times New Roman" w:hAnsi="Times New Roman" w:cs="Times New Roman"/>
          <w:b/>
          <w:noProof/>
          <w:sz w:val="24"/>
          <w:szCs w:val="24"/>
        </w:rPr>
        <w:t xml:space="preserve">FROM BENCH TO BEDSIDE: </w:t>
      </w:r>
      <w:r w:rsidRPr="008E7E16">
        <w:rPr>
          <w:rFonts w:ascii="Times New Roman" w:hAnsi="Times New Roman" w:cs="Times New Roman"/>
          <w:b/>
          <w:i/>
          <w:noProof/>
          <w:sz w:val="24"/>
          <w:szCs w:val="24"/>
        </w:rPr>
        <w:t>IN VITRO</w:t>
      </w:r>
      <w:r w:rsidRPr="008E7E16">
        <w:rPr>
          <w:rFonts w:ascii="Times New Roman" w:hAnsi="Times New Roman" w:cs="Times New Roman"/>
          <w:b/>
          <w:noProof/>
          <w:sz w:val="24"/>
          <w:szCs w:val="24"/>
        </w:rPr>
        <w:t xml:space="preserve"> AND </w:t>
      </w:r>
      <w:r w:rsidRPr="008E7E16">
        <w:rPr>
          <w:rFonts w:ascii="Times New Roman" w:hAnsi="Times New Roman" w:cs="Times New Roman"/>
          <w:b/>
          <w:i/>
          <w:noProof/>
          <w:sz w:val="24"/>
          <w:szCs w:val="24"/>
        </w:rPr>
        <w:t>IN VIVO</w:t>
      </w:r>
      <w:r w:rsidRPr="008E7E16">
        <w:rPr>
          <w:rFonts w:ascii="Times New Roman" w:hAnsi="Times New Roman" w:cs="Times New Roman"/>
          <w:b/>
          <w:noProof/>
          <w:sz w:val="24"/>
          <w:szCs w:val="24"/>
        </w:rPr>
        <w:t xml:space="preserve"> EVALUATION OF A NEONATE-FOCUSED NEBULIZED SURFACTANT DELIVERY STRATEGY</w:t>
      </w:r>
    </w:p>
    <w:p w14:paraId="3F6862DD" w14:textId="77777777" w:rsidR="0014365F" w:rsidRDefault="0014365F" w:rsidP="0014365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Bianco F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>, Ricci F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Catozzi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C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>, Murgia X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2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Schlun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M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3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Bucholski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A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3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Hetzer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U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3</w:t>
      </w:r>
      <w:r>
        <w:rPr>
          <w:rFonts w:ascii="Times New Roman" w:hAnsi="Times New Roman" w:cs="Times New Roman"/>
          <w:sz w:val="24"/>
          <w:szCs w:val="24"/>
          <w:lang w:val="it-IT"/>
        </w:rPr>
        <w:t>, Bonelli S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>, Lombardini M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Pasini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E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Nutini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M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>, Pertile M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Minocchieri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S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4</w:t>
      </w:r>
      <w:r>
        <w:rPr>
          <w:rFonts w:ascii="Times New Roman" w:hAnsi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Simonato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M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5</w:t>
      </w:r>
      <w:r>
        <w:rPr>
          <w:rFonts w:ascii="Times New Roman" w:hAnsi="Times New Roman" w:cs="Times New Roman"/>
          <w:sz w:val="24"/>
          <w:szCs w:val="24"/>
          <w:lang w:val="it-IT"/>
        </w:rPr>
        <w:t>, Rosa B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>, Pieraccini G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6</w:t>
      </w:r>
      <w:r>
        <w:rPr>
          <w:rFonts w:ascii="Times New Roman" w:hAnsi="Times New Roman" w:cs="Times New Roman"/>
          <w:sz w:val="24"/>
          <w:szCs w:val="24"/>
          <w:lang w:val="it-IT"/>
        </w:rPr>
        <w:t>, Moneti G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6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Lorenzini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L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7</w:t>
      </w:r>
      <w:r>
        <w:rPr>
          <w:rFonts w:ascii="Times New Roman" w:hAnsi="Times New Roman" w:cs="Times New Roman"/>
          <w:sz w:val="24"/>
          <w:szCs w:val="24"/>
          <w:lang w:val="it-IT"/>
        </w:rPr>
        <w:t>, Catinella S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Villetti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G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Civelli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M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Pioselli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B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Cogo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8</w:t>
      </w:r>
      <w:r>
        <w:rPr>
          <w:rFonts w:ascii="Times New Roman" w:hAnsi="Times New Roman" w:cs="Times New Roman"/>
          <w:sz w:val="24"/>
          <w:szCs w:val="24"/>
          <w:lang w:val="it-IT"/>
        </w:rPr>
        <w:t>, Carnielli V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9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Dani C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10</w:t>
      </w:r>
      <w:r>
        <w:rPr>
          <w:rFonts w:ascii="Times New Roman" w:hAnsi="Times New Roman" w:cs="Times New Roman"/>
          <w:sz w:val="24"/>
          <w:szCs w:val="24"/>
          <w:lang w:val="it-IT"/>
        </w:rPr>
        <w:t>*, Salomone F</w:t>
      </w: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</w:p>
    <w:p w14:paraId="22A59978" w14:textId="77777777" w:rsidR="0014365F" w:rsidRDefault="0014365F" w:rsidP="0014365F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Department of Preclinical Pharmacology, R&amp;D,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Chiesi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Farmaceutici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S.p.A., Parma, Italy.</w:t>
      </w:r>
    </w:p>
    <w:p w14:paraId="45FD5A9F" w14:textId="77777777" w:rsidR="0014365F" w:rsidRDefault="0014365F" w:rsidP="0014365F">
      <w:pPr>
        <w:pStyle w:val="Corpotesto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Scientific Consultancy,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Saarbrücken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Germany. </w:t>
      </w:r>
    </w:p>
    <w:p w14:paraId="238A7149" w14:textId="77777777" w:rsidR="0014365F" w:rsidRDefault="0014365F" w:rsidP="0014365F">
      <w:pPr>
        <w:pStyle w:val="Corpotesto"/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it-IT"/>
        </w:rPr>
        <w:t>3</w:t>
      </w:r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PARI Pharma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GmbH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Starnberg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, Germany.</w:t>
      </w:r>
    </w:p>
    <w:p w14:paraId="1128CA19" w14:textId="77777777" w:rsidR="0014365F" w:rsidRDefault="0014365F" w:rsidP="0014365F">
      <w:pPr>
        <w:pStyle w:val="Corpotesto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</w:rPr>
        <w:t>Division of Neonatology, Cantonal Hospital Winterthur, Winterthur, Switzerland.</w:t>
      </w:r>
    </w:p>
    <w:p w14:paraId="64DDECFC" w14:textId="77777777" w:rsidR="0014365F" w:rsidRDefault="0014365F" w:rsidP="0014365F">
      <w:pPr>
        <w:pStyle w:val="Testocommento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it-IT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Pediatric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Research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Institute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“Città della Speranza” Padova,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Italy</w:t>
      </w:r>
      <w:proofErr w:type="spellEnd"/>
    </w:p>
    <w:p w14:paraId="30D95976" w14:textId="77777777" w:rsidR="0014365F" w:rsidRDefault="0014365F" w:rsidP="0014365F">
      <w:pPr>
        <w:pStyle w:val="Corpotesto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Mass Spectrometry Center (CISM), Polo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Biomedico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Careggi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University Hospital of Florence, Florence, Italy.</w:t>
      </w:r>
    </w:p>
    <w:p w14:paraId="1D49DC83" w14:textId="77777777" w:rsidR="0014365F" w:rsidRDefault="0014365F" w:rsidP="0014365F">
      <w:pPr>
        <w:pStyle w:val="Corpotesto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i/>
          <w:iCs/>
          <w:sz w:val="24"/>
          <w:szCs w:val="24"/>
        </w:rPr>
        <w:t>Health Science and Technologies Interdepartmental Center for Industrial Research (HST-ICIR), University of Bologna, Bologna, Italy.</w:t>
      </w:r>
    </w:p>
    <w:p w14:paraId="359D3C7F" w14:textId="77777777" w:rsidR="0014365F" w:rsidRDefault="0014365F" w:rsidP="0014365F">
      <w:pPr>
        <w:pStyle w:val="Corpotesto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i/>
          <w:iCs/>
          <w:sz w:val="24"/>
          <w:szCs w:val="24"/>
        </w:rPr>
        <w:t>Division of Pediatrics, Department of Medicine, University of Udine</w:t>
      </w:r>
    </w:p>
    <w:p w14:paraId="6C26A2BC" w14:textId="77777777" w:rsidR="0014365F" w:rsidRDefault="0014365F" w:rsidP="0014365F">
      <w:pPr>
        <w:pStyle w:val="Corpotesto"/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it-IT"/>
        </w:rPr>
        <w:t>9</w:t>
      </w:r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Polytechnic University of Marche and Azienda Ospedaliero-Universitaria Ospedali Riuniti, Ancona,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Italy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>.</w:t>
      </w:r>
    </w:p>
    <w:p w14:paraId="213DF4E5" w14:textId="77777777" w:rsidR="0014365F" w:rsidRDefault="0014365F" w:rsidP="0014365F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10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Department of Neurosciences, Psychology, Drug Research and Child Health,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Careggi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University Hospital of Florence, Florence, Italy.</w:t>
      </w:r>
    </w:p>
    <w:p w14:paraId="23167B8D" w14:textId="77777777" w:rsidR="00CF5BA9" w:rsidRPr="00056D72" w:rsidRDefault="00CF5BA9" w:rsidP="00CF5BA9">
      <w:pPr>
        <w:pStyle w:val="Corpotesto"/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056D72">
        <w:rPr>
          <w:rFonts w:ascii="Times New Roman" w:hAnsi="Times New Roman" w:cs="Times New Roman"/>
          <w:noProof/>
          <w:sz w:val="24"/>
          <w:szCs w:val="24"/>
        </w:rPr>
        <w:lastRenderedPageBreak/>
        <w:t>*Corresponding author:</w:t>
      </w:r>
    </w:p>
    <w:p w14:paraId="308E98C1" w14:textId="77777777" w:rsidR="00CF5BA9" w:rsidRPr="00056D72" w:rsidRDefault="00CF5BA9" w:rsidP="00CF5BA9">
      <w:pPr>
        <w:pStyle w:val="Corpotesto"/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056D72">
        <w:rPr>
          <w:rFonts w:ascii="Times New Roman" w:hAnsi="Times New Roman" w:cs="Times New Roman"/>
          <w:noProof/>
          <w:sz w:val="24"/>
          <w:szCs w:val="24"/>
        </w:rPr>
        <w:t>Carlo Dani, MD, Division of Neonatology,</w:t>
      </w:r>
    </w:p>
    <w:p w14:paraId="6986F75B" w14:textId="77777777" w:rsidR="00CF5BA9" w:rsidRPr="006436C0" w:rsidRDefault="00CF5BA9" w:rsidP="00CF5BA9">
      <w:pPr>
        <w:pStyle w:val="Corpotesto"/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6436C0">
        <w:rPr>
          <w:rFonts w:ascii="Times New Roman" w:hAnsi="Times New Roman" w:cs="Times New Roman"/>
          <w:noProof/>
          <w:sz w:val="24"/>
          <w:szCs w:val="24"/>
        </w:rPr>
        <w:t>Careggi University Hospital, University of Florence School of Medicine,</w:t>
      </w:r>
    </w:p>
    <w:p w14:paraId="79CC56B1" w14:textId="77777777" w:rsidR="00CF5BA9" w:rsidRPr="00C70FB7" w:rsidRDefault="00CF5BA9" w:rsidP="00CF5BA9">
      <w:pPr>
        <w:pStyle w:val="Corpotesto"/>
        <w:spacing w:line="480" w:lineRule="auto"/>
        <w:rPr>
          <w:rFonts w:ascii="Times New Roman" w:hAnsi="Times New Roman" w:cs="Times New Roman"/>
          <w:noProof/>
          <w:sz w:val="24"/>
          <w:szCs w:val="24"/>
          <w:lang w:val="it-IT"/>
        </w:rPr>
      </w:pPr>
      <w:r w:rsidRPr="006436C0">
        <w:rPr>
          <w:rFonts w:ascii="Times New Roman" w:hAnsi="Times New Roman" w:cs="Times New Roman"/>
          <w:noProof/>
          <w:sz w:val="24"/>
          <w:szCs w:val="24"/>
          <w:lang w:val="it-IT"/>
        </w:rPr>
        <w:t>Viale Morgagni, 85 Firenze, Italy (e-mail: cdani@unifi.It).</w:t>
      </w:r>
    </w:p>
    <w:bookmarkEnd w:id="0"/>
    <w:p w14:paraId="4F8F10CC" w14:textId="77777777" w:rsidR="0087547F" w:rsidRPr="000537C7" w:rsidRDefault="0087547F">
      <w:pPr>
        <w:rPr>
          <w:rFonts w:ascii="Times New Roman" w:hAnsi="Times New Roman" w:cs="Times New Roman"/>
          <w:b/>
          <w:sz w:val="24"/>
          <w:szCs w:val="24"/>
        </w:rPr>
      </w:pPr>
      <w:r w:rsidRPr="000537C7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14:paraId="3E843B93" w14:textId="77777777" w:rsidR="0087547F" w:rsidRPr="000537C7" w:rsidRDefault="0087547F">
      <w:pPr>
        <w:rPr>
          <w:rFonts w:ascii="Times New Roman" w:hAnsi="Times New Roman" w:cs="Times New Roman"/>
          <w:sz w:val="24"/>
          <w:szCs w:val="24"/>
        </w:rPr>
      </w:pPr>
    </w:p>
    <w:p w14:paraId="71EE4B98" w14:textId="77777777" w:rsidR="0087547F" w:rsidRPr="0087547F" w:rsidRDefault="0087547F" w:rsidP="0087547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47F"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Pr="0087547F">
        <w:rPr>
          <w:rFonts w:ascii="Times New Roman" w:hAnsi="Times New Roman" w:cs="Times New Roman"/>
          <w:sz w:val="24"/>
          <w:szCs w:val="24"/>
        </w:rPr>
        <w:t xml:space="preserve">. Baseline and post lung injury (Post-BAL) characteristics of </w:t>
      </w:r>
      <w:r w:rsidRPr="0087547F">
        <w:rPr>
          <w:rFonts w:ascii="Times New Roman" w:eastAsia="Calibri" w:hAnsi="Times New Roman" w:cs="Times New Roman"/>
          <w:sz w:val="24"/>
          <w:szCs w:val="24"/>
        </w:rPr>
        <w:t>surfactant-depleted adult rabbits treated with nasal continuous positive pressure ventilation (</w:t>
      </w:r>
      <w:proofErr w:type="spellStart"/>
      <w:r w:rsidRPr="0087547F">
        <w:rPr>
          <w:rFonts w:ascii="Times New Roman" w:eastAsia="Calibri" w:hAnsi="Times New Roman" w:cs="Times New Roman"/>
          <w:sz w:val="24"/>
          <w:szCs w:val="24"/>
        </w:rPr>
        <w:t>n</w:t>
      </w:r>
      <w:r>
        <w:rPr>
          <w:rFonts w:ascii="Times New Roman" w:eastAsia="Calibri" w:hAnsi="Times New Roman" w:cs="Times New Roman"/>
          <w:sz w:val="24"/>
          <w:szCs w:val="24"/>
        </w:rPr>
        <w:t>CPAP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),</w:t>
      </w:r>
      <w:r w:rsidRPr="0087547F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87547F">
        <w:rPr>
          <w:rFonts w:ascii="Times New Roman" w:hAnsi="Times New Roman" w:cs="Times New Roman"/>
          <w:sz w:val="24"/>
          <w:szCs w:val="24"/>
        </w:rPr>
        <w:t>intratracheal</w:t>
      </w:r>
      <w:proofErr w:type="spellEnd"/>
      <w:r w:rsidRPr="0087547F">
        <w:rPr>
          <w:rFonts w:ascii="Times New Roman" w:hAnsi="Times New Roman" w:cs="Times New Roman"/>
          <w:sz w:val="24"/>
          <w:szCs w:val="24"/>
        </w:rPr>
        <w:t xml:space="preserve"> surfactant (Inst-SURF), or with different doses of nebulized surfactant (Neb-SURF100, Neb-SURF200, Neb-SURF400, and Neb-SURF600.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33"/>
        <w:gridCol w:w="1123"/>
        <w:gridCol w:w="1126"/>
        <w:gridCol w:w="1131"/>
        <w:gridCol w:w="1229"/>
        <w:gridCol w:w="1604"/>
        <w:gridCol w:w="1604"/>
      </w:tblGrid>
      <w:tr w:rsidR="0087547F" w:rsidRPr="0087547F" w14:paraId="3E64B4CC" w14:textId="77777777" w:rsidTr="0087547F">
        <w:tc>
          <w:tcPr>
            <w:tcW w:w="1533" w:type="dxa"/>
          </w:tcPr>
          <w:p w14:paraId="5DD6F436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Group</w:t>
            </w:r>
          </w:p>
        </w:tc>
        <w:tc>
          <w:tcPr>
            <w:tcW w:w="1123" w:type="dxa"/>
          </w:tcPr>
          <w:p w14:paraId="1A63AE56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Birth Weight </w:t>
            </w:r>
          </w:p>
          <w:p w14:paraId="7D23D03C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(kg)</w:t>
            </w:r>
          </w:p>
        </w:tc>
        <w:tc>
          <w:tcPr>
            <w:tcW w:w="1126" w:type="dxa"/>
          </w:tcPr>
          <w:p w14:paraId="61F89A6F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Number of BALs</w:t>
            </w:r>
          </w:p>
        </w:tc>
        <w:tc>
          <w:tcPr>
            <w:tcW w:w="1131" w:type="dxa"/>
          </w:tcPr>
          <w:p w14:paraId="19499248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Baseline PaO</w:t>
            </w:r>
            <w:r w:rsidRPr="0087547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(mmHg)</w:t>
            </w:r>
          </w:p>
        </w:tc>
        <w:tc>
          <w:tcPr>
            <w:tcW w:w="1229" w:type="dxa"/>
          </w:tcPr>
          <w:p w14:paraId="367D9498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Post-BALs PaO</w:t>
            </w:r>
            <w:r w:rsidRPr="0087547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(mmHg)</w:t>
            </w:r>
          </w:p>
        </w:tc>
        <w:tc>
          <w:tcPr>
            <w:tcW w:w="1604" w:type="dxa"/>
          </w:tcPr>
          <w:p w14:paraId="0ABA6D27" w14:textId="77777777" w:rsidR="0087547F" w:rsidRPr="0087547F" w:rsidRDefault="0087547F" w:rsidP="008754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Baseline </w:t>
            </w:r>
          </w:p>
          <w:p w14:paraId="2CFA3428" w14:textId="77777777" w:rsidR="0087547F" w:rsidRPr="0087547F" w:rsidRDefault="0087547F" w:rsidP="008754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Cdyn (mL/cmH</w:t>
            </w:r>
            <w:r w:rsidRPr="0087547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O/kg)</w:t>
            </w:r>
          </w:p>
        </w:tc>
        <w:tc>
          <w:tcPr>
            <w:tcW w:w="1604" w:type="dxa"/>
          </w:tcPr>
          <w:p w14:paraId="15AFA4D8" w14:textId="77777777" w:rsidR="0087547F" w:rsidRDefault="0087547F" w:rsidP="008754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Post-BALs </w:t>
            </w:r>
          </w:p>
          <w:p w14:paraId="0E53C2CC" w14:textId="77777777" w:rsidR="0087547F" w:rsidRPr="0087547F" w:rsidRDefault="0087547F" w:rsidP="008754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Cdyn (mL/cmH</w:t>
            </w:r>
            <w:r w:rsidRPr="0087547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O/kg)</w:t>
            </w:r>
          </w:p>
        </w:tc>
      </w:tr>
      <w:tr w:rsidR="0087547F" w:rsidRPr="0087547F" w14:paraId="3DF28EE0" w14:textId="77777777" w:rsidTr="0087547F">
        <w:tc>
          <w:tcPr>
            <w:tcW w:w="1533" w:type="dxa"/>
          </w:tcPr>
          <w:p w14:paraId="3878C1CA" w14:textId="77777777" w:rsidR="0087547F" w:rsidRPr="0087547F" w:rsidRDefault="0087547F" w:rsidP="00E21EE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nCPAP</w:t>
            </w:r>
            <w:proofErr w:type="spellEnd"/>
          </w:p>
        </w:tc>
        <w:tc>
          <w:tcPr>
            <w:tcW w:w="1123" w:type="dxa"/>
          </w:tcPr>
          <w:p w14:paraId="0BAF2765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eastAsia="Calibri" w:hAnsi="Times New Roman" w:cs="Times New Roman"/>
                <w:sz w:val="20"/>
                <w:szCs w:val="20"/>
              </w:rPr>
              <w:t>1.72 ± 0.1</w:t>
            </w:r>
          </w:p>
        </w:tc>
        <w:tc>
          <w:tcPr>
            <w:tcW w:w="1126" w:type="dxa"/>
          </w:tcPr>
          <w:p w14:paraId="59870C55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eastAsia="Calibri" w:hAnsi="Times New Roman" w:cs="Times New Roman"/>
                <w:sz w:val="20"/>
                <w:szCs w:val="20"/>
              </w:rPr>
              <w:t>7.33 ± 1</w:t>
            </w:r>
          </w:p>
        </w:tc>
        <w:tc>
          <w:tcPr>
            <w:tcW w:w="1131" w:type="dxa"/>
          </w:tcPr>
          <w:p w14:paraId="2CF0ED06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473 ± 19</w:t>
            </w:r>
          </w:p>
        </w:tc>
        <w:tc>
          <w:tcPr>
            <w:tcW w:w="1229" w:type="dxa"/>
          </w:tcPr>
          <w:p w14:paraId="31C1D858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95 ± 11</w:t>
            </w:r>
          </w:p>
        </w:tc>
        <w:tc>
          <w:tcPr>
            <w:tcW w:w="1604" w:type="dxa"/>
          </w:tcPr>
          <w:p w14:paraId="749587A6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0.88 ± 0.05</w:t>
            </w:r>
          </w:p>
        </w:tc>
        <w:tc>
          <w:tcPr>
            <w:tcW w:w="1604" w:type="dxa"/>
          </w:tcPr>
          <w:p w14:paraId="2781E9C9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0.20 ± 0.02</w:t>
            </w:r>
          </w:p>
        </w:tc>
      </w:tr>
      <w:tr w:rsidR="0087547F" w:rsidRPr="0087547F" w14:paraId="074FBE30" w14:textId="77777777" w:rsidTr="0087547F">
        <w:tc>
          <w:tcPr>
            <w:tcW w:w="1533" w:type="dxa"/>
          </w:tcPr>
          <w:p w14:paraId="1D5FEC76" w14:textId="77777777" w:rsidR="0087547F" w:rsidRPr="0087547F" w:rsidRDefault="0087547F" w:rsidP="00E21EE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Inst-SURF</w:t>
            </w:r>
          </w:p>
        </w:tc>
        <w:tc>
          <w:tcPr>
            <w:tcW w:w="1123" w:type="dxa"/>
          </w:tcPr>
          <w:p w14:paraId="03FF307B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eastAsia="Calibri" w:hAnsi="Times New Roman" w:cs="Times New Roman"/>
                <w:sz w:val="20"/>
                <w:szCs w:val="20"/>
              </w:rPr>
              <w:t>1.70 ± 0.1</w:t>
            </w:r>
          </w:p>
        </w:tc>
        <w:tc>
          <w:tcPr>
            <w:tcW w:w="1126" w:type="dxa"/>
          </w:tcPr>
          <w:p w14:paraId="6FF38857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 xml:space="preserve">5.10 </w:t>
            </w:r>
            <w:r w:rsidRPr="0087547F">
              <w:rPr>
                <w:rFonts w:ascii="Times New Roman" w:eastAsia="Calibri" w:hAnsi="Times New Roman" w:cs="Times New Roman"/>
                <w:sz w:val="20"/>
                <w:szCs w:val="20"/>
              </w:rPr>
              <w:t>± 1</w:t>
            </w:r>
          </w:p>
        </w:tc>
        <w:tc>
          <w:tcPr>
            <w:tcW w:w="1131" w:type="dxa"/>
          </w:tcPr>
          <w:p w14:paraId="6CC27181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468 ± 13</w:t>
            </w:r>
          </w:p>
        </w:tc>
        <w:tc>
          <w:tcPr>
            <w:tcW w:w="1229" w:type="dxa"/>
          </w:tcPr>
          <w:p w14:paraId="7A896476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70 ±17</w:t>
            </w:r>
          </w:p>
        </w:tc>
        <w:tc>
          <w:tcPr>
            <w:tcW w:w="1604" w:type="dxa"/>
          </w:tcPr>
          <w:p w14:paraId="03DFF3CA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1.09 ± 0.02</w:t>
            </w:r>
          </w:p>
        </w:tc>
        <w:tc>
          <w:tcPr>
            <w:tcW w:w="1604" w:type="dxa"/>
          </w:tcPr>
          <w:p w14:paraId="419835AB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0.31 ± 0.04</w:t>
            </w:r>
          </w:p>
        </w:tc>
      </w:tr>
      <w:tr w:rsidR="0087547F" w:rsidRPr="0087547F" w14:paraId="34A822D9" w14:textId="77777777" w:rsidTr="0087547F">
        <w:tc>
          <w:tcPr>
            <w:tcW w:w="1533" w:type="dxa"/>
          </w:tcPr>
          <w:p w14:paraId="193FDB7B" w14:textId="77777777" w:rsidR="0087547F" w:rsidRPr="0087547F" w:rsidRDefault="0087547F" w:rsidP="00E21EE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Neb-SURF100</w:t>
            </w:r>
          </w:p>
        </w:tc>
        <w:tc>
          <w:tcPr>
            <w:tcW w:w="1123" w:type="dxa"/>
          </w:tcPr>
          <w:p w14:paraId="41D3BF52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eastAsia="Calibri" w:hAnsi="Times New Roman" w:cs="Times New Roman"/>
                <w:sz w:val="20"/>
                <w:szCs w:val="20"/>
              </w:rPr>
              <w:t>1.80 ± 0.1</w:t>
            </w:r>
          </w:p>
        </w:tc>
        <w:tc>
          <w:tcPr>
            <w:tcW w:w="1126" w:type="dxa"/>
          </w:tcPr>
          <w:p w14:paraId="735F8B1F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eastAsia="Calibri" w:hAnsi="Times New Roman" w:cs="Times New Roman"/>
                <w:sz w:val="20"/>
                <w:szCs w:val="20"/>
              </w:rPr>
              <w:t>7.44 ± 1</w:t>
            </w:r>
          </w:p>
        </w:tc>
        <w:tc>
          <w:tcPr>
            <w:tcW w:w="1131" w:type="dxa"/>
          </w:tcPr>
          <w:p w14:paraId="33691867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456 ± 14</w:t>
            </w:r>
          </w:p>
        </w:tc>
        <w:tc>
          <w:tcPr>
            <w:tcW w:w="1229" w:type="dxa"/>
          </w:tcPr>
          <w:p w14:paraId="61D9EFDF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91 ± 7</w:t>
            </w:r>
          </w:p>
        </w:tc>
        <w:tc>
          <w:tcPr>
            <w:tcW w:w="1604" w:type="dxa"/>
          </w:tcPr>
          <w:p w14:paraId="00D430A8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0.93 ± 0.06</w:t>
            </w:r>
          </w:p>
        </w:tc>
        <w:tc>
          <w:tcPr>
            <w:tcW w:w="1604" w:type="dxa"/>
          </w:tcPr>
          <w:p w14:paraId="675B4D0F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0.28 ± 0.04</w:t>
            </w:r>
          </w:p>
        </w:tc>
      </w:tr>
      <w:tr w:rsidR="0087547F" w:rsidRPr="0087547F" w14:paraId="14C3BFB9" w14:textId="77777777" w:rsidTr="0087547F">
        <w:tc>
          <w:tcPr>
            <w:tcW w:w="1533" w:type="dxa"/>
          </w:tcPr>
          <w:p w14:paraId="314DC170" w14:textId="77777777" w:rsidR="0087547F" w:rsidRPr="0087547F" w:rsidRDefault="0087547F" w:rsidP="00E21EE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Neb-SURF200</w:t>
            </w:r>
          </w:p>
        </w:tc>
        <w:tc>
          <w:tcPr>
            <w:tcW w:w="1123" w:type="dxa"/>
          </w:tcPr>
          <w:p w14:paraId="0F02C107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eastAsia="Calibri" w:hAnsi="Times New Roman" w:cs="Times New Roman"/>
                <w:sz w:val="20"/>
                <w:szCs w:val="20"/>
              </w:rPr>
              <w:t>1.71 ± 0.1</w:t>
            </w:r>
          </w:p>
        </w:tc>
        <w:tc>
          <w:tcPr>
            <w:tcW w:w="1126" w:type="dxa"/>
          </w:tcPr>
          <w:p w14:paraId="77B3ED20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eastAsia="Calibri" w:hAnsi="Times New Roman" w:cs="Times New Roman"/>
                <w:sz w:val="20"/>
                <w:szCs w:val="20"/>
              </w:rPr>
              <w:t>5.78 ± 1</w:t>
            </w:r>
          </w:p>
        </w:tc>
        <w:tc>
          <w:tcPr>
            <w:tcW w:w="1131" w:type="dxa"/>
          </w:tcPr>
          <w:p w14:paraId="4C9CDEAF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472 ± 11</w:t>
            </w:r>
          </w:p>
        </w:tc>
        <w:tc>
          <w:tcPr>
            <w:tcW w:w="1229" w:type="dxa"/>
          </w:tcPr>
          <w:p w14:paraId="3917B55E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93 ± 8</w:t>
            </w:r>
          </w:p>
        </w:tc>
        <w:tc>
          <w:tcPr>
            <w:tcW w:w="1604" w:type="dxa"/>
          </w:tcPr>
          <w:p w14:paraId="5D95B029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1.07 ± 0.09</w:t>
            </w:r>
          </w:p>
        </w:tc>
        <w:tc>
          <w:tcPr>
            <w:tcW w:w="1604" w:type="dxa"/>
          </w:tcPr>
          <w:p w14:paraId="52940D01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0.34 ± 0.02</w:t>
            </w:r>
          </w:p>
        </w:tc>
      </w:tr>
      <w:tr w:rsidR="0087547F" w:rsidRPr="0087547F" w14:paraId="180C4D8B" w14:textId="77777777" w:rsidTr="0087547F">
        <w:tc>
          <w:tcPr>
            <w:tcW w:w="1533" w:type="dxa"/>
          </w:tcPr>
          <w:p w14:paraId="349EE650" w14:textId="77777777" w:rsidR="0087547F" w:rsidRPr="0087547F" w:rsidRDefault="0087547F" w:rsidP="00E21EE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b/>
                <w:sz w:val="20"/>
                <w:szCs w:val="20"/>
              </w:rPr>
              <w:t>Neb-SURF400</w:t>
            </w:r>
          </w:p>
        </w:tc>
        <w:tc>
          <w:tcPr>
            <w:tcW w:w="1123" w:type="dxa"/>
          </w:tcPr>
          <w:p w14:paraId="4EF65730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eastAsia="Calibri" w:hAnsi="Times New Roman" w:cs="Times New Roman"/>
                <w:sz w:val="20"/>
                <w:szCs w:val="20"/>
              </w:rPr>
              <w:t>1.76 ± 0.1</w:t>
            </w:r>
          </w:p>
        </w:tc>
        <w:tc>
          <w:tcPr>
            <w:tcW w:w="1126" w:type="dxa"/>
          </w:tcPr>
          <w:p w14:paraId="5B7BBB41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eastAsia="Calibri" w:hAnsi="Times New Roman" w:cs="Times New Roman"/>
                <w:sz w:val="20"/>
                <w:szCs w:val="20"/>
              </w:rPr>
              <w:t>6.22 ± 1</w:t>
            </w:r>
          </w:p>
        </w:tc>
        <w:tc>
          <w:tcPr>
            <w:tcW w:w="1131" w:type="dxa"/>
          </w:tcPr>
          <w:p w14:paraId="34CB9F41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478 ± 8</w:t>
            </w:r>
          </w:p>
        </w:tc>
        <w:tc>
          <w:tcPr>
            <w:tcW w:w="1229" w:type="dxa"/>
          </w:tcPr>
          <w:p w14:paraId="02A95702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101 ±10</w:t>
            </w:r>
          </w:p>
        </w:tc>
        <w:tc>
          <w:tcPr>
            <w:tcW w:w="1604" w:type="dxa"/>
          </w:tcPr>
          <w:p w14:paraId="357BABC3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1.02 ± 0.04</w:t>
            </w:r>
          </w:p>
        </w:tc>
        <w:tc>
          <w:tcPr>
            <w:tcW w:w="1604" w:type="dxa"/>
          </w:tcPr>
          <w:p w14:paraId="64792EFB" w14:textId="77777777" w:rsidR="0087547F" w:rsidRPr="0087547F" w:rsidRDefault="0087547F" w:rsidP="00E21EE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47F">
              <w:rPr>
                <w:rFonts w:ascii="Times New Roman" w:hAnsi="Times New Roman" w:cs="Times New Roman"/>
                <w:sz w:val="20"/>
                <w:szCs w:val="20"/>
              </w:rPr>
              <w:t>0.22 ± 0.02</w:t>
            </w:r>
          </w:p>
        </w:tc>
      </w:tr>
    </w:tbl>
    <w:p w14:paraId="2B0798BA" w14:textId="77777777" w:rsidR="0087547F" w:rsidRDefault="00E76C4D" w:rsidP="0087547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BAL, Broncho-Alveolar Lavage; PaO</w:t>
      </w:r>
      <w:r w:rsidRPr="00E76C4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, Arterial Oxygen Partial Pressure; C</w:t>
      </w:r>
      <w:r w:rsidRPr="00E76C4D">
        <w:rPr>
          <w:rFonts w:ascii="Times New Roman" w:hAnsi="Times New Roman" w:cs="Times New Roman"/>
          <w:sz w:val="20"/>
          <w:szCs w:val="20"/>
          <w:vertAlign w:val="subscript"/>
        </w:rPr>
        <w:t>dyn</w:t>
      </w:r>
      <w:r>
        <w:rPr>
          <w:rFonts w:ascii="Times New Roman" w:hAnsi="Times New Roman" w:cs="Times New Roman"/>
          <w:sz w:val="20"/>
          <w:szCs w:val="20"/>
        </w:rPr>
        <w:t>, Dynamic compliance.</w:t>
      </w:r>
    </w:p>
    <w:p w14:paraId="5D7AD922" w14:textId="77777777" w:rsidR="00E76C4D" w:rsidRDefault="00E76C4D" w:rsidP="0087547F">
      <w:pPr>
        <w:rPr>
          <w:rFonts w:ascii="Times New Roman" w:hAnsi="Times New Roman" w:cs="Times New Roman"/>
          <w:sz w:val="20"/>
          <w:szCs w:val="20"/>
        </w:rPr>
      </w:pPr>
    </w:p>
    <w:p w14:paraId="4CE8C4B8" w14:textId="77777777" w:rsidR="00E76C4D" w:rsidRDefault="00E76C4D" w:rsidP="0087547F">
      <w:pPr>
        <w:rPr>
          <w:rFonts w:ascii="Times New Roman" w:hAnsi="Times New Roman" w:cs="Times New Roman"/>
          <w:sz w:val="20"/>
          <w:szCs w:val="20"/>
        </w:rPr>
      </w:pPr>
    </w:p>
    <w:p w14:paraId="4647A92B" w14:textId="0DA2676D" w:rsidR="00E76C4D" w:rsidRDefault="00E76C4D" w:rsidP="008754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</w:t>
      </w:r>
      <w:r w:rsidRPr="0087547F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E76C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B1C95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="008B1C95">
        <w:rPr>
          <w:rFonts w:ascii="Times New Roman" w:hAnsi="Times New Roman" w:cs="Times New Roman"/>
          <w:sz w:val="24"/>
          <w:szCs w:val="24"/>
        </w:rPr>
        <w:t xml:space="preserve"> cast with silicon-coated nostrils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9CBC6F1" w14:textId="77777777" w:rsidR="008B1C95" w:rsidRDefault="008B1C95" w:rsidP="008B1C95">
      <w:pPr>
        <w:spacing w:after="0"/>
        <w:rPr>
          <w:rFonts w:ascii="Segoe UI" w:hAnsi="Segoe UI" w:cs="Segoe UI"/>
          <w:i/>
          <w:color w:val="44546A" w:themeColor="text2"/>
          <w:shd w:val="clear" w:color="auto" w:fill="FFFFFF"/>
          <w:lang w:val="en-GB" w:eastAsia="en-GB"/>
        </w:rPr>
      </w:pPr>
      <w:r w:rsidRPr="00E265B6">
        <w:rPr>
          <w:rFonts w:ascii="Segoe UI" w:hAnsi="Segoe UI" w:cs="Segoe UI"/>
          <w:i/>
          <w:noProof/>
          <w:color w:val="44546A" w:themeColor="text2"/>
          <w:shd w:val="clear" w:color="auto" w:fill="FFFFFF"/>
          <w:lang w:val="it-IT" w:eastAsia="it-IT"/>
        </w:rPr>
        <w:drawing>
          <wp:inline distT="0" distB="0" distL="0" distR="0" wp14:anchorId="6BE468B2" wp14:editId="555F6503">
            <wp:extent cx="4166235" cy="284668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830" cy="289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4631B149" w14:textId="5802F463" w:rsidR="00E76C4D" w:rsidRDefault="00E76C4D" w:rsidP="0087547F">
      <w:pPr>
        <w:rPr>
          <w:rFonts w:ascii="Segoe UI" w:hAnsi="Segoe UI" w:cs="Segoe UI"/>
          <w:bCs/>
          <w:color w:val="000000" w:themeColor="text1"/>
          <w:shd w:val="clear" w:color="auto" w:fill="FFFFFF"/>
          <w:lang w:val="it-IT" w:eastAsia="en-GB"/>
        </w:rPr>
      </w:pPr>
    </w:p>
    <w:p w14:paraId="19A297B3" w14:textId="77777777" w:rsidR="00851B7C" w:rsidRPr="003277ED" w:rsidRDefault="00851B7C" w:rsidP="00851B7C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277ED">
        <w:rPr>
          <w:rFonts w:ascii="Times New Roman" w:hAnsi="Times New Roman" w:cs="Times New Roman"/>
          <w:noProof/>
          <w:sz w:val="24"/>
          <w:szCs w:val="24"/>
        </w:rPr>
        <w:t xml:space="preserve">The infant nose-throat cast was 3D printed (1zu1 prototypen, Dornibirn, Austria) as a solid substance (material: DSM water clear ultra 10122). The nose area was silicon-coated to achieve a tight connection between cast and prongs. </w:t>
      </w:r>
    </w:p>
    <w:p w14:paraId="552FC452" w14:textId="61B1FCEE" w:rsidR="00E76C4D" w:rsidRDefault="00E76C4D" w:rsidP="00E76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2</w:t>
      </w:r>
      <w:r w:rsidR="00AF51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5174" w:rsidRPr="00AF5174">
        <w:rPr>
          <w:rFonts w:ascii="Times New Roman" w:hAnsi="Times New Roman" w:cs="Times New Roman"/>
          <w:sz w:val="24"/>
          <w:szCs w:val="24"/>
        </w:rPr>
        <w:t>Nebulizer output assessment</w:t>
      </w:r>
      <w:r w:rsidR="00AF5174">
        <w:rPr>
          <w:rFonts w:ascii="Times New Roman" w:hAnsi="Times New Roman" w:cs="Times New Roman"/>
          <w:sz w:val="24"/>
          <w:szCs w:val="24"/>
        </w:rPr>
        <w:t>.</w:t>
      </w:r>
    </w:p>
    <w:p w14:paraId="044133AC" w14:textId="4F34883D" w:rsidR="00AF5174" w:rsidRDefault="00DF4F06" w:rsidP="00E76C4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t-IT" w:eastAsia="it-IT"/>
        </w:rPr>
        <w:drawing>
          <wp:inline distT="0" distB="0" distL="0" distR="0" wp14:anchorId="2D5B5A76" wp14:editId="313B05E0">
            <wp:extent cx="5943600" cy="272732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DD45D" w14:textId="5F3EB012" w:rsidR="00AF5174" w:rsidRPr="00DF4F06" w:rsidRDefault="00D415C9" w:rsidP="00DF4F06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In total</w:t>
      </w:r>
      <w:r w:rsidR="00DF4F06">
        <w:rPr>
          <w:rFonts w:ascii="Times New Roman" w:eastAsia="Calibri" w:hAnsi="Times New Roman" w:cs="Times New Roman"/>
          <w:sz w:val="24"/>
          <w:szCs w:val="24"/>
        </w:rPr>
        <w:t xml:space="preserve"> 41 independent nebulizer units were used in the present study. (A) Shows the distribution of the output rate of all devices. In (B) the box-plot shows the output rate as a function of the treatment group. The 5 nebulizers used in the </w:t>
      </w:r>
      <w:r w:rsidR="00DF4F06" w:rsidRPr="00DF4F06">
        <w:rPr>
          <w:rFonts w:ascii="Times New Roman" w:eastAsia="Calibri" w:hAnsi="Times New Roman" w:cs="Times New Roman"/>
          <w:i/>
          <w:sz w:val="24"/>
          <w:szCs w:val="24"/>
        </w:rPr>
        <w:t>in vitro</w:t>
      </w:r>
      <w:r w:rsidR="00DF4F06">
        <w:rPr>
          <w:rFonts w:ascii="Times New Roman" w:eastAsia="Calibri" w:hAnsi="Times New Roman" w:cs="Times New Roman"/>
          <w:sz w:val="24"/>
          <w:szCs w:val="24"/>
        </w:rPr>
        <w:t xml:space="preserve"> study are also represented in the graph. The boxes encompass the 25-75 percentile. The horizontal line within the box represents the median, whereas the small square represents the mean. The whiskers indicate the maximum and minimum values for each group. </w:t>
      </w:r>
    </w:p>
    <w:sectPr w:rsidR="00AF5174" w:rsidRPr="00DF4F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80A3E"/>
    <w:multiLevelType w:val="hybridMultilevel"/>
    <w:tmpl w:val="C5BAF1CE"/>
    <w:lvl w:ilvl="0" w:tplc="6670479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431BC"/>
    <w:multiLevelType w:val="hybridMultilevel"/>
    <w:tmpl w:val="F53E1218"/>
    <w:lvl w:ilvl="0" w:tplc="0548FC7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7F"/>
    <w:rsid w:val="000537C7"/>
    <w:rsid w:val="0014365F"/>
    <w:rsid w:val="005558E2"/>
    <w:rsid w:val="00636A52"/>
    <w:rsid w:val="00775429"/>
    <w:rsid w:val="00851B7C"/>
    <w:rsid w:val="0087547F"/>
    <w:rsid w:val="008B1C95"/>
    <w:rsid w:val="00AF5174"/>
    <w:rsid w:val="00C86B47"/>
    <w:rsid w:val="00CB082A"/>
    <w:rsid w:val="00CF5BA9"/>
    <w:rsid w:val="00D22B35"/>
    <w:rsid w:val="00D415C9"/>
    <w:rsid w:val="00DF4F06"/>
    <w:rsid w:val="00E40638"/>
    <w:rsid w:val="00E435AF"/>
    <w:rsid w:val="00E7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B46E"/>
  <w15:chartTrackingRefBased/>
  <w15:docId w15:val="{F526E00B-7699-4569-B4D3-DF4B58F8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547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75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7547F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7547F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7547F"/>
  </w:style>
  <w:style w:type="character" w:styleId="Rimandocommento">
    <w:name w:val="annotation reference"/>
    <w:basedOn w:val="Carpredefinitoparagrafo"/>
    <w:uiPriority w:val="99"/>
    <w:semiHidden/>
    <w:unhideWhenUsed/>
    <w:rsid w:val="0087547F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47F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875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F5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495</Words>
  <Characters>2827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Helmholtz-Zentrum für Infektionsforschung GmbH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Murgia Esteve, Xabier</dc:creator>
  <cp:keywords/>
  <dc:description/>
  <cp:lastModifiedBy>Carlo Dani</cp:lastModifiedBy>
  <cp:revision>2</cp:revision>
  <dcterms:created xsi:type="dcterms:W3CDTF">2019-05-02T08:40:00Z</dcterms:created>
  <dcterms:modified xsi:type="dcterms:W3CDTF">2019-05-02T08:40:00Z</dcterms:modified>
</cp:coreProperties>
</file>