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59C4" w:rsidRPr="004E5E5D" w:rsidRDefault="002159C4" w:rsidP="002159C4">
      <w:pPr>
        <w:rPr>
          <w:highlight w:val="yellow"/>
          <w:lang w:val="en-GB"/>
        </w:rPr>
      </w:pPr>
      <w:r w:rsidRPr="004E5E5D">
        <w:rPr>
          <w:b/>
          <w:lang w:val="en-GB"/>
        </w:rPr>
        <w:t xml:space="preserve">Additional file </w:t>
      </w:r>
      <w:r>
        <w:rPr>
          <w:b/>
          <w:lang w:val="en-GB"/>
        </w:rPr>
        <w:t>6</w:t>
      </w:r>
      <w:r w:rsidRPr="004E5E5D">
        <w:rPr>
          <w:b/>
          <w:lang w:val="en-GB"/>
        </w:rPr>
        <w:t>: Known groups validity</w:t>
      </w:r>
    </w:p>
    <w:tbl>
      <w:tblPr>
        <w:tblStyle w:val="TableGrid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790"/>
        <w:gridCol w:w="1476"/>
        <w:gridCol w:w="1622"/>
        <w:gridCol w:w="7"/>
        <w:gridCol w:w="1455"/>
        <w:gridCol w:w="1622"/>
        <w:gridCol w:w="1622"/>
      </w:tblGrid>
      <w:tr w:rsidR="002159C4" w:rsidRPr="004E5E5D" w:rsidTr="002D6258">
        <w:tc>
          <w:tcPr>
            <w:tcW w:w="1790" w:type="dxa"/>
            <w:vAlign w:val="center"/>
          </w:tcPr>
          <w:p w:rsidR="002159C4" w:rsidRPr="004E5E5D" w:rsidRDefault="002159C4" w:rsidP="002D6258">
            <w:pPr>
              <w:jc w:val="center"/>
              <w:rPr>
                <w:b/>
                <w:lang w:val="en-GB"/>
              </w:rPr>
            </w:pPr>
            <w:r w:rsidRPr="004E5E5D">
              <w:rPr>
                <w:b/>
                <w:lang w:val="en-GB"/>
              </w:rPr>
              <w:t>Variable</w:t>
            </w:r>
          </w:p>
        </w:tc>
        <w:tc>
          <w:tcPr>
            <w:tcW w:w="1476" w:type="dxa"/>
            <w:vAlign w:val="center"/>
          </w:tcPr>
          <w:p w:rsidR="002159C4" w:rsidRPr="004E5E5D" w:rsidRDefault="002159C4" w:rsidP="002D6258">
            <w:pPr>
              <w:jc w:val="center"/>
              <w:rPr>
                <w:b/>
                <w:i/>
                <w:lang w:val="en-GB"/>
              </w:rPr>
            </w:pPr>
            <w:r w:rsidRPr="004E5E5D">
              <w:rPr>
                <w:b/>
                <w:i/>
                <w:lang w:val="en-GB"/>
              </w:rPr>
              <w:t>n</w:t>
            </w:r>
          </w:p>
        </w:tc>
        <w:tc>
          <w:tcPr>
            <w:tcW w:w="1629" w:type="dxa"/>
            <w:gridSpan w:val="2"/>
            <w:vAlign w:val="center"/>
          </w:tcPr>
          <w:p w:rsidR="002159C4" w:rsidRPr="004E5E5D" w:rsidRDefault="002159C4" w:rsidP="002D6258">
            <w:pPr>
              <w:jc w:val="center"/>
              <w:rPr>
                <w:b/>
                <w:lang w:val="en-GB"/>
              </w:rPr>
            </w:pPr>
            <w:r w:rsidRPr="004E5E5D">
              <w:rPr>
                <w:b/>
                <w:lang w:val="en-GB"/>
              </w:rPr>
              <w:t>Mean SGRQ-I total score (SD)</w:t>
            </w:r>
          </w:p>
        </w:tc>
        <w:tc>
          <w:tcPr>
            <w:tcW w:w="1455" w:type="dxa"/>
          </w:tcPr>
          <w:p w:rsidR="002159C4" w:rsidRPr="004E5E5D" w:rsidRDefault="002159C4" w:rsidP="002D6258">
            <w:pPr>
              <w:jc w:val="center"/>
              <w:rPr>
                <w:b/>
                <w:lang w:val="en-GB"/>
              </w:rPr>
            </w:pPr>
            <w:r w:rsidRPr="004E5E5D">
              <w:rPr>
                <w:b/>
                <w:lang w:val="en-GB"/>
              </w:rPr>
              <w:t>Mean difference (95% CI)</w:t>
            </w:r>
          </w:p>
        </w:tc>
        <w:tc>
          <w:tcPr>
            <w:tcW w:w="1622" w:type="dxa"/>
            <w:vAlign w:val="center"/>
          </w:tcPr>
          <w:p w:rsidR="002159C4" w:rsidRPr="004E5E5D" w:rsidRDefault="002159C4" w:rsidP="002D6258">
            <w:pPr>
              <w:jc w:val="center"/>
              <w:rPr>
                <w:b/>
                <w:lang w:val="en-GB"/>
              </w:rPr>
            </w:pPr>
            <w:r w:rsidRPr="004E5E5D">
              <w:rPr>
                <w:b/>
                <w:lang w:val="en-GB"/>
              </w:rPr>
              <w:t>p-value</w:t>
            </w:r>
          </w:p>
        </w:tc>
        <w:tc>
          <w:tcPr>
            <w:tcW w:w="1622" w:type="dxa"/>
            <w:vAlign w:val="center"/>
          </w:tcPr>
          <w:p w:rsidR="002159C4" w:rsidRPr="004E5E5D" w:rsidRDefault="002159C4" w:rsidP="002D6258">
            <w:pPr>
              <w:jc w:val="center"/>
              <w:rPr>
                <w:b/>
                <w:lang w:val="en-GB"/>
              </w:rPr>
            </w:pPr>
            <w:r w:rsidRPr="004E5E5D">
              <w:rPr>
                <w:b/>
                <w:lang w:val="en-GB"/>
              </w:rPr>
              <w:t>ES</w:t>
            </w:r>
          </w:p>
        </w:tc>
      </w:tr>
      <w:tr w:rsidR="002159C4" w:rsidRPr="004E5E5D" w:rsidTr="002D6258">
        <w:trPr>
          <w:gridAfter w:val="4"/>
          <w:wAfter w:w="4706" w:type="dxa"/>
        </w:trPr>
        <w:tc>
          <w:tcPr>
            <w:tcW w:w="1790" w:type="dxa"/>
          </w:tcPr>
          <w:p w:rsidR="002159C4" w:rsidRPr="004E5E5D" w:rsidRDefault="002159C4" w:rsidP="002D6258">
            <w:pPr>
              <w:rPr>
                <w:b/>
                <w:lang w:val="en-GB"/>
              </w:rPr>
            </w:pPr>
            <w:r w:rsidRPr="004E5E5D">
              <w:rPr>
                <w:b/>
                <w:lang w:val="en-GB"/>
              </w:rPr>
              <w:t>FVC</w:t>
            </w:r>
          </w:p>
        </w:tc>
        <w:tc>
          <w:tcPr>
            <w:tcW w:w="1476" w:type="dxa"/>
          </w:tcPr>
          <w:p w:rsidR="002159C4" w:rsidRPr="004E5E5D" w:rsidRDefault="002159C4" w:rsidP="002D6258">
            <w:pPr>
              <w:rPr>
                <w:lang w:val="en-GB"/>
              </w:rPr>
            </w:pPr>
          </w:p>
        </w:tc>
        <w:tc>
          <w:tcPr>
            <w:tcW w:w="1622" w:type="dxa"/>
          </w:tcPr>
          <w:p w:rsidR="002159C4" w:rsidRPr="004E5E5D" w:rsidRDefault="002159C4" w:rsidP="002D6258">
            <w:pPr>
              <w:rPr>
                <w:lang w:val="en-GB"/>
              </w:rPr>
            </w:pPr>
          </w:p>
        </w:tc>
      </w:tr>
      <w:tr w:rsidR="002159C4" w:rsidRPr="004E5E5D" w:rsidTr="002D6258">
        <w:trPr>
          <w:trHeight w:val="405"/>
        </w:trPr>
        <w:tc>
          <w:tcPr>
            <w:tcW w:w="1790" w:type="dxa"/>
          </w:tcPr>
          <w:p w:rsidR="002159C4" w:rsidRPr="004E5E5D" w:rsidRDefault="002159C4" w:rsidP="002D6258">
            <w:pPr>
              <w:rPr>
                <w:lang w:val="en-GB"/>
              </w:rPr>
            </w:pPr>
            <w:r w:rsidRPr="004E5E5D">
              <w:rPr>
                <w:lang w:val="en-GB"/>
              </w:rPr>
              <w:t>Lower quartile</w:t>
            </w:r>
          </w:p>
        </w:tc>
        <w:tc>
          <w:tcPr>
            <w:tcW w:w="1476" w:type="dxa"/>
          </w:tcPr>
          <w:p w:rsidR="002159C4" w:rsidRPr="004E5E5D" w:rsidRDefault="002159C4" w:rsidP="002D6258">
            <w:pPr>
              <w:jc w:val="center"/>
              <w:rPr>
                <w:lang w:val="en-GB"/>
              </w:rPr>
            </w:pPr>
            <w:r w:rsidRPr="004E5E5D">
              <w:rPr>
                <w:lang w:val="en-GB"/>
              </w:rPr>
              <w:t>37</w:t>
            </w:r>
          </w:p>
        </w:tc>
        <w:tc>
          <w:tcPr>
            <w:tcW w:w="1629" w:type="dxa"/>
            <w:gridSpan w:val="2"/>
          </w:tcPr>
          <w:p w:rsidR="002159C4" w:rsidRPr="004E5E5D" w:rsidRDefault="002159C4" w:rsidP="002D6258">
            <w:pPr>
              <w:rPr>
                <w:lang w:val="en-GB"/>
              </w:rPr>
            </w:pPr>
            <w:r w:rsidRPr="004E5E5D">
              <w:rPr>
                <w:lang w:val="en-GB"/>
              </w:rPr>
              <w:t>55.3 (19.9)</w:t>
            </w:r>
          </w:p>
        </w:tc>
        <w:tc>
          <w:tcPr>
            <w:tcW w:w="1455" w:type="dxa"/>
            <w:vMerge w:val="restart"/>
            <w:vAlign w:val="center"/>
          </w:tcPr>
          <w:p w:rsidR="002159C4" w:rsidRPr="004E5E5D" w:rsidRDefault="002159C4" w:rsidP="002D6258">
            <w:pPr>
              <w:jc w:val="center"/>
              <w:rPr>
                <w:lang w:val="en-GB"/>
              </w:rPr>
            </w:pPr>
            <w:r w:rsidRPr="004E5E5D">
              <w:rPr>
                <w:lang w:val="en-GB"/>
              </w:rPr>
              <w:t xml:space="preserve">18.1 </w:t>
            </w:r>
          </w:p>
          <w:p w:rsidR="002159C4" w:rsidRPr="004E5E5D" w:rsidRDefault="002159C4" w:rsidP="002D6258">
            <w:pPr>
              <w:jc w:val="center"/>
              <w:rPr>
                <w:lang w:val="en-GB"/>
              </w:rPr>
            </w:pPr>
            <w:r w:rsidRPr="004E5E5D">
              <w:rPr>
                <w:lang w:val="en-GB"/>
              </w:rPr>
              <w:t>(9.0 to 27.2)</w:t>
            </w:r>
          </w:p>
        </w:tc>
        <w:tc>
          <w:tcPr>
            <w:tcW w:w="1622" w:type="dxa"/>
            <w:vMerge w:val="restart"/>
            <w:vAlign w:val="center"/>
          </w:tcPr>
          <w:p w:rsidR="002159C4" w:rsidRPr="004E5E5D" w:rsidRDefault="002159C4" w:rsidP="002D6258">
            <w:pPr>
              <w:jc w:val="center"/>
              <w:rPr>
                <w:lang w:val="en-GB"/>
              </w:rPr>
            </w:pPr>
            <w:r w:rsidRPr="004E5E5D">
              <w:rPr>
                <w:lang w:val="en-GB"/>
              </w:rPr>
              <w:t>0.0002</w:t>
            </w:r>
          </w:p>
        </w:tc>
        <w:tc>
          <w:tcPr>
            <w:tcW w:w="1622" w:type="dxa"/>
            <w:vMerge w:val="restart"/>
            <w:vAlign w:val="center"/>
          </w:tcPr>
          <w:p w:rsidR="002159C4" w:rsidRPr="004E5E5D" w:rsidRDefault="002159C4" w:rsidP="002D6258">
            <w:pPr>
              <w:jc w:val="center"/>
              <w:rPr>
                <w:lang w:val="en-GB"/>
              </w:rPr>
            </w:pPr>
            <w:r w:rsidRPr="004E5E5D">
              <w:rPr>
                <w:lang w:val="en-GB"/>
              </w:rPr>
              <w:t>0.18</w:t>
            </w:r>
          </w:p>
        </w:tc>
      </w:tr>
      <w:tr w:rsidR="002159C4" w:rsidRPr="004E5E5D" w:rsidTr="002D6258">
        <w:tc>
          <w:tcPr>
            <w:tcW w:w="1790" w:type="dxa"/>
          </w:tcPr>
          <w:p w:rsidR="002159C4" w:rsidRPr="004E5E5D" w:rsidRDefault="002159C4" w:rsidP="002D6258">
            <w:pPr>
              <w:rPr>
                <w:lang w:val="en-GB"/>
              </w:rPr>
            </w:pPr>
            <w:r w:rsidRPr="004E5E5D">
              <w:rPr>
                <w:lang w:val="en-GB"/>
              </w:rPr>
              <w:t>Higher quartile</w:t>
            </w:r>
          </w:p>
        </w:tc>
        <w:tc>
          <w:tcPr>
            <w:tcW w:w="1476" w:type="dxa"/>
          </w:tcPr>
          <w:p w:rsidR="002159C4" w:rsidRPr="004E5E5D" w:rsidRDefault="002159C4" w:rsidP="002D6258">
            <w:pPr>
              <w:jc w:val="center"/>
              <w:rPr>
                <w:lang w:val="en-GB"/>
              </w:rPr>
            </w:pPr>
            <w:r w:rsidRPr="004E5E5D">
              <w:rPr>
                <w:lang w:val="en-GB"/>
              </w:rPr>
              <w:t>39</w:t>
            </w:r>
          </w:p>
        </w:tc>
        <w:tc>
          <w:tcPr>
            <w:tcW w:w="1629" w:type="dxa"/>
            <w:gridSpan w:val="2"/>
          </w:tcPr>
          <w:p w:rsidR="002159C4" w:rsidRPr="004E5E5D" w:rsidRDefault="002159C4" w:rsidP="002D6258">
            <w:pPr>
              <w:rPr>
                <w:lang w:val="en-GB"/>
              </w:rPr>
            </w:pPr>
            <w:r w:rsidRPr="004E5E5D">
              <w:rPr>
                <w:lang w:val="en-GB"/>
              </w:rPr>
              <w:t>37.2 (19.9)</w:t>
            </w:r>
          </w:p>
        </w:tc>
        <w:tc>
          <w:tcPr>
            <w:tcW w:w="1455" w:type="dxa"/>
            <w:vMerge/>
          </w:tcPr>
          <w:p w:rsidR="002159C4" w:rsidRPr="004E5E5D" w:rsidRDefault="002159C4" w:rsidP="002D6258">
            <w:pPr>
              <w:jc w:val="center"/>
              <w:rPr>
                <w:lang w:val="en-GB"/>
              </w:rPr>
            </w:pPr>
          </w:p>
        </w:tc>
        <w:tc>
          <w:tcPr>
            <w:tcW w:w="1622" w:type="dxa"/>
            <w:vMerge/>
            <w:vAlign w:val="center"/>
          </w:tcPr>
          <w:p w:rsidR="002159C4" w:rsidRPr="004E5E5D" w:rsidRDefault="002159C4" w:rsidP="002D6258">
            <w:pPr>
              <w:jc w:val="center"/>
              <w:rPr>
                <w:lang w:val="en-GB"/>
              </w:rPr>
            </w:pPr>
          </w:p>
        </w:tc>
        <w:tc>
          <w:tcPr>
            <w:tcW w:w="1622" w:type="dxa"/>
            <w:vMerge/>
          </w:tcPr>
          <w:p w:rsidR="002159C4" w:rsidRPr="004E5E5D" w:rsidRDefault="002159C4" w:rsidP="002D6258">
            <w:pPr>
              <w:jc w:val="center"/>
              <w:rPr>
                <w:lang w:val="en-GB"/>
              </w:rPr>
            </w:pPr>
          </w:p>
        </w:tc>
      </w:tr>
      <w:tr w:rsidR="002159C4" w:rsidRPr="004E5E5D" w:rsidTr="002D6258">
        <w:trPr>
          <w:gridAfter w:val="4"/>
          <w:wAfter w:w="4706" w:type="dxa"/>
        </w:trPr>
        <w:tc>
          <w:tcPr>
            <w:tcW w:w="1790" w:type="dxa"/>
          </w:tcPr>
          <w:p w:rsidR="002159C4" w:rsidRPr="004E5E5D" w:rsidRDefault="002159C4" w:rsidP="002D6258">
            <w:pPr>
              <w:rPr>
                <w:b/>
                <w:lang w:val="en-GB"/>
              </w:rPr>
            </w:pPr>
            <w:r w:rsidRPr="004E5E5D">
              <w:rPr>
                <w:b/>
                <w:lang w:val="en-GB"/>
              </w:rPr>
              <w:t>DLCO</w:t>
            </w:r>
          </w:p>
        </w:tc>
        <w:tc>
          <w:tcPr>
            <w:tcW w:w="1476" w:type="dxa"/>
          </w:tcPr>
          <w:p w:rsidR="002159C4" w:rsidRPr="004E5E5D" w:rsidRDefault="002159C4" w:rsidP="002D6258">
            <w:pPr>
              <w:jc w:val="center"/>
              <w:rPr>
                <w:lang w:val="en-GB"/>
              </w:rPr>
            </w:pPr>
          </w:p>
        </w:tc>
        <w:tc>
          <w:tcPr>
            <w:tcW w:w="1622" w:type="dxa"/>
          </w:tcPr>
          <w:p w:rsidR="002159C4" w:rsidRPr="004E5E5D" w:rsidRDefault="002159C4" w:rsidP="002D6258">
            <w:pPr>
              <w:jc w:val="center"/>
              <w:rPr>
                <w:lang w:val="en-GB"/>
              </w:rPr>
            </w:pPr>
          </w:p>
        </w:tc>
      </w:tr>
      <w:tr w:rsidR="002159C4" w:rsidRPr="004E5E5D" w:rsidTr="002D6258">
        <w:trPr>
          <w:trHeight w:val="449"/>
        </w:trPr>
        <w:tc>
          <w:tcPr>
            <w:tcW w:w="1790" w:type="dxa"/>
          </w:tcPr>
          <w:p w:rsidR="002159C4" w:rsidRPr="004E5E5D" w:rsidRDefault="002159C4" w:rsidP="002D6258">
            <w:pPr>
              <w:rPr>
                <w:lang w:val="en-GB"/>
              </w:rPr>
            </w:pPr>
            <w:r w:rsidRPr="004E5E5D">
              <w:rPr>
                <w:lang w:val="en-GB"/>
              </w:rPr>
              <w:t>Lower quartile</w:t>
            </w:r>
          </w:p>
        </w:tc>
        <w:tc>
          <w:tcPr>
            <w:tcW w:w="1476" w:type="dxa"/>
          </w:tcPr>
          <w:p w:rsidR="002159C4" w:rsidRPr="004E5E5D" w:rsidRDefault="002159C4" w:rsidP="002D6258">
            <w:pPr>
              <w:jc w:val="center"/>
              <w:rPr>
                <w:lang w:val="en-GB"/>
              </w:rPr>
            </w:pPr>
            <w:r w:rsidRPr="004E5E5D">
              <w:rPr>
                <w:lang w:val="en-GB"/>
              </w:rPr>
              <w:t>35</w:t>
            </w:r>
          </w:p>
        </w:tc>
        <w:tc>
          <w:tcPr>
            <w:tcW w:w="1629" w:type="dxa"/>
            <w:gridSpan w:val="2"/>
          </w:tcPr>
          <w:p w:rsidR="002159C4" w:rsidRPr="004E5E5D" w:rsidRDefault="002159C4" w:rsidP="002D6258">
            <w:pPr>
              <w:rPr>
                <w:lang w:val="en-GB"/>
              </w:rPr>
            </w:pPr>
            <w:r w:rsidRPr="004E5E5D">
              <w:rPr>
                <w:lang w:val="en-GB"/>
              </w:rPr>
              <w:t>55.8 (19.4)</w:t>
            </w:r>
          </w:p>
        </w:tc>
        <w:tc>
          <w:tcPr>
            <w:tcW w:w="1455" w:type="dxa"/>
            <w:vMerge w:val="restart"/>
            <w:vAlign w:val="center"/>
          </w:tcPr>
          <w:p w:rsidR="002159C4" w:rsidRPr="004E5E5D" w:rsidRDefault="002159C4" w:rsidP="002D6258">
            <w:pPr>
              <w:jc w:val="center"/>
              <w:rPr>
                <w:lang w:val="en-GB"/>
              </w:rPr>
            </w:pPr>
            <w:r w:rsidRPr="004E5E5D">
              <w:rPr>
                <w:lang w:val="en-GB"/>
              </w:rPr>
              <w:t xml:space="preserve">26.6 </w:t>
            </w:r>
          </w:p>
          <w:p w:rsidR="002159C4" w:rsidRPr="004E5E5D" w:rsidRDefault="002159C4" w:rsidP="002D6258">
            <w:pPr>
              <w:jc w:val="center"/>
              <w:rPr>
                <w:lang w:val="en-GB"/>
              </w:rPr>
            </w:pPr>
            <w:r w:rsidRPr="004E5E5D">
              <w:rPr>
                <w:lang w:val="en-GB"/>
              </w:rPr>
              <w:t>(17.2 to 36.0)</w:t>
            </w:r>
          </w:p>
        </w:tc>
        <w:tc>
          <w:tcPr>
            <w:tcW w:w="1622" w:type="dxa"/>
            <w:vMerge w:val="restart"/>
            <w:vAlign w:val="center"/>
          </w:tcPr>
          <w:p w:rsidR="002159C4" w:rsidRPr="004E5E5D" w:rsidRDefault="002159C4" w:rsidP="002D6258">
            <w:pPr>
              <w:jc w:val="center"/>
              <w:rPr>
                <w:lang w:val="en-GB"/>
              </w:rPr>
            </w:pPr>
            <w:r w:rsidRPr="004E5E5D">
              <w:rPr>
                <w:lang w:val="en-GB"/>
              </w:rPr>
              <w:t>&lt;0.0001</w:t>
            </w:r>
          </w:p>
        </w:tc>
        <w:tc>
          <w:tcPr>
            <w:tcW w:w="1622" w:type="dxa"/>
            <w:vMerge w:val="restart"/>
            <w:vAlign w:val="center"/>
          </w:tcPr>
          <w:p w:rsidR="002159C4" w:rsidRPr="004E5E5D" w:rsidRDefault="002159C4" w:rsidP="002D6258">
            <w:pPr>
              <w:jc w:val="center"/>
              <w:rPr>
                <w:lang w:val="en-GB"/>
              </w:rPr>
            </w:pPr>
            <w:r w:rsidRPr="004E5E5D">
              <w:rPr>
                <w:lang w:val="en-GB"/>
              </w:rPr>
              <w:t>0.31</w:t>
            </w:r>
          </w:p>
        </w:tc>
      </w:tr>
      <w:tr w:rsidR="002159C4" w:rsidRPr="004E5E5D" w:rsidTr="002D6258">
        <w:tc>
          <w:tcPr>
            <w:tcW w:w="1790" w:type="dxa"/>
          </w:tcPr>
          <w:p w:rsidR="002159C4" w:rsidRPr="004E5E5D" w:rsidRDefault="002159C4" w:rsidP="002D6258">
            <w:pPr>
              <w:rPr>
                <w:lang w:val="en-GB"/>
              </w:rPr>
            </w:pPr>
            <w:r w:rsidRPr="004E5E5D">
              <w:rPr>
                <w:lang w:val="en-GB"/>
              </w:rPr>
              <w:t>Higher quartile</w:t>
            </w:r>
          </w:p>
        </w:tc>
        <w:tc>
          <w:tcPr>
            <w:tcW w:w="1476" w:type="dxa"/>
          </w:tcPr>
          <w:p w:rsidR="002159C4" w:rsidRPr="004E5E5D" w:rsidRDefault="002159C4" w:rsidP="002D6258">
            <w:pPr>
              <w:jc w:val="center"/>
              <w:rPr>
                <w:lang w:val="en-GB"/>
              </w:rPr>
            </w:pPr>
            <w:r w:rsidRPr="004E5E5D">
              <w:rPr>
                <w:lang w:val="en-GB"/>
              </w:rPr>
              <w:t>37</w:t>
            </w:r>
          </w:p>
        </w:tc>
        <w:tc>
          <w:tcPr>
            <w:tcW w:w="1629" w:type="dxa"/>
            <w:gridSpan w:val="2"/>
          </w:tcPr>
          <w:p w:rsidR="002159C4" w:rsidRPr="004E5E5D" w:rsidRDefault="002159C4" w:rsidP="002D6258">
            <w:pPr>
              <w:rPr>
                <w:lang w:val="en-GB"/>
              </w:rPr>
            </w:pPr>
            <w:r w:rsidRPr="004E5E5D">
              <w:rPr>
                <w:lang w:val="en-GB"/>
              </w:rPr>
              <w:t>29.2 (20.5)</w:t>
            </w:r>
          </w:p>
        </w:tc>
        <w:tc>
          <w:tcPr>
            <w:tcW w:w="1455" w:type="dxa"/>
            <w:vMerge/>
          </w:tcPr>
          <w:p w:rsidR="002159C4" w:rsidRPr="004E5E5D" w:rsidRDefault="002159C4" w:rsidP="002D6258">
            <w:pPr>
              <w:jc w:val="center"/>
              <w:rPr>
                <w:lang w:val="en-GB"/>
              </w:rPr>
            </w:pPr>
          </w:p>
        </w:tc>
        <w:tc>
          <w:tcPr>
            <w:tcW w:w="1622" w:type="dxa"/>
            <w:vMerge/>
            <w:vAlign w:val="center"/>
          </w:tcPr>
          <w:p w:rsidR="002159C4" w:rsidRPr="004E5E5D" w:rsidRDefault="002159C4" w:rsidP="002D6258">
            <w:pPr>
              <w:jc w:val="center"/>
              <w:rPr>
                <w:lang w:val="en-GB"/>
              </w:rPr>
            </w:pPr>
          </w:p>
        </w:tc>
        <w:tc>
          <w:tcPr>
            <w:tcW w:w="1622" w:type="dxa"/>
            <w:vMerge/>
          </w:tcPr>
          <w:p w:rsidR="002159C4" w:rsidRPr="004E5E5D" w:rsidRDefault="002159C4" w:rsidP="002D6258">
            <w:pPr>
              <w:jc w:val="center"/>
              <w:rPr>
                <w:lang w:val="en-GB"/>
              </w:rPr>
            </w:pPr>
          </w:p>
        </w:tc>
      </w:tr>
      <w:tr w:rsidR="002159C4" w:rsidRPr="004E5E5D" w:rsidTr="002D6258">
        <w:trPr>
          <w:gridAfter w:val="4"/>
          <w:wAfter w:w="4706" w:type="dxa"/>
        </w:trPr>
        <w:tc>
          <w:tcPr>
            <w:tcW w:w="1790" w:type="dxa"/>
          </w:tcPr>
          <w:p w:rsidR="002159C4" w:rsidRPr="004E5E5D" w:rsidRDefault="002159C4" w:rsidP="002D6258">
            <w:pPr>
              <w:rPr>
                <w:b/>
                <w:lang w:val="en-GB"/>
              </w:rPr>
            </w:pPr>
            <w:r w:rsidRPr="004E5E5D">
              <w:rPr>
                <w:b/>
                <w:lang w:val="en-GB"/>
              </w:rPr>
              <w:t>LTOT</w:t>
            </w:r>
          </w:p>
        </w:tc>
        <w:tc>
          <w:tcPr>
            <w:tcW w:w="1476" w:type="dxa"/>
          </w:tcPr>
          <w:p w:rsidR="002159C4" w:rsidRPr="004E5E5D" w:rsidRDefault="002159C4" w:rsidP="002D6258">
            <w:pPr>
              <w:jc w:val="center"/>
              <w:rPr>
                <w:lang w:val="en-GB"/>
              </w:rPr>
            </w:pPr>
          </w:p>
        </w:tc>
        <w:tc>
          <w:tcPr>
            <w:tcW w:w="1622" w:type="dxa"/>
          </w:tcPr>
          <w:p w:rsidR="002159C4" w:rsidRPr="004E5E5D" w:rsidRDefault="002159C4" w:rsidP="002D6258">
            <w:pPr>
              <w:jc w:val="center"/>
              <w:rPr>
                <w:lang w:val="en-GB"/>
              </w:rPr>
            </w:pPr>
          </w:p>
        </w:tc>
      </w:tr>
      <w:tr w:rsidR="002159C4" w:rsidRPr="004E5E5D" w:rsidTr="002D6258">
        <w:trPr>
          <w:trHeight w:val="449"/>
        </w:trPr>
        <w:tc>
          <w:tcPr>
            <w:tcW w:w="1790" w:type="dxa"/>
          </w:tcPr>
          <w:p w:rsidR="002159C4" w:rsidRPr="004E5E5D" w:rsidRDefault="002159C4" w:rsidP="002D6258">
            <w:pPr>
              <w:rPr>
                <w:lang w:val="en-GB"/>
              </w:rPr>
            </w:pPr>
            <w:r w:rsidRPr="004E5E5D">
              <w:rPr>
                <w:lang w:val="en-GB"/>
              </w:rPr>
              <w:t>No LTOT</w:t>
            </w:r>
          </w:p>
        </w:tc>
        <w:tc>
          <w:tcPr>
            <w:tcW w:w="1476" w:type="dxa"/>
          </w:tcPr>
          <w:p w:rsidR="002159C4" w:rsidRPr="004E5E5D" w:rsidRDefault="002159C4" w:rsidP="002D6258">
            <w:pPr>
              <w:jc w:val="center"/>
              <w:rPr>
                <w:lang w:val="en-GB"/>
              </w:rPr>
            </w:pPr>
            <w:r w:rsidRPr="004E5E5D">
              <w:rPr>
                <w:lang w:val="en-GB"/>
              </w:rPr>
              <w:t>129</w:t>
            </w:r>
          </w:p>
        </w:tc>
        <w:tc>
          <w:tcPr>
            <w:tcW w:w="1629" w:type="dxa"/>
            <w:gridSpan w:val="2"/>
          </w:tcPr>
          <w:p w:rsidR="002159C4" w:rsidRPr="004E5E5D" w:rsidRDefault="002159C4" w:rsidP="002D6258">
            <w:pPr>
              <w:rPr>
                <w:lang w:val="en-GB"/>
              </w:rPr>
            </w:pPr>
            <w:r w:rsidRPr="004E5E5D">
              <w:rPr>
                <w:lang w:val="en-GB"/>
              </w:rPr>
              <w:t>40.1 (22.0)</w:t>
            </w:r>
          </w:p>
        </w:tc>
        <w:tc>
          <w:tcPr>
            <w:tcW w:w="1455" w:type="dxa"/>
            <w:vMerge w:val="restart"/>
            <w:vAlign w:val="center"/>
          </w:tcPr>
          <w:p w:rsidR="002159C4" w:rsidRPr="004E5E5D" w:rsidRDefault="002159C4" w:rsidP="002D6258">
            <w:pPr>
              <w:jc w:val="center"/>
              <w:rPr>
                <w:lang w:val="en-GB"/>
              </w:rPr>
            </w:pPr>
            <w:r w:rsidRPr="004E5E5D">
              <w:rPr>
                <w:lang w:val="en-GB"/>
              </w:rPr>
              <w:t>20.9*</w:t>
            </w:r>
          </w:p>
        </w:tc>
        <w:tc>
          <w:tcPr>
            <w:tcW w:w="1622" w:type="dxa"/>
            <w:vMerge w:val="restart"/>
            <w:vAlign w:val="center"/>
          </w:tcPr>
          <w:p w:rsidR="002159C4" w:rsidRPr="004E5E5D" w:rsidRDefault="002159C4" w:rsidP="002D6258">
            <w:pPr>
              <w:jc w:val="center"/>
              <w:rPr>
                <w:lang w:val="en-GB"/>
              </w:rPr>
            </w:pPr>
            <w:r w:rsidRPr="004E5E5D">
              <w:rPr>
                <w:lang w:val="en-GB"/>
              </w:rPr>
              <w:t>0.0001</w:t>
            </w:r>
          </w:p>
        </w:tc>
        <w:tc>
          <w:tcPr>
            <w:tcW w:w="1622" w:type="dxa"/>
            <w:vMerge w:val="restart"/>
            <w:vAlign w:val="center"/>
          </w:tcPr>
          <w:p w:rsidR="002159C4" w:rsidRPr="004E5E5D" w:rsidRDefault="002159C4" w:rsidP="002D6258">
            <w:pPr>
              <w:jc w:val="center"/>
              <w:rPr>
                <w:lang w:val="en-GB"/>
              </w:rPr>
            </w:pPr>
            <w:r w:rsidRPr="004E5E5D">
              <w:rPr>
                <w:lang w:val="en-GB"/>
              </w:rPr>
              <w:t>0.10</w:t>
            </w:r>
          </w:p>
        </w:tc>
      </w:tr>
      <w:tr w:rsidR="002159C4" w:rsidRPr="004E5E5D" w:rsidTr="002D6258">
        <w:tc>
          <w:tcPr>
            <w:tcW w:w="1790" w:type="dxa"/>
          </w:tcPr>
          <w:p w:rsidR="002159C4" w:rsidRPr="004E5E5D" w:rsidRDefault="002159C4" w:rsidP="002D6258">
            <w:pPr>
              <w:rPr>
                <w:lang w:val="en-GB"/>
              </w:rPr>
            </w:pPr>
            <w:r w:rsidRPr="004E5E5D">
              <w:rPr>
                <w:lang w:val="en-GB"/>
              </w:rPr>
              <w:t>Receiving LTOT</w:t>
            </w:r>
          </w:p>
        </w:tc>
        <w:tc>
          <w:tcPr>
            <w:tcW w:w="1476" w:type="dxa"/>
          </w:tcPr>
          <w:p w:rsidR="002159C4" w:rsidRPr="004E5E5D" w:rsidRDefault="002159C4" w:rsidP="002D6258">
            <w:pPr>
              <w:jc w:val="center"/>
              <w:rPr>
                <w:lang w:val="en-GB"/>
              </w:rPr>
            </w:pPr>
            <w:r w:rsidRPr="004E5E5D">
              <w:rPr>
                <w:lang w:val="en-GB"/>
              </w:rPr>
              <w:t>19</w:t>
            </w:r>
          </w:p>
        </w:tc>
        <w:tc>
          <w:tcPr>
            <w:tcW w:w="1629" w:type="dxa"/>
            <w:gridSpan w:val="2"/>
          </w:tcPr>
          <w:p w:rsidR="002159C4" w:rsidRPr="004E5E5D" w:rsidRDefault="002159C4" w:rsidP="002D6258">
            <w:pPr>
              <w:rPr>
                <w:lang w:val="en-GB"/>
              </w:rPr>
            </w:pPr>
            <w:r w:rsidRPr="004E5E5D">
              <w:rPr>
                <w:lang w:val="en-GB"/>
              </w:rPr>
              <w:t>61.1 (14.5)</w:t>
            </w:r>
          </w:p>
        </w:tc>
        <w:tc>
          <w:tcPr>
            <w:tcW w:w="1455" w:type="dxa"/>
            <w:vMerge/>
          </w:tcPr>
          <w:p w:rsidR="002159C4" w:rsidRPr="004E5E5D" w:rsidRDefault="002159C4" w:rsidP="002D6258">
            <w:pPr>
              <w:jc w:val="center"/>
              <w:rPr>
                <w:lang w:val="en-GB"/>
              </w:rPr>
            </w:pPr>
          </w:p>
        </w:tc>
        <w:tc>
          <w:tcPr>
            <w:tcW w:w="1622" w:type="dxa"/>
            <w:vMerge/>
            <w:vAlign w:val="center"/>
          </w:tcPr>
          <w:p w:rsidR="002159C4" w:rsidRPr="004E5E5D" w:rsidRDefault="002159C4" w:rsidP="002D6258">
            <w:pPr>
              <w:jc w:val="center"/>
              <w:rPr>
                <w:lang w:val="en-GB"/>
              </w:rPr>
            </w:pPr>
          </w:p>
        </w:tc>
        <w:tc>
          <w:tcPr>
            <w:tcW w:w="1622" w:type="dxa"/>
            <w:vMerge/>
          </w:tcPr>
          <w:p w:rsidR="002159C4" w:rsidRPr="004E5E5D" w:rsidRDefault="002159C4" w:rsidP="002D6258">
            <w:pPr>
              <w:jc w:val="center"/>
              <w:rPr>
                <w:lang w:val="en-GB"/>
              </w:rPr>
            </w:pPr>
          </w:p>
        </w:tc>
      </w:tr>
      <w:tr w:rsidR="002159C4" w:rsidRPr="004E5E5D" w:rsidTr="002D6258">
        <w:trPr>
          <w:gridAfter w:val="4"/>
          <w:wAfter w:w="4706" w:type="dxa"/>
        </w:trPr>
        <w:tc>
          <w:tcPr>
            <w:tcW w:w="1790" w:type="dxa"/>
          </w:tcPr>
          <w:p w:rsidR="002159C4" w:rsidRPr="004E5E5D" w:rsidRDefault="002159C4" w:rsidP="002D6258">
            <w:pPr>
              <w:rPr>
                <w:b/>
                <w:lang w:val="en-GB"/>
              </w:rPr>
            </w:pPr>
            <w:r w:rsidRPr="004E5E5D">
              <w:rPr>
                <w:b/>
                <w:lang w:val="en-GB"/>
              </w:rPr>
              <w:t>GAP index</w:t>
            </w:r>
          </w:p>
        </w:tc>
        <w:tc>
          <w:tcPr>
            <w:tcW w:w="1476" w:type="dxa"/>
          </w:tcPr>
          <w:p w:rsidR="002159C4" w:rsidRPr="004E5E5D" w:rsidRDefault="002159C4" w:rsidP="002D6258">
            <w:pPr>
              <w:jc w:val="center"/>
              <w:rPr>
                <w:lang w:val="en-GB"/>
              </w:rPr>
            </w:pPr>
          </w:p>
        </w:tc>
        <w:tc>
          <w:tcPr>
            <w:tcW w:w="1622" w:type="dxa"/>
          </w:tcPr>
          <w:p w:rsidR="002159C4" w:rsidRPr="004E5E5D" w:rsidRDefault="002159C4" w:rsidP="002D6258">
            <w:pPr>
              <w:jc w:val="center"/>
              <w:rPr>
                <w:lang w:val="en-GB"/>
              </w:rPr>
            </w:pPr>
          </w:p>
        </w:tc>
      </w:tr>
      <w:tr w:rsidR="002159C4" w:rsidRPr="004E5E5D" w:rsidTr="002D6258">
        <w:tc>
          <w:tcPr>
            <w:tcW w:w="1790" w:type="dxa"/>
          </w:tcPr>
          <w:p w:rsidR="002159C4" w:rsidRPr="004E5E5D" w:rsidRDefault="002159C4" w:rsidP="002D6258">
            <w:pPr>
              <w:rPr>
                <w:lang w:val="en-GB"/>
              </w:rPr>
            </w:pPr>
            <w:r w:rsidRPr="004E5E5D">
              <w:rPr>
                <w:lang w:val="en-GB"/>
              </w:rPr>
              <w:t xml:space="preserve">  1</w:t>
            </w:r>
          </w:p>
        </w:tc>
        <w:tc>
          <w:tcPr>
            <w:tcW w:w="1476" w:type="dxa"/>
          </w:tcPr>
          <w:p w:rsidR="002159C4" w:rsidRPr="004E5E5D" w:rsidRDefault="002159C4" w:rsidP="002D6258">
            <w:pPr>
              <w:jc w:val="center"/>
              <w:rPr>
                <w:lang w:val="en-GB"/>
              </w:rPr>
            </w:pPr>
            <w:r w:rsidRPr="004E5E5D">
              <w:rPr>
                <w:lang w:val="en-GB"/>
              </w:rPr>
              <w:t>56</w:t>
            </w:r>
          </w:p>
        </w:tc>
        <w:tc>
          <w:tcPr>
            <w:tcW w:w="1629" w:type="dxa"/>
            <w:gridSpan w:val="2"/>
          </w:tcPr>
          <w:p w:rsidR="002159C4" w:rsidRPr="004E5E5D" w:rsidRDefault="002159C4" w:rsidP="002D6258">
            <w:pPr>
              <w:rPr>
                <w:lang w:val="en-GB"/>
              </w:rPr>
            </w:pPr>
            <w:r w:rsidRPr="004E5E5D">
              <w:rPr>
                <w:lang w:val="en-GB"/>
              </w:rPr>
              <w:t>34.2 (22.4)</w:t>
            </w:r>
          </w:p>
        </w:tc>
        <w:tc>
          <w:tcPr>
            <w:tcW w:w="1455" w:type="dxa"/>
            <w:vMerge w:val="restart"/>
          </w:tcPr>
          <w:p w:rsidR="002159C4" w:rsidRPr="004E5E5D" w:rsidRDefault="002159C4" w:rsidP="002D6258">
            <w:pPr>
              <w:jc w:val="center"/>
              <w:rPr>
                <w:lang w:val="en-GB"/>
              </w:rPr>
            </w:pPr>
          </w:p>
        </w:tc>
        <w:tc>
          <w:tcPr>
            <w:tcW w:w="1622" w:type="dxa"/>
            <w:vMerge w:val="restart"/>
            <w:vAlign w:val="center"/>
          </w:tcPr>
          <w:p w:rsidR="002159C4" w:rsidRPr="004E5E5D" w:rsidRDefault="002159C4" w:rsidP="002D6258">
            <w:pPr>
              <w:jc w:val="center"/>
              <w:rPr>
                <w:lang w:val="en-GB"/>
              </w:rPr>
            </w:pPr>
            <w:r w:rsidRPr="004E5E5D">
              <w:rPr>
                <w:lang w:val="en-GB"/>
              </w:rPr>
              <w:t>&lt;0.0001</w:t>
            </w:r>
          </w:p>
        </w:tc>
        <w:tc>
          <w:tcPr>
            <w:tcW w:w="1622" w:type="dxa"/>
            <w:vMerge w:val="restart"/>
            <w:vAlign w:val="center"/>
          </w:tcPr>
          <w:p w:rsidR="002159C4" w:rsidRPr="004E5E5D" w:rsidRDefault="002159C4" w:rsidP="002D6258">
            <w:pPr>
              <w:jc w:val="center"/>
              <w:rPr>
                <w:lang w:val="en-GB"/>
              </w:rPr>
            </w:pPr>
            <w:r w:rsidRPr="004E5E5D">
              <w:rPr>
                <w:lang w:val="en-GB"/>
              </w:rPr>
              <w:t>0.14</w:t>
            </w:r>
          </w:p>
        </w:tc>
      </w:tr>
      <w:tr w:rsidR="002159C4" w:rsidRPr="004E5E5D" w:rsidTr="002D6258">
        <w:tc>
          <w:tcPr>
            <w:tcW w:w="1790" w:type="dxa"/>
          </w:tcPr>
          <w:p w:rsidR="002159C4" w:rsidRPr="004E5E5D" w:rsidRDefault="002159C4" w:rsidP="002D6258">
            <w:pPr>
              <w:rPr>
                <w:lang w:val="en-GB"/>
              </w:rPr>
            </w:pPr>
            <w:r w:rsidRPr="004E5E5D">
              <w:rPr>
                <w:lang w:val="en-GB"/>
              </w:rPr>
              <w:t xml:space="preserve">  2</w:t>
            </w:r>
          </w:p>
        </w:tc>
        <w:tc>
          <w:tcPr>
            <w:tcW w:w="1476" w:type="dxa"/>
          </w:tcPr>
          <w:p w:rsidR="002159C4" w:rsidRPr="004E5E5D" w:rsidRDefault="002159C4" w:rsidP="002D6258">
            <w:pPr>
              <w:jc w:val="center"/>
              <w:rPr>
                <w:lang w:val="en-GB"/>
              </w:rPr>
            </w:pPr>
            <w:r w:rsidRPr="004E5E5D">
              <w:rPr>
                <w:lang w:val="en-GB"/>
              </w:rPr>
              <w:t>75</w:t>
            </w:r>
          </w:p>
        </w:tc>
        <w:tc>
          <w:tcPr>
            <w:tcW w:w="1629" w:type="dxa"/>
            <w:gridSpan w:val="2"/>
          </w:tcPr>
          <w:p w:rsidR="002159C4" w:rsidRPr="004E5E5D" w:rsidRDefault="002159C4" w:rsidP="002D6258">
            <w:pPr>
              <w:rPr>
                <w:lang w:val="en-GB"/>
              </w:rPr>
            </w:pPr>
            <w:r w:rsidRPr="004E5E5D">
              <w:rPr>
                <w:lang w:val="en-GB"/>
              </w:rPr>
              <w:t>45.2 (19.8)</w:t>
            </w:r>
          </w:p>
        </w:tc>
        <w:tc>
          <w:tcPr>
            <w:tcW w:w="1455" w:type="dxa"/>
            <w:vMerge/>
          </w:tcPr>
          <w:p w:rsidR="002159C4" w:rsidRPr="004E5E5D" w:rsidRDefault="002159C4" w:rsidP="002D6258">
            <w:pPr>
              <w:jc w:val="center"/>
              <w:rPr>
                <w:lang w:val="en-GB"/>
              </w:rPr>
            </w:pPr>
          </w:p>
        </w:tc>
        <w:tc>
          <w:tcPr>
            <w:tcW w:w="1622" w:type="dxa"/>
            <w:vMerge/>
            <w:vAlign w:val="center"/>
          </w:tcPr>
          <w:p w:rsidR="002159C4" w:rsidRPr="004E5E5D" w:rsidRDefault="002159C4" w:rsidP="002D6258">
            <w:pPr>
              <w:jc w:val="center"/>
              <w:rPr>
                <w:lang w:val="en-GB"/>
              </w:rPr>
            </w:pPr>
          </w:p>
        </w:tc>
        <w:tc>
          <w:tcPr>
            <w:tcW w:w="1622" w:type="dxa"/>
            <w:vMerge/>
          </w:tcPr>
          <w:p w:rsidR="002159C4" w:rsidRPr="004E5E5D" w:rsidRDefault="002159C4" w:rsidP="002D6258">
            <w:pPr>
              <w:jc w:val="center"/>
              <w:rPr>
                <w:lang w:val="en-GB"/>
              </w:rPr>
            </w:pPr>
          </w:p>
        </w:tc>
      </w:tr>
      <w:tr w:rsidR="002159C4" w:rsidRPr="004E5E5D" w:rsidTr="002D6258">
        <w:tc>
          <w:tcPr>
            <w:tcW w:w="1790" w:type="dxa"/>
          </w:tcPr>
          <w:p w:rsidR="002159C4" w:rsidRPr="004E5E5D" w:rsidRDefault="002159C4" w:rsidP="002D6258">
            <w:pPr>
              <w:rPr>
                <w:lang w:val="en-GB"/>
              </w:rPr>
            </w:pPr>
            <w:r w:rsidRPr="004E5E5D">
              <w:rPr>
                <w:lang w:val="en-GB"/>
              </w:rPr>
              <w:t xml:space="preserve">  3</w:t>
            </w:r>
          </w:p>
        </w:tc>
        <w:tc>
          <w:tcPr>
            <w:tcW w:w="1476" w:type="dxa"/>
          </w:tcPr>
          <w:p w:rsidR="002159C4" w:rsidRPr="004E5E5D" w:rsidRDefault="002159C4" w:rsidP="002D6258">
            <w:pPr>
              <w:jc w:val="center"/>
              <w:rPr>
                <w:lang w:val="en-GB"/>
              </w:rPr>
            </w:pPr>
            <w:r w:rsidRPr="004E5E5D">
              <w:rPr>
                <w:lang w:val="en-GB"/>
              </w:rPr>
              <w:t>17</w:t>
            </w:r>
          </w:p>
        </w:tc>
        <w:tc>
          <w:tcPr>
            <w:tcW w:w="1629" w:type="dxa"/>
            <w:gridSpan w:val="2"/>
          </w:tcPr>
          <w:p w:rsidR="002159C4" w:rsidRPr="004E5E5D" w:rsidRDefault="002159C4" w:rsidP="002D6258">
            <w:pPr>
              <w:rPr>
                <w:lang w:val="en-GB"/>
              </w:rPr>
            </w:pPr>
            <w:r w:rsidRPr="004E5E5D">
              <w:rPr>
                <w:lang w:val="en-GB"/>
              </w:rPr>
              <w:t>60.6 (20.4)</w:t>
            </w:r>
          </w:p>
        </w:tc>
        <w:tc>
          <w:tcPr>
            <w:tcW w:w="1455" w:type="dxa"/>
            <w:vMerge/>
          </w:tcPr>
          <w:p w:rsidR="002159C4" w:rsidRPr="004E5E5D" w:rsidRDefault="002159C4" w:rsidP="002D6258">
            <w:pPr>
              <w:jc w:val="center"/>
              <w:rPr>
                <w:lang w:val="en-GB"/>
              </w:rPr>
            </w:pPr>
          </w:p>
        </w:tc>
        <w:tc>
          <w:tcPr>
            <w:tcW w:w="1622" w:type="dxa"/>
            <w:vMerge/>
            <w:vAlign w:val="center"/>
          </w:tcPr>
          <w:p w:rsidR="002159C4" w:rsidRPr="004E5E5D" w:rsidRDefault="002159C4" w:rsidP="002D6258">
            <w:pPr>
              <w:jc w:val="center"/>
              <w:rPr>
                <w:lang w:val="en-GB"/>
              </w:rPr>
            </w:pPr>
          </w:p>
        </w:tc>
        <w:tc>
          <w:tcPr>
            <w:tcW w:w="1622" w:type="dxa"/>
            <w:vMerge/>
          </w:tcPr>
          <w:p w:rsidR="002159C4" w:rsidRPr="004E5E5D" w:rsidRDefault="002159C4" w:rsidP="002D6258">
            <w:pPr>
              <w:jc w:val="center"/>
              <w:rPr>
                <w:lang w:val="en-GB"/>
              </w:rPr>
            </w:pPr>
          </w:p>
        </w:tc>
      </w:tr>
    </w:tbl>
    <w:p w:rsidR="002159C4" w:rsidRPr="004E5E5D" w:rsidRDefault="002159C4" w:rsidP="002159C4">
      <w:pPr>
        <w:rPr>
          <w:lang w:val="en-GB"/>
        </w:rPr>
      </w:pPr>
    </w:p>
    <w:p w:rsidR="002159C4" w:rsidRPr="004E5E5D" w:rsidRDefault="002159C4" w:rsidP="002159C4">
      <w:pPr>
        <w:rPr>
          <w:lang w:val="en-GB"/>
        </w:rPr>
      </w:pPr>
      <w:r w:rsidRPr="004E5E5D">
        <w:rPr>
          <w:lang w:val="en-GB"/>
        </w:rPr>
        <w:t>*: No 95% CI due to the use of a non-parametric test.</w:t>
      </w:r>
      <w:r w:rsidRPr="004E5E5D">
        <w:rPr>
          <w:i/>
          <w:lang w:val="en-GB"/>
        </w:rPr>
        <w:t xml:space="preserve"> SGRQ-I</w:t>
      </w:r>
      <w:r w:rsidRPr="004E5E5D">
        <w:rPr>
          <w:lang w:val="en-GB"/>
        </w:rPr>
        <w:t xml:space="preserve">: IPF-specific version of the St. Georges Respiratory Questionnaire. </w:t>
      </w:r>
      <w:r w:rsidRPr="004E5E5D">
        <w:rPr>
          <w:i/>
          <w:lang w:val="en-GB"/>
        </w:rPr>
        <w:t>FVC</w:t>
      </w:r>
      <w:r w:rsidRPr="004E5E5D">
        <w:rPr>
          <w:lang w:val="en-GB"/>
        </w:rPr>
        <w:t xml:space="preserve">: Forced vital capacity. </w:t>
      </w:r>
      <w:r w:rsidRPr="004E5E5D">
        <w:rPr>
          <w:i/>
          <w:lang w:val="en-GB"/>
        </w:rPr>
        <w:t>DLCO</w:t>
      </w:r>
      <w:r w:rsidRPr="004E5E5D">
        <w:rPr>
          <w:lang w:val="en-GB"/>
        </w:rPr>
        <w:t xml:space="preserve">: diffusing capacity of the lung for carbon monoxide. </w:t>
      </w:r>
      <w:r w:rsidRPr="004E5E5D">
        <w:rPr>
          <w:i/>
          <w:lang w:val="en-GB"/>
        </w:rPr>
        <w:t>LTOT</w:t>
      </w:r>
      <w:r w:rsidRPr="004E5E5D">
        <w:rPr>
          <w:lang w:val="en-GB"/>
        </w:rPr>
        <w:t xml:space="preserve">: Long-term oxygen therapy; </w:t>
      </w:r>
      <w:r w:rsidRPr="004E5E5D">
        <w:rPr>
          <w:i/>
          <w:lang w:val="en-GB"/>
        </w:rPr>
        <w:t>GAP index</w:t>
      </w:r>
      <w:r w:rsidRPr="004E5E5D">
        <w:rPr>
          <w:lang w:val="en-GB"/>
        </w:rPr>
        <w:t>: Gender, age, physiology index.</w:t>
      </w:r>
      <w:r w:rsidRPr="004E5E5D">
        <w:rPr>
          <w:i/>
          <w:lang w:val="en-GB"/>
        </w:rPr>
        <w:t xml:space="preserve"> 95% CI</w:t>
      </w:r>
      <w:r w:rsidRPr="004E5E5D">
        <w:rPr>
          <w:lang w:val="en-GB"/>
        </w:rPr>
        <w:t>:</w:t>
      </w:r>
      <w:r w:rsidRPr="004E5E5D">
        <w:rPr>
          <w:i/>
          <w:lang w:val="en-GB"/>
        </w:rPr>
        <w:t xml:space="preserve"> </w:t>
      </w:r>
      <w:r w:rsidRPr="004E5E5D">
        <w:rPr>
          <w:lang w:val="en-GB"/>
        </w:rPr>
        <w:t xml:space="preserve">95% confidence intervals. </w:t>
      </w:r>
      <w:r w:rsidRPr="004E5E5D">
        <w:rPr>
          <w:i/>
          <w:lang w:val="en-GB"/>
        </w:rPr>
        <w:t>ES</w:t>
      </w:r>
      <w:r w:rsidRPr="004E5E5D">
        <w:rPr>
          <w:lang w:val="en-GB"/>
        </w:rPr>
        <w:t>: Effect size (</w:t>
      </w:r>
      <w:bookmarkStart w:id="0" w:name="_Hlk528661585"/>
      <w:r w:rsidRPr="004E5E5D">
        <w:rPr>
          <w:lang w:val="en-GB"/>
        </w:rPr>
        <w:t xml:space="preserve">partial </w:t>
      </w:r>
      <w:r w:rsidRPr="004E5E5D">
        <w:rPr>
          <w:rFonts w:cstheme="minorHAnsi"/>
          <w:lang w:val="en-GB"/>
        </w:rPr>
        <w:t>η</w:t>
      </w:r>
      <w:r w:rsidRPr="004E5E5D">
        <w:rPr>
          <w:vertAlign w:val="superscript"/>
          <w:lang w:val="en-GB"/>
        </w:rPr>
        <w:t>2</w:t>
      </w:r>
      <w:bookmarkEnd w:id="0"/>
      <w:r w:rsidRPr="004E5E5D">
        <w:rPr>
          <w:lang w:val="en-GB"/>
        </w:rPr>
        <w:t>).</w:t>
      </w:r>
    </w:p>
    <w:p w:rsidR="002159C4" w:rsidRPr="004E5E5D" w:rsidRDefault="002159C4" w:rsidP="002159C4">
      <w:pPr>
        <w:rPr>
          <w:lang w:val="en-GB"/>
        </w:rPr>
      </w:pPr>
    </w:p>
    <w:p w:rsidR="002159C4" w:rsidRPr="004E5E5D" w:rsidRDefault="002159C4" w:rsidP="002159C4">
      <w:pPr>
        <w:rPr>
          <w:lang w:val="en-GB"/>
        </w:rPr>
      </w:pPr>
    </w:p>
    <w:p w:rsidR="005C1F3F" w:rsidRDefault="005C1F3F">
      <w:bookmarkStart w:id="1" w:name="_GoBack"/>
      <w:bookmarkEnd w:id="1"/>
    </w:p>
    <w:sectPr w:rsidR="005C1F3F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59C4"/>
    <w:rsid w:val="002159C4"/>
    <w:rsid w:val="005C1F3F"/>
    <w:rsid w:val="009D7358"/>
    <w:rsid w:val="00FB6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59C4"/>
    <w:pPr>
      <w:spacing w:after="160" w:line="259" w:lineRule="auto"/>
    </w:pPr>
    <w:rPr>
      <w:rFonts w:asciiTheme="minorHAnsi" w:hAnsiTheme="minorHAnsi" w:cstheme="minorBidi"/>
      <w:sz w:val="22"/>
      <w:szCs w:val="22"/>
      <w:lang w:val="da-D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FB641D"/>
    <w:rPr>
      <w:b/>
      <w:bCs/>
    </w:rPr>
  </w:style>
  <w:style w:type="character" w:styleId="Emphasis">
    <w:name w:val="Emphasis"/>
    <w:basedOn w:val="DefaultParagraphFont"/>
    <w:uiPriority w:val="20"/>
    <w:qFormat/>
    <w:rsid w:val="00FB641D"/>
    <w:rPr>
      <w:i/>
      <w:iCs/>
    </w:rPr>
  </w:style>
  <w:style w:type="paragraph" w:styleId="ListParagraph">
    <w:name w:val="List Paragraph"/>
    <w:basedOn w:val="Normal"/>
    <w:uiPriority w:val="34"/>
    <w:qFormat/>
    <w:rsid w:val="00FB641D"/>
    <w:pPr>
      <w:spacing w:after="0" w:line="240" w:lineRule="auto"/>
      <w:ind w:left="720"/>
      <w:contextualSpacing/>
    </w:pPr>
    <w:rPr>
      <w:rFonts w:ascii="Times New Roman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uiPriority w:val="39"/>
    <w:rsid w:val="002159C4"/>
    <w:rPr>
      <w:rFonts w:asciiTheme="minorHAnsi" w:hAnsiTheme="minorHAnsi" w:cstheme="minorBidi"/>
      <w:sz w:val="22"/>
      <w:szCs w:val="22"/>
      <w:lang w:val="da-D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59C4"/>
    <w:pPr>
      <w:spacing w:after="160" w:line="259" w:lineRule="auto"/>
    </w:pPr>
    <w:rPr>
      <w:rFonts w:asciiTheme="minorHAnsi" w:hAnsiTheme="minorHAnsi" w:cstheme="minorBidi"/>
      <w:sz w:val="22"/>
      <w:szCs w:val="22"/>
      <w:lang w:val="da-D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FB641D"/>
    <w:rPr>
      <w:b/>
      <w:bCs/>
    </w:rPr>
  </w:style>
  <w:style w:type="character" w:styleId="Emphasis">
    <w:name w:val="Emphasis"/>
    <w:basedOn w:val="DefaultParagraphFont"/>
    <w:uiPriority w:val="20"/>
    <w:qFormat/>
    <w:rsid w:val="00FB641D"/>
    <w:rPr>
      <w:i/>
      <w:iCs/>
    </w:rPr>
  </w:style>
  <w:style w:type="paragraph" w:styleId="ListParagraph">
    <w:name w:val="List Paragraph"/>
    <w:basedOn w:val="Normal"/>
    <w:uiPriority w:val="34"/>
    <w:qFormat/>
    <w:rsid w:val="00FB641D"/>
    <w:pPr>
      <w:spacing w:after="0" w:line="240" w:lineRule="auto"/>
      <w:ind w:left="720"/>
      <w:contextualSpacing/>
    </w:pPr>
    <w:rPr>
      <w:rFonts w:ascii="Times New Roman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uiPriority w:val="39"/>
    <w:rsid w:val="002159C4"/>
    <w:rPr>
      <w:rFonts w:asciiTheme="minorHAnsi" w:hAnsiTheme="minorHAnsi" w:cstheme="minorBidi"/>
      <w:sz w:val="22"/>
      <w:szCs w:val="22"/>
      <w:lang w:val="da-D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702</Characters>
  <Application>Microsoft Office Word</Application>
  <DocSecurity>0</DocSecurity>
  <Lines>87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RTORRES</dc:creator>
  <cp:lastModifiedBy>RTORRES</cp:lastModifiedBy>
  <cp:revision>1</cp:revision>
  <dcterms:created xsi:type="dcterms:W3CDTF">2019-08-23T04:53:00Z</dcterms:created>
  <dcterms:modified xsi:type="dcterms:W3CDTF">2019-08-23T04:53:00Z</dcterms:modified>
</cp:coreProperties>
</file>