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CD" w:rsidRPr="000E6874" w:rsidRDefault="00DE53CD" w:rsidP="00DE53CD">
      <w:pPr>
        <w:spacing w:after="240" w:line="360" w:lineRule="auto"/>
        <w:rPr>
          <w:rFonts w:ascii="Times New Roman" w:hAnsi="Times New Roman" w:cs="Times New Roman"/>
        </w:rPr>
      </w:pPr>
      <w:r w:rsidRPr="00637464">
        <w:rPr>
          <w:rFonts w:ascii="Times New Roman" w:hAnsi="Times New Roman" w:cs="Times New Roman"/>
          <w:b/>
        </w:rPr>
        <w:t>Additional file 1</w:t>
      </w:r>
      <w:r>
        <w:rPr>
          <w:rFonts w:ascii="Times New Roman" w:hAnsi="Times New Roman" w:cs="Times New Roman"/>
          <w:b/>
        </w:rPr>
        <w:t xml:space="preserve">: </w:t>
      </w:r>
      <w:r w:rsidRPr="000E6874">
        <w:rPr>
          <w:rFonts w:ascii="Arial" w:hAnsi="Arial" w:cs="Arial"/>
          <w:b/>
          <w:i/>
        </w:rPr>
        <w:t>Supplemental Appendix 1: Statistical analyses</w:t>
      </w:r>
      <w:r>
        <w:rPr>
          <w:rFonts w:ascii="Arial" w:hAnsi="Arial" w:cs="Arial"/>
        </w:rPr>
        <w:t xml:space="preserve">. </w:t>
      </w:r>
      <w:r w:rsidRPr="000E6874">
        <w:rPr>
          <w:rFonts w:ascii="Arial" w:hAnsi="Arial" w:cs="Arial"/>
        </w:rPr>
        <w:t xml:space="preserve">Correlations between baseline BMI and baseline FVC (mL) and between baseline BMI and the rate of decline in FVC (mL/year) over 52 weeks were assessed using Spearman correlation coefficients. Absolute changes from baseline in FVC (mL or % predicted) and SGRQ total score over 52 weeks were </w:t>
      </w:r>
      <w:proofErr w:type="spellStart"/>
      <w:r w:rsidRPr="000E6874">
        <w:rPr>
          <w:rFonts w:ascii="Arial" w:hAnsi="Arial" w:cs="Arial"/>
        </w:rPr>
        <w:t>analysed</w:t>
      </w:r>
      <w:proofErr w:type="spellEnd"/>
      <w:r w:rsidRPr="000E6874">
        <w:rPr>
          <w:rFonts w:ascii="Arial" w:hAnsi="Arial" w:cs="Arial"/>
        </w:rPr>
        <w:t xml:space="preserve"> using a mixed model for repeated measures (MMRM) with fixed effects for trial, treatment, visit, baseline value, subgroup, treatment-by-visit and baseline-by-visit and the interaction term treatment-by-subgroup. The patient effect was assumed to be random. In analyses of time to first acute exacerbation, time to absolute decline in FVC ≥</w:t>
      </w:r>
      <w:proofErr w:type="gramStart"/>
      <w:r w:rsidRPr="000E6874">
        <w:rPr>
          <w:rFonts w:ascii="Arial" w:hAnsi="Arial" w:cs="Arial"/>
        </w:rPr>
        <w:t>10%</w:t>
      </w:r>
      <w:proofErr w:type="gramEnd"/>
      <w:r w:rsidRPr="000E6874">
        <w:rPr>
          <w:rFonts w:ascii="Arial" w:hAnsi="Arial" w:cs="Arial"/>
        </w:rPr>
        <w:t xml:space="preserve"> predicted or death, and time to death, hazard ratios and confidence intervals were obtained using a Cox’s proportional hazards model adjusted for trial, treatment, sex, age, height and subgroup and the interaction term treatment-by-subgroup.</w:t>
      </w:r>
    </w:p>
    <w:p w:rsidR="008C30C6" w:rsidRDefault="008C30C6">
      <w:bookmarkStart w:id="0" w:name="_GoBack"/>
      <w:bookmarkEnd w:id="0"/>
    </w:p>
    <w:sectPr w:rsidR="008C3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CD"/>
    <w:rsid w:val="0006446B"/>
    <w:rsid w:val="008C30C6"/>
    <w:rsid w:val="00D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3C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3C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803</Characters>
  <Application>Microsoft Office Word</Application>
  <DocSecurity>0</DocSecurity>
  <Lines>66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2020-10-02T18:01:00Z</dcterms:created>
  <dcterms:modified xsi:type="dcterms:W3CDTF">2020-10-02T18:01:00Z</dcterms:modified>
</cp:coreProperties>
</file>