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043" w:rsidRPr="000E6874" w:rsidRDefault="00A64043" w:rsidP="00A64043">
      <w:pPr>
        <w:spacing w:line="360" w:lineRule="auto"/>
        <w:rPr>
          <w:rFonts w:ascii="Times New Roman" w:hAnsi="Times New Roman" w:cs="Times New Roman"/>
        </w:rPr>
      </w:pPr>
      <w:proofErr w:type="gramStart"/>
      <w:r w:rsidRPr="000E6874">
        <w:rPr>
          <w:rFonts w:ascii="Arial" w:hAnsi="Arial" w:cs="Arial"/>
          <w:b/>
        </w:rPr>
        <w:t>Supplemental Table 2.</w:t>
      </w:r>
      <w:proofErr w:type="gramEnd"/>
      <w:r w:rsidRPr="000E6874">
        <w:rPr>
          <w:rFonts w:ascii="Arial" w:hAnsi="Arial" w:cs="Arial"/>
        </w:rPr>
        <w:t xml:space="preserve"> </w:t>
      </w:r>
      <w:proofErr w:type="gramStart"/>
      <w:r w:rsidRPr="000E6874">
        <w:rPr>
          <w:rFonts w:ascii="Arial" w:hAnsi="Arial" w:cs="Arial"/>
        </w:rPr>
        <w:t>Outcomes in subgroups of patients by BMI below and at least the median at baseline.</w:t>
      </w:r>
      <w:proofErr w:type="gramEnd"/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272"/>
        <w:gridCol w:w="1353"/>
        <w:gridCol w:w="1299"/>
        <w:gridCol w:w="1353"/>
        <w:gridCol w:w="1299"/>
      </w:tblGrid>
      <w:tr w:rsidR="00A64043" w:rsidRPr="000E6874" w:rsidTr="00BF5858">
        <w:tc>
          <w:tcPr>
            <w:tcW w:w="2231" w:type="pct"/>
            <w:vMerge w:val="restart"/>
            <w:shd w:val="clear" w:color="auto" w:fill="auto"/>
            <w:hideMark/>
          </w:tcPr>
          <w:p w:rsidR="00A64043" w:rsidRPr="000E6874" w:rsidRDefault="00A64043" w:rsidP="00BF585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85" w:type="pct"/>
            <w:gridSpan w:val="2"/>
            <w:shd w:val="clear" w:color="auto" w:fill="auto"/>
          </w:tcPr>
          <w:p w:rsidR="00A64043" w:rsidRPr="000E6874" w:rsidRDefault="00A64043" w:rsidP="00BF585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0E6874">
              <w:rPr>
                <w:rFonts w:ascii="Arial" w:hAnsi="Arial" w:cs="Arial"/>
                <w:b/>
                <w:bCs/>
              </w:rPr>
              <w:t>BMI &lt;27 kg/m</w:t>
            </w:r>
            <w:r w:rsidRPr="000E6874">
              <w:rPr>
                <w:rFonts w:ascii="Arial" w:hAnsi="Arial" w:cs="Arial"/>
                <w:b/>
                <w:bCs/>
                <w:vertAlign w:val="superscript"/>
              </w:rPr>
              <w:t xml:space="preserve">2 </w:t>
            </w:r>
            <w:r w:rsidRPr="000E6874">
              <w:rPr>
                <w:rFonts w:ascii="Arial" w:hAnsi="Arial" w:cs="Arial"/>
                <w:b/>
                <w:bCs/>
              </w:rPr>
              <w:t>at baseline</w:t>
            </w:r>
          </w:p>
        </w:tc>
        <w:tc>
          <w:tcPr>
            <w:tcW w:w="1384" w:type="pct"/>
            <w:gridSpan w:val="2"/>
            <w:shd w:val="clear" w:color="auto" w:fill="auto"/>
            <w:hideMark/>
          </w:tcPr>
          <w:p w:rsidR="00A64043" w:rsidRPr="000E6874" w:rsidRDefault="00A64043" w:rsidP="00BF5858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0E6874">
              <w:rPr>
                <w:rFonts w:ascii="Arial" w:hAnsi="Arial" w:cs="Arial"/>
                <w:b/>
                <w:bCs/>
              </w:rPr>
              <w:t>BMI ≥27 kg/m</w:t>
            </w:r>
            <w:r w:rsidRPr="000E6874">
              <w:rPr>
                <w:rFonts w:ascii="Arial" w:hAnsi="Arial" w:cs="Arial"/>
                <w:b/>
                <w:bCs/>
                <w:vertAlign w:val="superscript"/>
              </w:rPr>
              <w:t>2</w:t>
            </w:r>
            <w:r w:rsidRPr="000E6874">
              <w:rPr>
                <w:rFonts w:ascii="Arial" w:hAnsi="Arial" w:cs="Arial"/>
                <w:b/>
                <w:bCs/>
              </w:rPr>
              <w:t xml:space="preserve"> at baseline</w:t>
            </w:r>
          </w:p>
        </w:tc>
      </w:tr>
      <w:tr w:rsidR="00A64043" w:rsidRPr="000E6874" w:rsidTr="00BF5858">
        <w:tc>
          <w:tcPr>
            <w:tcW w:w="2231" w:type="pct"/>
            <w:vMerge/>
            <w:shd w:val="clear" w:color="auto" w:fill="auto"/>
            <w:hideMark/>
          </w:tcPr>
          <w:p w:rsidR="00A64043" w:rsidRPr="000E6874" w:rsidRDefault="00A64043" w:rsidP="00BF585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06" w:type="pct"/>
            <w:shd w:val="clear" w:color="auto" w:fill="auto"/>
          </w:tcPr>
          <w:p w:rsidR="00A64043" w:rsidRPr="000E6874" w:rsidRDefault="00A64043" w:rsidP="00BF585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proofErr w:type="spellStart"/>
            <w:r w:rsidRPr="000E6874">
              <w:rPr>
                <w:rFonts w:ascii="Arial" w:hAnsi="Arial" w:cs="Arial"/>
                <w:b/>
              </w:rPr>
              <w:t>Nintedanib</w:t>
            </w:r>
            <w:proofErr w:type="spellEnd"/>
            <w:r w:rsidRPr="000E6874">
              <w:rPr>
                <w:rFonts w:ascii="Arial" w:hAnsi="Arial" w:cs="Arial"/>
                <w:b/>
              </w:rPr>
              <w:br/>
              <w:t>(n=278)</w:t>
            </w:r>
          </w:p>
        </w:tc>
        <w:tc>
          <w:tcPr>
            <w:tcW w:w="679" w:type="pct"/>
            <w:shd w:val="clear" w:color="auto" w:fill="auto"/>
            <w:hideMark/>
          </w:tcPr>
          <w:p w:rsidR="00A64043" w:rsidRPr="000E6874" w:rsidRDefault="00A64043" w:rsidP="00BF585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0E6874">
              <w:rPr>
                <w:rFonts w:ascii="Arial" w:hAnsi="Arial" w:cs="Arial"/>
                <w:b/>
              </w:rPr>
              <w:t>Placebo</w:t>
            </w:r>
            <w:r w:rsidRPr="000E6874">
              <w:rPr>
                <w:rFonts w:ascii="Arial" w:hAnsi="Arial" w:cs="Arial"/>
                <w:b/>
              </w:rPr>
              <w:br/>
              <w:t>(n=208)</w:t>
            </w:r>
          </w:p>
        </w:tc>
        <w:tc>
          <w:tcPr>
            <w:tcW w:w="706" w:type="pct"/>
            <w:shd w:val="clear" w:color="auto" w:fill="auto"/>
          </w:tcPr>
          <w:p w:rsidR="00A64043" w:rsidRPr="000E6874" w:rsidRDefault="00A64043" w:rsidP="00BF585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proofErr w:type="spellStart"/>
            <w:r w:rsidRPr="000E6874">
              <w:rPr>
                <w:rFonts w:ascii="Arial" w:hAnsi="Arial" w:cs="Arial"/>
                <w:b/>
              </w:rPr>
              <w:t>Nintedanib</w:t>
            </w:r>
            <w:proofErr w:type="spellEnd"/>
            <w:r w:rsidRPr="000E6874">
              <w:rPr>
                <w:rFonts w:ascii="Arial" w:hAnsi="Arial" w:cs="Arial"/>
                <w:b/>
              </w:rPr>
              <w:br/>
              <w:t>(n=360)</w:t>
            </w:r>
          </w:p>
        </w:tc>
        <w:tc>
          <w:tcPr>
            <w:tcW w:w="677" w:type="pct"/>
            <w:shd w:val="clear" w:color="auto" w:fill="auto"/>
          </w:tcPr>
          <w:p w:rsidR="00A64043" w:rsidRPr="000E6874" w:rsidRDefault="00A64043" w:rsidP="00BF585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0E6874">
              <w:rPr>
                <w:rFonts w:ascii="Arial" w:hAnsi="Arial" w:cs="Arial"/>
                <w:b/>
              </w:rPr>
              <w:t>Placebo</w:t>
            </w:r>
            <w:r w:rsidRPr="000E6874">
              <w:rPr>
                <w:rFonts w:ascii="Arial" w:hAnsi="Arial" w:cs="Arial"/>
                <w:b/>
              </w:rPr>
              <w:br/>
              <w:t>(n=215)</w:t>
            </w:r>
          </w:p>
        </w:tc>
      </w:tr>
      <w:tr w:rsidR="00A64043" w:rsidRPr="000E6874" w:rsidTr="00BF5858">
        <w:tc>
          <w:tcPr>
            <w:tcW w:w="2231" w:type="pct"/>
            <w:shd w:val="clear" w:color="auto" w:fill="auto"/>
            <w:vAlign w:val="center"/>
          </w:tcPr>
          <w:p w:rsidR="00A64043" w:rsidRPr="000E6874" w:rsidRDefault="00A64043" w:rsidP="00BF5858">
            <w:pPr>
              <w:spacing w:line="360" w:lineRule="auto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Annual rate of decline in FVC (mL/year) over 52 weeks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A64043" w:rsidRPr="000E6874" w:rsidRDefault="00A64043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-108.5 (16.2)</w:t>
            </w:r>
          </w:p>
        </w:tc>
        <w:tc>
          <w:tcPr>
            <w:tcW w:w="679" w:type="pct"/>
            <w:shd w:val="clear" w:color="auto" w:fill="auto"/>
            <w:vAlign w:val="center"/>
          </w:tcPr>
          <w:p w:rsidR="00A64043" w:rsidRPr="000E6874" w:rsidRDefault="00A64043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-266.2 (18.7)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A64043" w:rsidRPr="000E6874" w:rsidRDefault="00A64043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-117.7 (14.8)</w:t>
            </w:r>
          </w:p>
        </w:tc>
        <w:tc>
          <w:tcPr>
            <w:tcW w:w="677" w:type="pct"/>
            <w:shd w:val="clear" w:color="auto" w:fill="auto"/>
            <w:vAlign w:val="center"/>
          </w:tcPr>
          <w:p w:rsidR="00A64043" w:rsidRPr="000E6874" w:rsidRDefault="00A64043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-183.1 (19.1)</w:t>
            </w:r>
          </w:p>
        </w:tc>
      </w:tr>
      <w:tr w:rsidR="00A64043" w:rsidRPr="000E6874" w:rsidTr="00BF5858">
        <w:tc>
          <w:tcPr>
            <w:tcW w:w="2231" w:type="pct"/>
            <w:shd w:val="clear" w:color="auto" w:fill="auto"/>
            <w:vAlign w:val="center"/>
          </w:tcPr>
          <w:p w:rsidR="00A64043" w:rsidRPr="000E6874" w:rsidRDefault="00A64043" w:rsidP="00BF5858">
            <w:pPr>
              <w:spacing w:line="360" w:lineRule="auto"/>
              <w:ind w:firstLine="311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Difference versus placebo (95% CI)</w:t>
            </w:r>
          </w:p>
        </w:tc>
        <w:tc>
          <w:tcPr>
            <w:tcW w:w="1385" w:type="pct"/>
            <w:gridSpan w:val="2"/>
            <w:shd w:val="clear" w:color="auto" w:fill="auto"/>
          </w:tcPr>
          <w:p w:rsidR="00A64043" w:rsidRPr="000E6874" w:rsidRDefault="00A64043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157.8 (109.1, 206.4)</w:t>
            </w:r>
          </w:p>
        </w:tc>
        <w:tc>
          <w:tcPr>
            <w:tcW w:w="1384" w:type="pct"/>
            <w:gridSpan w:val="2"/>
            <w:shd w:val="clear" w:color="auto" w:fill="auto"/>
          </w:tcPr>
          <w:p w:rsidR="00A64043" w:rsidRPr="000E6874" w:rsidRDefault="00A64043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65.4 (17.8, 112.9)</w:t>
            </w:r>
          </w:p>
        </w:tc>
      </w:tr>
      <w:tr w:rsidR="00A64043" w:rsidRPr="000E6874" w:rsidTr="00BF5858">
        <w:tc>
          <w:tcPr>
            <w:tcW w:w="2231" w:type="pct"/>
            <w:shd w:val="clear" w:color="auto" w:fill="auto"/>
            <w:vAlign w:val="center"/>
          </w:tcPr>
          <w:p w:rsidR="00A64043" w:rsidRPr="000E6874" w:rsidRDefault="00A64043" w:rsidP="00BF5858">
            <w:pPr>
              <w:spacing w:line="360" w:lineRule="auto"/>
              <w:ind w:left="306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p-value for treatment-by-time-by-subgroup interaction</w:t>
            </w:r>
          </w:p>
        </w:tc>
        <w:tc>
          <w:tcPr>
            <w:tcW w:w="2769" w:type="pct"/>
            <w:gridSpan w:val="4"/>
            <w:shd w:val="clear" w:color="auto" w:fill="auto"/>
          </w:tcPr>
          <w:p w:rsidR="00A64043" w:rsidRPr="000E6874" w:rsidRDefault="00A64043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0.0074</w:t>
            </w:r>
          </w:p>
        </w:tc>
      </w:tr>
      <w:tr w:rsidR="00A64043" w:rsidRPr="000E6874" w:rsidTr="00BF5858">
        <w:tc>
          <w:tcPr>
            <w:tcW w:w="2231" w:type="pct"/>
            <w:shd w:val="clear" w:color="auto" w:fill="auto"/>
            <w:vAlign w:val="center"/>
          </w:tcPr>
          <w:p w:rsidR="00A64043" w:rsidRPr="000E6874" w:rsidRDefault="00A64043" w:rsidP="00BF5858">
            <w:pPr>
              <w:spacing w:line="360" w:lineRule="auto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Absolute change from baseline in FVC (mL) over 52 weeks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A64043" w:rsidRPr="000E6874" w:rsidRDefault="00A64043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-114.8 (18.4)</w:t>
            </w:r>
          </w:p>
        </w:tc>
        <w:tc>
          <w:tcPr>
            <w:tcW w:w="679" w:type="pct"/>
            <w:shd w:val="clear" w:color="auto" w:fill="auto"/>
            <w:vAlign w:val="center"/>
          </w:tcPr>
          <w:p w:rsidR="00A64043" w:rsidRPr="000E6874" w:rsidRDefault="00A64043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-264.3 (21.2)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A64043" w:rsidRPr="000E6874" w:rsidRDefault="00A64043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-101.2 (15.4)</w:t>
            </w:r>
          </w:p>
        </w:tc>
        <w:tc>
          <w:tcPr>
            <w:tcW w:w="677" w:type="pct"/>
            <w:shd w:val="clear" w:color="auto" w:fill="auto"/>
            <w:vAlign w:val="center"/>
          </w:tcPr>
          <w:p w:rsidR="00A64043" w:rsidRPr="000E6874" w:rsidRDefault="00A64043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-167.3 (19.8)</w:t>
            </w:r>
          </w:p>
        </w:tc>
      </w:tr>
      <w:tr w:rsidR="00A64043" w:rsidRPr="000E6874" w:rsidTr="00BF5858">
        <w:tc>
          <w:tcPr>
            <w:tcW w:w="2231" w:type="pct"/>
            <w:shd w:val="clear" w:color="auto" w:fill="auto"/>
            <w:vAlign w:val="center"/>
          </w:tcPr>
          <w:p w:rsidR="00A64043" w:rsidRPr="000E6874" w:rsidRDefault="00A64043" w:rsidP="00BF5858">
            <w:pPr>
              <w:spacing w:line="360" w:lineRule="auto"/>
              <w:ind w:firstLine="311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Difference versus placebo (95% CI)</w:t>
            </w:r>
          </w:p>
        </w:tc>
        <w:tc>
          <w:tcPr>
            <w:tcW w:w="1385" w:type="pct"/>
            <w:gridSpan w:val="2"/>
            <w:shd w:val="clear" w:color="auto" w:fill="auto"/>
          </w:tcPr>
          <w:p w:rsidR="00A64043" w:rsidRPr="000E6874" w:rsidRDefault="00A64043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149.5 (94.4, 204.5)</w:t>
            </w:r>
          </w:p>
        </w:tc>
        <w:tc>
          <w:tcPr>
            <w:tcW w:w="1384" w:type="pct"/>
            <w:gridSpan w:val="2"/>
            <w:shd w:val="clear" w:color="auto" w:fill="auto"/>
          </w:tcPr>
          <w:p w:rsidR="00A64043" w:rsidRPr="000E6874" w:rsidRDefault="00A64043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66.0 (16.8, 115.2)</w:t>
            </w:r>
          </w:p>
        </w:tc>
      </w:tr>
      <w:tr w:rsidR="00A64043" w:rsidRPr="000E6874" w:rsidTr="00BF5858">
        <w:tc>
          <w:tcPr>
            <w:tcW w:w="2231" w:type="pct"/>
            <w:shd w:val="clear" w:color="auto" w:fill="auto"/>
            <w:vAlign w:val="center"/>
          </w:tcPr>
          <w:p w:rsidR="00A64043" w:rsidRPr="000E6874" w:rsidRDefault="00A64043" w:rsidP="00BF5858">
            <w:pPr>
              <w:spacing w:line="360" w:lineRule="auto"/>
              <w:ind w:left="306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p-value for treatment-by-subgroup interaction</w:t>
            </w:r>
          </w:p>
        </w:tc>
        <w:tc>
          <w:tcPr>
            <w:tcW w:w="2769" w:type="pct"/>
            <w:gridSpan w:val="4"/>
            <w:shd w:val="clear" w:color="auto" w:fill="auto"/>
          </w:tcPr>
          <w:p w:rsidR="00A64043" w:rsidRPr="000E6874" w:rsidRDefault="00A64043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0.64</w:t>
            </w:r>
          </w:p>
        </w:tc>
      </w:tr>
      <w:tr w:rsidR="00A64043" w:rsidRPr="000E6874" w:rsidTr="00BF5858">
        <w:tc>
          <w:tcPr>
            <w:tcW w:w="2231" w:type="pct"/>
            <w:shd w:val="clear" w:color="auto" w:fill="auto"/>
          </w:tcPr>
          <w:p w:rsidR="00A64043" w:rsidRPr="000E6874" w:rsidRDefault="00A64043" w:rsidP="00BF5858">
            <w:pPr>
              <w:spacing w:line="360" w:lineRule="auto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Absolute change from baseline in FVC (% predicted) over 52 weeks</w:t>
            </w:r>
          </w:p>
        </w:tc>
        <w:tc>
          <w:tcPr>
            <w:tcW w:w="706" w:type="pct"/>
            <w:shd w:val="clear" w:color="auto" w:fill="auto"/>
          </w:tcPr>
          <w:p w:rsidR="00A64043" w:rsidRPr="000E6874" w:rsidRDefault="00A64043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-3.7 (0.6)</w:t>
            </w:r>
          </w:p>
        </w:tc>
        <w:tc>
          <w:tcPr>
            <w:tcW w:w="679" w:type="pct"/>
            <w:shd w:val="clear" w:color="auto" w:fill="auto"/>
          </w:tcPr>
          <w:p w:rsidR="00A64043" w:rsidRPr="000E6874" w:rsidRDefault="00A64043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-8.0 (0.6)</w:t>
            </w:r>
          </w:p>
        </w:tc>
        <w:tc>
          <w:tcPr>
            <w:tcW w:w="706" w:type="pct"/>
            <w:shd w:val="clear" w:color="auto" w:fill="auto"/>
          </w:tcPr>
          <w:p w:rsidR="00A64043" w:rsidRPr="000E6874" w:rsidRDefault="00A64043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-3.0 (0.4)</w:t>
            </w:r>
          </w:p>
        </w:tc>
        <w:tc>
          <w:tcPr>
            <w:tcW w:w="677" w:type="pct"/>
            <w:shd w:val="clear" w:color="auto" w:fill="auto"/>
          </w:tcPr>
          <w:p w:rsidR="00A64043" w:rsidRPr="000E6874" w:rsidRDefault="00A64043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-4.8 (0.6)</w:t>
            </w:r>
          </w:p>
        </w:tc>
      </w:tr>
      <w:tr w:rsidR="00A64043" w:rsidRPr="000E6874" w:rsidTr="00BF5858">
        <w:tc>
          <w:tcPr>
            <w:tcW w:w="2231" w:type="pct"/>
            <w:shd w:val="clear" w:color="auto" w:fill="auto"/>
            <w:vAlign w:val="center"/>
          </w:tcPr>
          <w:p w:rsidR="00A64043" w:rsidRPr="000E6874" w:rsidRDefault="00A64043" w:rsidP="00BF5858">
            <w:pPr>
              <w:spacing w:line="360" w:lineRule="auto"/>
              <w:ind w:firstLine="311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Difference versus placebo (95% CI)</w:t>
            </w:r>
          </w:p>
        </w:tc>
        <w:tc>
          <w:tcPr>
            <w:tcW w:w="1385" w:type="pct"/>
            <w:gridSpan w:val="2"/>
            <w:shd w:val="clear" w:color="auto" w:fill="auto"/>
          </w:tcPr>
          <w:p w:rsidR="00A64043" w:rsidRPr="000E6874" w:rsidRDefault="00A64043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4.3 (2.6, 6.0)</w:t>
            </w:r>
          </w:p>
        </w:tc>
        <w:tc>
          <w:tcPr>
            <w:tcW w:w="1384" w:type="pct"/>
            <w:gridSpan w:val="2"/>
            <w:shd w:val="clear" w:color="auto" w:fill="auto"/>
          </w:tcPr>
          <w:p w:rsidR="00A64043" w:rsidRPr="000E6874" w:rsidRDefault="00A64043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1.8 (0.4, 3.2)</w:t>
            </w:r>
          </w:p>
        </w:tc>
      </w:tr>
      <w:tr w:rsidR="00A64043" w:rsidRPr="000E6874" w:rsidTr="00BF5858">
        <w:tc>
          <w:tcPr>
            <w:tcW w:w="2231" w:type="pct"/>
            <w:shd w:val="clear" w:color="auto" w:fill="auto"/>
            <w:vAlign w:val="center"/>
          </w:tcPr>
          <w:p w:rsidR="00A64043" w:rsidRPr="000E6874" w:rsidRDefault="00A64043" w:rsidP="00BF5858">
            <w:pPr>
              <w:spacing w:line="360" w:lineRule="auto"/>
              <w:ind w:left="306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p-value for treatment-by-subgroup interaction</w:t>
            </w:r>
          </w:p>
        </w:tc>
        <w:tc>
          <w:tcPr>
            <w:tcW w:w="2769" w:type="pct"/>
            <w:gridSpan w:val="4"/>
            <w:shd w:val="clear" w:color="auto" w:fill="auto"/>
          </w:tcPr>
          <w:p w:rsidR="00A64043" w:rsidRPr="000E6874" w:rsidRDefault="00A64043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0.37</w:t>
            </w:r>
          </w:p>
        </w:tc>
      </w:tr>
      <w:tr w:rsidR="00A64043" w:rsidRPr="000E6874" w:rsidTr="00BF5858">
        <w:tc>
          <w:tcPr>
            <w:tcW w:w="2231" w:type="pct"/>
            <w:shd w:val="clear" w:color="auto" w:fill="auto"/>
          </w:tcPr>
          <w:p w:rsidR="00A64043" w:rsidRPr="000E6874" w:rsidRDefault="00A64043" w:rsidP="00BF5858">
            <w:pPr>
              <w:spacing w:line="360" w:lineRule="auto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Absolute change from baseline in SGRQ total score over 52 weeks</w:t>
            </w:r>
          </w:p>
        </w:tc>
        <w:tc>
          <w:tcPr>
            <w:tcW w:w="706" w:type="pct"/>
            <w:shd w:val="clear" w:color="auto" w:fill="auto"/>
          </w:tcPr>
          <w:p w:rsidR="00A64043" w:rsidRPr="000E6874" w:rsidRDefault="00A64043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4.1 (1.0)</w:t>
            </w:r>
          </w:p>
        </w:tc>
        <w:tc>
          <w:tcPr>
            <w:tcW w:w="679" w:type="pct"/>
            <w:shd w:val="clear" w:color="auto" w:fill="auto"/>
          </w:tcPr>
          <w:p w:rsidR="00A64043" w:rsidRPr="000E6874" w:rsidRDefault="00A64043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6.7 (1.2)</w:t>
            </w:r>
          </w:p>
        </w:tc>
        <w:tc>
          <w:tcPr>
            <w:tcW w:w="706" w:type="pct"/>
            <w:shd w:val="clear" w:color="auto" w:fill="auto"/>
          </w:tcPr>
          <w:p w:rsidR="00A64043" w:rsidRPr="000E6874" w:rsidRDefault="00A64043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3.5 (0.9)</w:t>
            </w:r>
          </w:p>
        </w:tc>
        <w:tc>
          <w:tcPr>
            <w:tcW w:w="677" w:type="pct"/>
            <w:shd w:val="clear" w:color="auto" w:fill="auto"/>
          </w:tcPr>
          <w:p w:rsidR="00A64043" w:rsidRPr="000E6874" w:rsidRDefault="00A64043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3.9 (1.1)</w:t>
            </w:r>
          </w:p>
        </w:tc>
      </w:tr>
      <w:tr w:rsidR="00A64043" w:rsidRPr="000E6874" w:rsidTr="00BF5858">
        <w:tc>
          <w:tcPr>
            <w:tcW w:w="2231" w:type="pct"/>
            <w:shd w:val="clear" w:color="auto" w:fill="auto"/>
            <w:vAlign w:val="center"/>
          </w:tcPr>
          <w:p w:rsidR="00A64043" w:rsidRPr="000E6874" w:rsidRDefault="00A64043" w:rsidP="00BF5858">
            <w:pPr>
              <w:spacing w:line="360" w:lineRule="auto"/>
              <w:ind w:firstLine="313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Difference versus placebo (95% CI)</w:t>
            </w:r>
          </w:p>
        </w:tc>
        <w:tc>
          <w:tcPr>
            <w:tcW w:w="1385" w:type="pct"/>
            <w:gridSpan w:val="2"/>
            <w:shd w:val="clear" w:color="auto" w:fill="auto"/>
          </w:tcPr>
          <w:p w:rsidR="00A64043" w:rsidRPr="000E6874" w:rsidRDefault="00A64043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-2.6 (-5.7, 0.6)</w:t>
            </w:r>
          </w:p>
        </w:tc>
        <w:tc>
          <w:tcPr>
            <w:tcW w:w="1384" w:type="pct"/>
            <w:gridSpan w:val="2"/>
            <w:shd w:val="clear" w:color="auto" w:fill="auto"/>
          </w:tcPr>
          <w:p w:rsidR="00A64043" w:rsidRPr="000E6874" w:rsidRDefault="00A64043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-0.4 (-3.2, 2.3)</w:t>
            </w:r>
          </w:p>
        </w:tc>
      </w:tr>
      <w:tr w:rsidR="00A64043" w:rsidRPr="000E6874" w:rsidTr="00BF5858">
        <w:tc>
          <w:tcPr>
            <w:tcW w:w="2231" w:type="pct"/>
            <w:shd w:val="clear" w:color="auto" w:fill="auto"/>
            <w:vAlign w:val="center"/>
          </w:tcPr>
          <w:p w:rsidR="00A64043" w:rsidRPr="000E6874" w:rsidRDefault="00A64043" w:rsidP="00BF5858">
            <w:pPr>
              <w:spacing w:line="360" w:lineRule="auto"/>
              <w:ind w:firstLine="313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p-value for treatment-by-subgroup interaction</w:t>
            </w:r>
          </w:p>
        </w:tc>
        <w:tc>
          <w:tcPr>
            <w:tcW w:w="2769" w:type="pct"/>
            <w:gridSpan w:val="4"/>
            <w:shd w:val="clear" w:color="auto" w:fill="auto"/>
          </w:tcPr>
          <w:p w:rsidR="00A64043" w:rsidRPr="000E6874" w:rsidRDefault="00A64043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0.80</w:t>
            </w:r>
          </w:p>
        </w:tc>
      </w:tr>
      <w:tr w:rsidR="00A64043" w:rsidRPr="000E6874" w:rsidTr="00BF5858">
        <w:tc>
          <w:tcPr>
            <w:tcW w:w="2231" w:type="pct"/>
            <w:shd w:val="clear" w:color="auto" w:fill="auto"/>
          </w:tcPr>
          <w:p w:rsidR="00A64043" w:rsidRPr="000E6874" w:rsidRDefault="00A64043" w:rsidP="00BF5858">
            <w:pPr>
              <w:spacing w:line="360" w:lineRule="auto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 xml:space="preserve">Patients with absolute decline in FVC </w:t>
            </w:r>
            <w:r w:rsidRPr="000E6874">
              <w:rPr>
                <w:rFonts w:ascii="Arial" w:hAnsi="Arial" w:cs="Arial"/>
              </w:rPr>
              <w:lastRenderedPageBreak/>
              <w:t>≥10% predicted or death at week 52, n (%)</w:t>
            </w:r>
          </w:p>
        </w:tc>
        <w:tc>
          <w:tcPr>
            <w:tcW w:w="706" w:type="pct"/>
            <w:shd w:val="clear" w:color="auto" w:fill="auto"/>
          </w:tcPr>
          <w:p w:rsidR="00A64043" w:rsidRPr="000E6874" w:rsidRDefault="00A64043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lastRenderedPageBreak/>
              <w:t>74 (26.6)</w:t>
            </w:r>
          </w:p>
        </w:tc>
        <w:tc>
          <w:tcPr>
            <w:tcW w:w="679" w:type="pct"/>
            <w:shd w:val="clear" w:color="auto" w:fill="auto"/>
          </w:tcPr>
          <w:p w:rsidR="00A64043" w:rsidRPr="000E6874" w:rsidRDefault="00A64043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94 (45.2)</w:t>
            </w:r>
          </w:p>
        </w:tc>
        <w:tc>
          <w:tcPr>
            <w:tcW w:w="706" w:type="pct"/>
            <w:shd w:val="clear" w:color="auto" w:fill="auto"/>
          </w:tcPr>
          <w:p w:rsidR="00A64043" w:rsidRPr="000E6874" w:rsidRDefault="00A64043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99 (27.5)</w:t>
            </w:r>
          </w:p>
        </w:tc>
        <w:tc>
          <w:tcPr>
            <w:tcW w:w="677" w:type="pct"/>
            <w:shd w:val="clear" w:color="auto" w:fill="auto"/>
          </w:tcPr>
          <w:p w:rsidR="00A64043" w:rsidRPr="000E6874" w:rsidRDefault="00A64043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81 (37.7)</w:t>
            </w:r>
          </w:p>
        </w:tc>
      </w:tr>
      <w:tr w:rsidR="00A64043" w:rsidRPr="000E6874" w:rsidTr="00BF5858">
        <w:tc>
          <w:tcPr>
            <w:tcW w:w="2231" w:type="pct"/>
            <w:shd w:val="clear" w:color="auto" w:fill="auto"/>
            <w:vAlign w:val="center"/>
          </w:tcPr>
          <w:p w:rsidR="00A64043" w:rsidRPr="000E6874" w:rsidRDefault="00A64043" w:rsidP="00BF5858">
            <w:pPr>
              <w:spacing w:line="360" w:lineRule="auto"/>
              <w:ind w:firstLine="311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lastRenderedPageBreak/>
              <w:t>HR (95% CI)</w:t>
            </w:r>
          </w:p>
        </w:tc>
        <w:tc>
          <w:tcPr>
            <w:tcW w:w="1385" w:type="pct"/>
            <w:gridSpan w:val="2"/>
            <w:shd w:val="clear" w:color="auto" w:fill="auto"/>
          </w:tcPr>
          <w:p w:rsidR="00A64043" w:rsidRPr="000E6874" w:rsidRDefault="00A64043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0.49 (0.36, 0.67)</w:t>
            </w:r>
          </w:p>
        </w:tc>
        <w:tc>
          <w:tcPr>
            <w:tcW w:w="1384" w:type="pct"/>
            <w:gridSpan w:val="2"/>
            <w:shd w:val="clear" w:color="auto" w:fill="auto"/>
          </w:tcPr>
          <w:p w:rsidR="00A64043" w:rsidRPr="000E6874" w:rsidRDefault="00A64043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0.71 (0.53, 0.95)</w:t>
            </w:r>
          </w:p>
        </w:tc>
      </w:tr>
      <w:tr w:rsidR="00A64043" w:rsidRPr="000E6874" w:rsidTr="00BF5858">
        <w:tc>
          <w:tcPr>
            <w:tcW w:w="2231" w:type="pct"/>
            <w:shd w:val="clear" w:color="auto" w:fill="auto"/>
            <w:vAlign w:val="center"/>
          </w:tcPr>
          <w:p w:rsidR="00A64043" w:rsidRPr="000E6874" w:rsidRDefault="00A64043" w:rsidP="00BF5858">
            <w:pPr>
              <w:spacing w:line="360" w:lineRule="auto"/>
              <w:ind w:firstLine="311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p-value for treatment-by-subgroup interaction</w:t>
            </w:r>
          </w:p>
        </w:tc>
        <w:tc>
          <w:tcPr>
            <w:tcW w:w="2769" w:type="pct"/>
            <w:gridSpan w:val="4"/>
            <w:shd w:val="clear" w:color="auto" w:fill="auto"/>
          </w:tcPr>
          <w:p w:rsidR="00A64043" w:rsidRPr="000E6874" w:rsidRDefault="00A64043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0.14</w:t>
            </w:r>
          </w:p>
        </w:tc>
      </w:tr>
      <w:tr w:rsidR="00A64043" w:rsidRPr="000E6874" w:rsidTr="00BF5858">
        <w:tc>
          <w:tcPr>
            <w:tcW w:w="2231" w:type="pct"/>
            <w:shd w:val="clear" w:color="auto" w:fill="auto"/>
          </w:tcPr>
          <w:p w:rsidR="00A64043" w:rsidRPr="000E6874" w:rsidRDefault="00A64043" w:rsidP="00BF5858">
            <w:pPr>
              <w:spacing w:line="360" w:lineRule="auto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Patients with ≥1 acute exacerbation of IPF over 52 weeks</w:t>
            </w:r>
          </w:p>
        </w:tc>
        <w:tc>
          <w:tcPr>
            <w:tcW w:w="706" w:type="pct"/>
            <w:shd w:val="clear" w:color="auto" w:fill="auto"/>
          </w:tcPr>
          <w:p w:rsidR="00A64043" w:rsidRPr="000E6874" w:rsidRDefault="00A64043" w:rsidP="00BF5858">
            <w:pPr>
              <w:spacing w:line="360" w:lineRule="auto"/>
              <w:jc w:val="center"/>
              <w:rPr>
                <w:rFonts w:ascii="Arial" w:eastAsiaTheme="minorEastAsia" w:hAnsi="Arial" w:cs="Arial"/>
                <w:color w:val="000000" w:themeColor="dark1"/>
              </w:rPr>
            </w:pPr>
            <w:r w:rsidRPr="000E6874">
              <w:rPr>
                <w:rFonts w:ascii="Arial" w:hAnsi="Arial" w:cs="Arial"/>
              </w:rPr>
              <w:t>17 (6.1)</w:t>
            </w:r>
          </w:p>
        </w:tc>
        <w:tc>
          <w:tcPr>
            <w:tcW w:w="679" w:type="pct"/>
            <w:shd w:val="clear" w:color="auto" w:fill="auto"/>
          </w:tcPr>
          <w:p w:rsidR="00A64043" w:rsidRPr="000E6874" w:rsidRDefault="00A64043" w:rsidP="00BF5858">
            <w:pPr>
              <w:spacing w:line="360" w:lineRule="auto"/>
              <w:jc w:val="center"/>
              <w:rPr>
                <w:rFonts w:ascii="Arial" w:eastAsiaTheme="minorEastAsia" w:hAnsi="Arial" w:cs="Arial"/>
                <w:bCs/>
                <w:color w:val="000000" w:themeColor="dark1"/>
              </w:rPr>
            </w:pPr>
            <w:r w:rsidRPr="000E6874">
              <w:rPr>
                <w:rFonts w:ascii="Arial" w:hAnsi="Arial" w:cs="Arial"/>
              </w:rPr>
              <w:t>19 (9.1)</w:t>
            </w:r>
          </w:p>
        </w:tc>
        <w:tc>
          <w:tcPr>
            <w:tcW w:w="706" w:type="pct"/>
            <w:shd w:val="clear" w:color="auto" w:fill="auto"/>
          </w:tcPr>
          <w:p w:rsidR="00A64043" w:rsidRPr="000E6874" w:rsidRDefault="00A64043" w:rsidP="00BF5858">
            <w:pPr>
              <w:spacing w:line="360" w:lineRule="auto"/>
              <w:jc w:val="center"/>
              <w:rPr>
                <w:rFonts w:ascii="Arial" w:hAnsi="Arial" w:cs="Arial"/>
                <w:color w:val="000000" w:themeColor="dark1"/>
              </w:rPr>
            </w:pPr>
            <w:r w:rsidRPr="000E6874">
              <w:rPr>
                <w:rFonts w:ascii="Arial" w:hAnsi="Arial" w:cs="Arial"/>
              </w:rPr>
              <w:t>14 (3.9)</w:t>
            </w:r>
          </w:p>
        </w:tc>
        <w:tc>
          <w:tcPr>
            <w:tcW w:w="677" w:type="pct"/>
            <w:shd w:val="clear" w:color="auto" w:fill="auto"/>
          </w:tcPr>
          <w:p w:rsidR="00A64043" w:rsidRPr="000E6874" w:rsidRDefault="00A64043" w:rsidP="00BF5858">
            <w:pPr>
              <w:spacing w:line="360" w:lineRule="auto"/>
              <w:jc w:val="center"/>
              <w:rPr>
                <w:rFonts w:ascii="Arial" w:hAnsi="Arial" w:cs="Arial"/>
                <w:bCs/>
                <w:color w:val="000000" w:themeColor="dark1"/>
              </w:rPr>
            </w:pPr>
            <w:r w:rsidRPr="000E6874">
              <w:rPr>
                <w:rFonts w:ascii="Arial" w:hAnsi="Arial" w:cs="Arial"/>
              </w:rPr>
              <w:t>13 (6.0)</w:t>
            </w:r>
          </w:p>
        </w:tc>
      </w:tr>
      <w:tr w:rsidR="00A64043" w:rsidRPr="000E6874" w:rsidTr="00BF5858">
        <w:tc>
          <w:tcPr>
            <w:tcW w:w="2231" w:type="pct"/>
            <w:shd w:val="clear" w:color="auto" w:fill="auto"/>
            <w:vAlign w:val="center"/>
          </w:tcPr>
          <w:p w:rsidR="00A64043" w:rsidRPr="000E6874" w:rsidRDefault="00A64043" w:rsidP="00BF5858">
            <w:pPr>
              <w:spacing w:line="360" w:lineRule="auto"/>
              <w:ind w:left="306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HR (95% CI)</w:t>
            </w:r>
          </w:p>
        </w:tc>
        <w:tc>
          <w:tcPr>
            <w:tcW w:w="1385" w:type="pct"/>
            <w:gridSpan w:val="2"/>
            <w:shd w:val="clear" w:color="auto" w:fill="auto"/>
          </w:tcPr>
          <w:p w:rsidR="00A64043" w:rsidRPr="000E6874" w:rsidRDefault="00A64043" w:rsidP="00BF5858">
            <w:pPr>
              <w:spacing w:line="360" w:lineRule="auto"/>
              <w:jc w:val="center"/>
              <w:rPr>
                <w:rFonts w:ascii="Arial" w:eastAsiaTheme="minorEastAsia" w:hAnsi="Arial" w:cs="Arial"/>
                <w:bCs/>
                <w:color w:val="000000" w:themeColor="dark1"/>
              </w:rPr>
            </w:pPr>
            <w:r w:rsidRPr="000E6874">
              <w:rPr>
                <w:rFonts w:ascii="Arial" w:hAnsi="Arial" w:cs="Arial"/>
              </w:rPr>
              <w:t>0.65 (0.34, 1.26)</w:t>
            </w:r>
          </w:p>
        </w:tc>
        <w:tc>
          <w:tcPr>
            <w:tcW w:w="1384" w:type="pct"/>
            <w:gridSpan w:val="2"/>
            <w:shd w:val="clear" w:color="auto" w:fill="auto"/>
          </w:tcPr>
          <w:p w:rsidR="00A64043" w:rsidRPr="000E6874" w:rsidRDefault="00A64043" w:rsidP="00BF5858">
            <w:pPr>
              <w:spacing w:line="360" w:lineRule="auto"/>
              <w:jc w:val="center"/>
              <w:rPr>
                <w:rFonts w:ascii="Arial" w:hAnsi="Arial" w:cs="Arial"/>
                <w:bCs/>
                <w:color w:val="000000" w:themeColor="dark1"/>
              </w:rPr>
            </w:pPr>
            <w:r w:rsidRPr="000E6874">
              <w:rPr>
                <w:rFonts w:ascii="Arial" w:hAnsi="Arial" w:cs="Arial"/>
              </w:rPr>
              <w:t>0.65 (0.31, 1.40)</w:t>
            </w:r>
          </w:p>
        </w:tc>
      </w:tr>
      <w:tr w:rsidR="00A64043" w:rsidRPr="000E6874" w:rsidTr="00BF5858">
        <w:tc>
          <w:tcPr>
            <w:tcW w:w="2231" w:type="pct"/>
            <w:shd w:val="clear" w:color="auto" w:fill="auto"/>
            <w:vAlign w:val="center"/>
          </w:tcPr>
          <w:p w:rsidR="00A64043" w:rsidRPr="000E6874" w:rsidRDefault="00A64043" w:rsidP="00BF5858">
            <w:pPr>
              <w:spacing w:line="360" w:lineRule="auto"/>
              <w:ind w:firstLine="306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p-value for treatment-by-subgroup interaction</w:t>
            </w:r>
          </w:p>
        </w:tc>
        <w:tc>
          <w:tcPr>
            <w:tcW w:w="2769" w:type="pct"/>
            <w:gridSpan w:val="4"/>
            <w:shd w:val="clear" w:color="auto" w:fill="auto"/>
          </w:tcPr>
          <w:p w:rsidR="00A64043" w:rsidRPr="000E6874" w:rsidRDefault="00A64043" w:rsidP="00BF5858">
            <w:pPr>
              <w:spacing w:line="360" w:lineRule="auto"/>
              <w:jc w:val="center"/>
              <w:rPr>
                <w:rFonts w:ascii="Arial" w:hAnsi="Arial" w:cs="Arial"/>
                <w:bCs/>
                <w:color w:val="000000" w:themeColor="dark1"/>
              </w:rPr>
            </w:pPr>
            <w:r w:rsidRPr="000E6874">
              <w:rPr>
                <w:rFonts w:ascii="Arial" w:hAnsi="Arial" w:cs="Arial"/>
              </w:rPr>
              <w:t>0.96</w:t>
            </w:r>
          </w:p>
        </w:tc>
      </w:tr>
      <w:tr w:rsidR="00A64043" w:rsidRPr="000E6874" w:rsidTr="00BF5858">
        <w:tc>
          <w:tcPr>
            <w:tcW w:w="2231" w:type="pct"/>
            <w:shd w:val="clear" w:color="auto" w:fill="auto"/>
          </w:tcPr>
          <w:p w:rsidR="00A64043" w:rsidRPr="000E6874" w:rsidRDefault="00A64043" w:rsidP="00BF5858">
            <w:pPr>
              <w:spacing w:line="360" w:lineRule="auto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Deaths over 52 weeks, n (%)</w:t>
            </w:r>
          </w:p>
        </w:tc>
        <w:tc>
          <w:tcPr>
            <w:tcW w:w="706" w:type="pct"/>
            <w:shd w:val="clear" w:color="auto" w:fill="auto"/>
          </w:tcPr>
          <w:p w:rsidR="00A64043" w:rsidRPr="000E6874" w:rsidRDefault="00A64043" w:rsidP="00BF5858">
            <w:pPr>
              <w:spacing w:line="360" w:lineRule="auto"/>
              <w:jc w:val="center"/>
              <w:rPr>
                <w:rFonts w:ascii="Arial" w:eastAsiaTheme="minorEastAsia" w:hAnsi="Arial" w:cs="Arial"/>
                <w:bCs/>
                <w:color w:val="000000" w:themeColor="dark1"/>
              </w:rPr>
            </w:pPr>
            <w:r w:rsidRPr="000E6874">
              <w:rPr>
                <w:rFonts w:ascii="Arial" w:eastAsiaTheme="minorEastAsia" w:hAnsi="Arial" w:cs="Arial"/>
                <w:color w:val="000000" w:themeColor="dark1"/>
              </w:rPr>
              <w:t>14 (5.0)</w:t>
            </w:r>
          </w:p>
        </w:tc>
        <w:tc>
          <w:tcPr>
            <w:tcW w:w="679" w:type="pct"/>
            <w:shd w:val="clear" w:color="auto" w:fill="auto"/>
            <w:vAlign w:val="center"/>
          </w:tcPr>
          <w:p w:rsidR="00A64043" w:rsidRPr="000E6874" w:rsidRDefault="00A64043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eastAsiaTheme="minorEastAsia" w:hAnsi="Arial" w:cs="Arial"/>
                <w:bCs/>
                <w:color w:val="000000" w:themeColor="dark1"/>
              </w:rPr>
              <w:t>21 (10.1)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A64043" w:rsidRPr="000E6874" w:rsidRDefault="00A64043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  <w:color w:val="000000" w:themeColor="dark1"/>
              </w:rPr>
              <w:t>21 (5.8)</w:t>
            </w:r>
          </w:p>
        </w:tc>
        <w:tc>
          <w:tcPr>
            <w:tcW w:w="677" w:type="pct"/>
            <w:shd w:val="clear" w:color="auto" w:fill="auto"/>
          </w:tcPr>
          <w:p w:rsidR="00A64043" w:rsidRPr="000E6874" w:rsidRDefault="00A64043" w:rsidP="00BF5858">
            <w:pPr>
              <w:spacing w:line="360" w:lineRule="auto"/>
              <w:jc w:val="center"/>
              <w:rPr>
                <w:rFonts w:ascii="Arial" w:hAnsi="Arial" w:cs="Arial"/>
                <w:color w:val="000000" w:themeColor="dark1"/>
              </w:rPr>
            </w:pPr>
            <w:r w:rsidRPr="000E6874">
              <w:rPr>
                <w:rFonts w:ascii="Arial" w:hAnsi="Arial" w:cs="Arial"/>
                <w:bCs/>
                <w:color w:val="000000" w:themeColor="dark1"/>
              </w:rPr>
              <w:t>12 (5.6)</w:t>
            </w:r>
          </w:p>
        </w:tc>
      </w:tr>
      <w:tr w:rsidR="00A64043" w:rsidRPr="000E6874" w:rsidTr="00BF5858">
        <w:tc>
          <w:tcPr>
            <w:tcW w:w="2231" w:type="pct"/>
            <w:shd w:val="clear" w:color="auto" w:fill="auto"/>
            <w:vAlign w:val="center"/>
          </w:tcPr>
          <w:p w:rsidR="00A64043" w:rsidRPr="000E6874" w:rsidRDefault="00A64043" w:rsidP="00BF5858">
            <w:pPr>
              <w:spacing w:line="360" w:lineRule="auto"/>
              <w:ind w:firstLine="311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HR (95% CI)</w:t>
            </w:r>
          </w:p>
        </w:tc>
        <w:tc>
          <w:tcPr>
            <w:tcW w:w="1385" w:type="pct"/>
            <w:gridSpan w:val="2"/>
            <w:shd w:val="clear" w:color="auto" w:fill="auto"/>
          </w:tcPr>
          <w:p w:rsidR="00A64043" w:rsidRPr="000E6874" w:rsidRDefault="00A64043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eastAsiaTheme="minorEastAsia" w:hAnsi="Arial" w:cs="Arial"/>
                <w:color w:val="000000" w:themeColor="dark1"/>
              </w:rPr>
              <w:t>0.46 (0.24, 0.92)</w:t>
            </w:r>
          </w:p>
        </w:tc>
        <w:tc>
          <w:tcPr>
            <w:tcW w:w="1384" w:type="pct"/>
            <w:gridSpan w:val="2"/>
            <w:shd w:val="clear" w:color="auto" w:fill="auto"/>
          </w:tcPr>
          <w:p w:rsidR="00A64043" w:rsidRPr="000E6874" w:rsidRDefault="00A64043" w:rsidP="00BF5858">
            <w:pPr>
              <w:spacing w:line="360" w:lineRule="auto"/>
              <w:jc w:val="center"/>
              <w:rPr>
                <w:rFonts w:ascii="Arial" w:hAnsi="Arial" w:cs="Arial"/>
                <w:color w:val="000000" w:themeColor="dark1"/>
              </w:rPr>
            </w:pPr>
            <w:r w:rsidRPr="000E6874">
              <w:rPr>
                <w:rFonts w:ascii="Arial" w:hAnsi="Arial" w:cs="Arial"/>
                <w:color w:val="000000" w:themeColor="dark1"/>
              </w:rPr>
              <w:t>1.07 (0.53, 2.19)</w:t>
            </w:r>
          </w:p>
        </w:tc>
      </w:tr>
      <w:tr w:rsidR="00A64043" w:rsidRPr="000E6874" w:rsidTr="00BF5858">
        <w:tc>
          <w:tcPr>
            <w:tcW w:w="2231" w:type="pct"/>
            <w:shd w:val="clear" w:color="auto" w:fill="auto"/>
            <w:vAlign w:val="center"/>
          </w:tcPr>
          <w:p w:rsidR="00A64043" w:rsidRPr="000E6874" w:rsidRDefault="00A64043" w:rsidP="00BF5858">
            <w:pPr>
              <w:spacing w:line="360" w:lineRule="auto"/>
              <w:ind w:firstLine="311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p-value for treatment-by-subgroup interaction</w:t>
            </w:r>
          </w:p>
        </w:tc>
        <w:tc>
          <w:tcPr>
            <w:tcW w:w="2769" w:type="pct"/>
            <w:gridSpan w:val="4"/>
            <w:shd w:val="clear" w:color="auto" w:fill="auto"/>
          </w:tcPr>
          <w:p w:rsidR="00A64043" w:rsidRPr="000E6874" w:rsidRDefault="00A64043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0.11</w:t>
            </w:r>
          </w:p>
        </w:tc>
      </w:tr>
    </w:tbl>
    <w:p w:rsidR="00A64043" w:rsidRPr="000E6874" w:rsidRDefault="00A64043" w:rsidP="00A64043">
      <w:pPr>
        <w:spacing w:after="240" w:line="360" w:lineRule="auto"/>
        <w:rPr>
          <w:rFonts w:ascii="Times New Roman" w:hAnsi="Times New Roman" w:cs="Times New Roman"/>
        </w:rPr>
      </w:pPr>
      <w:r w:rsidRPr="000E6874">
        <w:rPr>
          <w:rFonts w:ascii="Arial" w:hAnsi="Arial" w:cs="Arial"/>
        </w:rPr>
        <w:t xml:space="preserve">Changes from baseline are adjusted means (SE). </w:t>
      </w:r>
      <w:proofErr w:type="gramStart"/>
      <w:r w:rsidRPr="000E6874">
        <w:rPr>
          <w:rFonts w:ascii="Arial" w:hAnsi="Arial" w:cs="Arial"/>
        </w:rPr>
        <w:t>HR, hazard ratio.</w:t>
      </w:r>
      <w:proofErr w:type="gramEnd"/>
    </w:p>
    <w:p w:rsidR="008C30C6" w:rsidRPr="00A64043" w:rsidRDefault="008C30C6">
      <w:pPr>
        <w:rPr>
          <w:b/>
        </w:rPr>
      </w:pPr>
      <w:bookmarkStart w:id="0" w:name="_GoBack"/>
      <w:bookmarkEnd w:id="0"/>
    </w:p>
    <w:sectPr w:rsidR="008C30C6" w:rsidRPr="00A640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9115FD"/>
    <w:rsid w:val="0006446B"/>
    <w:rsid w:val="008C30C6"/>
    <w:rsid w:val="009115FD"/>
    <w:rsid w:val="00A64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5FD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115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5FD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115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1543</Characters>
  <Application>Microsoft Office Word</Application>
  <DocSecurity>0</DocSecurity>
  <Lines>128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OF45</dc:creator>
  <cp:lastModifiedBy>OF45</cp:lastModifiedBy>
  <cp:revision>2</cp:revision>
  <dcterms:created xsi:type="dcterms:W3CDTF">2020-10-02T17:58:00Z</dcterms:created>
  <dcterms:modified xsi:type="dcterms:W3CDTF">2020-10-02T17:58:00Z</dcterms:modified>
</cp:coreProperties>
</file>